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EF433C">
      <w:pPr>
        <w:rPr>
          <w:sz w:val="32"/>
        </w:rPr>
      </w:pPr>
    </w:p>
    <w:p w:rsidR="00C92FC0" w:rsidRPr="00EB07BC" w:rsidRDefault="00EF433C">
      <w:pPr>
        <w:rPr>
          <w:sz w:val="32"/>
        </w:rPr>
      </w:pPr>
    </w:p>
    <w:p w:rsidR="00C92FC0" w:rsidRPr="00EB07BC" w:rsidRDefault="00EF433C">
      <w:pPr>
        <w:rPr>
          <w:sz w:val="32"/>
        </w:rPr>
      </w:pPr>
    </w:p>
    <w:p w:rsidR="002737B3" w:rsidRDefault="002737B3">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2737B3" w:rsidRDefault="002737B3">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2737B3" w:rsidRDefault="002737B3">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2737B3" w:rsidRDefault="004226F9">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交银施罗德环球精选价值证券投资基金</w:t>
      </w:r>
    </w:p>
    <w:p w:rsidR="002737B3" w:rsidRDefault="004226F9">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2737B3" w:rsidRDefault="002737B3">
      <w:pPr>
        <w:snapToGrid w:val="0"/>
        <w:spacing w:line="360" w:lineRule="auto"/>
        <w:jc w:val="center"/>
        <w:rPr>
          <w:rFonts w:ascii="宋体" w:hAnsi="宋体"/>
          <w:b/>
          <w:sz w:val="30"/>
          <w:szCs w:val="30"/>
        </w:rPr>
      </w:pPr>
    </w:p>
    <w:p w:rsidR="002737B3" w:rsidRDefault="002737B3">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737B3" w:rsidRDefault="002737B3">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737B3" w:rsidRDefault="002737B3">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737B3" w:rsidRDefault="002737B3">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737B3" w:rsidRDefault="002737B3">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737B3" w:rsidRDefault="002737B3">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737B3" w:rsidRDefault="004226F9">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2737B3" w:rsidRDefault="004226F9">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基金托管人：中国建设银行股份有限公司</w:t>
      </w:r>
    </w:p>
    <w:p w:rsidR="002737B3" w:rsidRDefault="002737B3">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737B3" w:rsidRDefault="002737B3">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2737B3" w:rsidRDefault="004226F9">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二〇二六年十月</w:t>
      </w:r>
    </w:p>
    <w:p w:rsidR="002737B3" w:rsidRDefault="002737B3">
      <w:pPr>
        <w:autoSpaceDE w:val="0"/>
        <w:autoSpaceDN w:val="0"/>
        <w:adjustRightInd w:val="0"/>
        <w:snapToGrid w:val="0"/>
        <w:spacing w:line="360" w:lineRule="auto"/>
        <w:ind w:left="1347" w:rightChars="6" w:right="13"/>
        <w:rPr>
          <w:rFonts w:ascii="宋体" w:hAnsi="宋体"/>
          <w:kern w:val="0"/>
          <w:sz w:val="32"/>
          <w:szCs w:val="32"/>
        </w:rPr>
        <w:sectPr w:rsidR="002737B3">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2737B3" w:rsidRDefault="004226F9">
      <w:pPr>
        <w:pStyle w:val="1"/>
        <w:snapToGrid w:val="0"/>
        <w:spacing w:beforeLines="0" w:before="240" w:after="240"/>
        <w:rPr>
          <w:rFonts w:ascii="宋体" w:hAnsi="宋体"/>
          <w:kern w:val="0"/>
        </w:rPr>
      </w:pPr>
      <w:bookmarkStart w:id="0" w:name="_Toc324920538"/>
      <w:bookmarkStart w:id="1" w:name="_Toc496884613"/>
      <w:bookmarkStart w:id="2" w:name="_Toc244528781"/>
      <w:r>
        <w:rPr>
          <w:rFonts w:ascii="Times New Roman" w:hAnsi="Times New Roman"/>
          <w:kern w:val="0"/>
        </w:rPr>
        <w:lastRenderedPageBreak/>
        <w:t>重要提示</w:t>
      </w:r>
      <w:bookmarkEnd w:id="0"/>
      <w:bookmarkEnd w:id="1"/>
      <w:bookmarkEnd w:id="2"/>
    </w:p>
    <w:p w:rsidR="002737B3" w:rsidRDefault="004226F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交银施罗德环球精选价值证券投资基金（以下简称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2008</w:t>
      </w:r>
      <w:r>
        <w:rPr>
          <w:rFonts w:ascii="Times New Roman" w:hAnsi="Times New Roman"/>
          <w:kern w:val="0"/>
          <w:sz w:val="24"/>
        </w:rPr>
        <w:t>年</w:t>
      </w:r>
      <w:r>
        <w:rPr>
          <w:rFonts w:ascii="Times New Roman" w:hAnsi="Times New Roman"/>
          <w:kern w:val="0"/>
          <w:sz w:val="24"/>
        </w:rPr>
        <w:t>5</w:t>
      </w:r>
      <w:r>
        <w:rPr>
          <w:rFonts w:ascii="Times New Roman" w:hAnsi="Times New Roman"/>
          <w:kern w:val="0"/>
          <w:sz w:val="24"/>
        </w:rPr>
        <w:t>月</w:t>
      </w:r>
      <w:r>
        <w:rPr>
          <w:rFonts w:ascii="Times New Roman" w:hAnsi="Times New Roman"/>
          <w:kern w:val="0"/>
          <w:sz w:val="24"/>
        </w:rPr>
        <w:t>5</w:t>
      </w:r>
      <w:r>
        <w:rPr>
          <w:rFonts w:ascii="Times New Roman" w:hAnsi="Times New Roman"/>
          <w:kern w:val="0"/>
          <w:sz w:val="24"/>
        </w:rPr>
        <w:t>日中国证券监督管理委员会证监许可【</w:t>
      </w:r>
      <w:r>
        <w:rPr>
          <w:rFonts w:ascii="Times New Roman" w:hAnsi="Times New Roman"/>
          <w:kern w:val="0"/>
          <w:sz w:val="24"/>
        </w:rPr>
        <w:t>2008</w:t>
      </w:r>
      <w:r>
        <w:rPr>
          <w:rFonts w:ascii="Times New Roman" w:hAnsi="Times New Roman"/>
          <w:kern w:val="0"/>
          <w:sz w:val="24"/>
        </w:rPr>
        <w:t>】</w:t>
      </w:r>
      <w:r>
        <w:rPr>
          <w:rFonts w:ascii="Times New Roman" w:hAnsi="Times New Roman"/>
          <w:kern w:val="0"/>
          <w:sz w:val="24"/>
        </w:rPr>
        <w:t>635</w:t>
      </w:r>
      <w:r>
        <w:rPr>
          <w:rFonts w:ascii="Times New Roman" w:hAnsi="Times New Roman"/>
          <w:kern w:val="0"/>
          <w:sz w:val="24"/>
        </w:rPr>
        <w:t>号文核准募集。本基金基金合同于</w:t>
      </w:r>
      <w:r>
        <w:rPr>
          <w:rFonts w:ascii="Times New Roman" w:hAnsi="Times New Roman"/>
          <w:kern w:val="0"/>
          <w:sz w:val="24"/>
        </w:rPr>
        <w:t>2008</w:t>
      </w:r>
      <w:r>
        <w:rPr>
          <w:rFonts w:ascii="Times New Roman" w:hAnsi="Times New Roman"/>
          <w:kern w:val="0"/>
          <w:sz w:val="24"/>
        </w:rPr>
        <w:t>年</w:t>
      </w:r>
      <w:r>
        <w:rPr>
          <w:rFonts w:ascii="Times New Roman" w:hAnsi="Times New Roman"/>
          <w:kern w:val="0"/>
          <w:sz w:val="24"/>
        </w:rPr>
        <w:t>8</w:t>
      </w:r>
      <w:r>
        <w:rPr>
          <w:rFonts w:ascii="Times New Roman" w:hAnsi="Times New Roman"/>
          <w:kern w:val="0"/>
          <w:sz w:val="24"/>
        </w:rPr>
        <w:t>月</w:t>
      </w:r>
      <w:r>
        <w:rPr>
          <w:rFonts w:ascii="Times New Roman" w:hAnsi="Times New Roman"/>
          <w:kern w:val="0"/>
          <w:sz w:val="24"/>
        </w:rPr>
        <w:t>22</w:t>
      </w:r>
      <w:r>
        <w:rPr>
          <w:rFonts w:ascii="Times New Roman" w:hAnsi="Times New Roman"/>
          <w:kern w:val="0"/>
          <w:sz w:val="24"/>
        </w:rPr>
        <w:t>日正式生效。</w:t>
      </w:r>
    </w:p>
    <w:p w:rsidR="002737B3" w:rsidRDefault="004226F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核准，但中国证监会对本基金募集的核准，并不表明其对本基金的价值和收益作出实质性判断或保证，也不表明投资于本基金没有风险。</w:t>
      </w:r>
    </w:p>
    <w:p w:rsidR="002737B3" w:rsidRDefault="004226F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rsidR="002737B3" w:rsidRDefault="004226F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境外证券市场，基金净值会因为境外证券市场波动等因素产生波动。投资人在投资本基金前，需全面认识本基金产品的风险收益特征和产品特性，充分考虑自身的风险承受能力，理性判断市场，对认（申）购基金的意愿、时机、数量等投资行为作出独立决策。投资人根据所持有份额享受基金的收益，但同时也需承担相应的投资风险。本基金股票资产占基金资产的</w:t>
      </w:r>
      <w:r>
        <w:rPr>
          <w:rFonts w:ascii="Times New Roman" w:hAnsi="Times New Roman"/>
          <w:kern w:val="0"/>
          <w:sz w:val="24"/>
        </w:rPr>
        <w:t>60%-100%</w:t>
      </w:r>
      <w:r>
        <w:rPr>
          <w:rFonts w:ascii="Times New Roman" w:hAnsi="Times New Roman"/>
          <w:kern w:val="0"/>
          <w:sz w:val="24"/>
        </w:rPr>
        <w:t>，重点投资于香港、欧洲、美国和新兴市场的权益类资产，其中投资于香港证券市场公开发行的股票占基金资产的比例为</w:t>
      </w:r>
      <w:r>
        <w:rPr>
          <w:rFonts w:ascii="Times New Roman" w:hAnsi="Times New Roman"/>
          <w:kern w:val="0"/>
          <w:sz w:val="24"/>
        </w:rPr>
        <w:t>10%-50%</w:t>
      </w:r>
      <w:r>
        <w:rPr>
          <w:rFonts w:ascii="Times New Roman" w:hAnsi="Times New Roman"/>
          <w:kern w:val="0"/>
          <w:sz w:val="24"/>
        </w:rPr>
        <w:t>，投资于全球其他证券市场的股票和基金占基金资产的比例为</w:t>
      </w:r>
      <w:r>
        <w:rPr>
          <w:rFonts w:ascii="Times New Roman" w:hAnsi="Times New Roman"/>
          <w:kern w:val="0"/>
          <w:sz w:val="24"/>
        </w:rPr>
        <w:t>40%-70%</w:t>
      </w:r>
      <w:r>
        <w:rPr>
          <w:rFonts w:ascii="Times New Roman" w:hAnsi="Times New Roman"/>
          <w:kern w:val="0"/>
          <w:sz w:val="24"/>
        </w:rPr>
        <w:t>，上述主要投资证券市场的波动将会影响本基金的净值表现。投资本基金可能遇到的风险一是境外投资产品风险，包括海外市场风险、汇率风险、政治风险等；二是开放式基金风险，包括：因政治、经济、社会等因素对证券价格波动产生影响而引发的系统性风险，个别证券特有的非系统性风险，流动性风险（包括实施侧袋机制时的特定风险），基金管理人在基金管理实施过程中产生的基金管理风险，本基金投资债券引发的信用风险，以及本基金投资策略所特有的风险等等。</w:t>
      </w:r>
    </w:p>
    <w:p w:rsidR="002737B3" w:rsidRDefault="004226F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当本基金持有特定资产且存在或潜在大额赎回申请时，基金管理人履行相应程序后，可以启动侧袋机制，具体详见基金合同和招募说明书的有关章节。侧袋机制实施期间，基金管理人将对基金简称进行特殊标识，并不办理侧袋账户的申购赎回。请基金份额持有人仔细阅读相关内容并关注本基金启用侧袋机制时的特定风险。</w:t>
      </w:r>
    </w:p>
    <w:p w:rsidR="002737B3" w:rsidRDefault="004226F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lastRenderedPageBreak/>
        <w:t>投资有风险，投资人在认（申）购本基金前应认真阅读本基金的《招募说明书》和《基金合同》、基金产品资料概要。过往业绩并不代表将来表现。基金管理人管理的其他基金的业绩并不构成对本基金业绩表现的保证。基金管理人建议投资人根据自身的风险承受能力，选择适合自己的基金产品，并且中长期持有。</w:t>
      </w:r>
    </w:p>
    <w:p w:rsidR="002737B3" w:rsidRDefault="004226F9">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本次更新招募说明书主要对基金经理变更相关事项进行了相应更新，更新截止日为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10</w:t>
      </w:r>
      <w:r>
        <w:rPr>
          <w:rFonts w:ascii="Times New Roman" w:hAnsi="Times New Roman"/>
          <w:kern w:val="0"/>
          <w:sz w:val="24"/>
        </w:rPr>
        <w:t>月</w:t>
      </w:r>
      <w:r>
        <w:rPr>
          <w:rFonts w:ascii="Times New Roman" w:hAnsi="Times New Roman"/>
          <w:kern w:val="0"/>
          <w:sz w:val="24"/>
        </w:rPr>
        <w:t>29</w:t>
      </w:r>
      <w:r>
        <w:rPr>
          <w:rFonts w:ascii="Times New Roman" w:hAnsi="Times New Roman"/>
          <w:kern w:val="0"/>
          <w:sz w:val="24"/>
        </w:rPr>
        <w:t>日，除非另有说明，本招募说明书其他所载内容截止日为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05</w:t>
      </w:r>
      <w:r>
        <w:rPr>
          <w:rFonts w:ascii="Times New Roman" w:hAnsi="Times New Roman"/>
          <w:kern w:val="0"/>
          <w:sz w:val="24"/>
        </w:rPr>
        <w:t>月</w:t>
      </w:r>
      <w:r>
        <w:rPr>
          <w:rFonts w:ascii="Times New Roman" w:hAnsi="Times New Roman"/>
          <w:kern w:val="0"/>
          <w:sz w:val="24"/>
        </w:rPr>
        <w:t>14</w:t>
      </w:r>
      <w:r>
        <w:rPr>
          <w:rFonts w:ascii="Times New Roman" w:hAnsi="Times New Roman"/>
          <w:kern w:val="0"/>
          <w:sz w:val="24"/>
        </w:rPr>
        <w:t>日，有关财务数据和净值表现截止日为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日。本招募说明书所载的财务数据未经审计。</w:t>
      </w:r>
    </w:p>
    <w:p w:rsidR="002737B3" w:rsidRDefault="002737B3">
      <w:pPr>
        <w:autoSpaceDE w:val="0"/>
        <w:autoSpaceDN w:val="0"/>
        <w:adjustRightInd w:val="0"/>
        <w:snapToGrid w:val="0"/>
        <w:spacing w:before="51" w:line="360" w:lineRule="auto"/>
        <w:ind w:left="120" w:rightChars="6" w:right="13" w:firstLine="480"/>
        <w:rPr>
          <w:rFonts w:ascii="宋体" w:hAnsi="宋体"/>
          <w:kern w:val="0"/>
          <w:szCs w:val="24"/>
        </w:rPr>
        <w:sectPr w:rsidR="002737B3">
          <w:headerReference w:type="default" r:id="rId14"/>
          <w:pgSz w:w="11920" w:h="16840"/>
          <w:pgMar w:top="1440" w:right="1680" w:bottom="280" w:left="1680" w:header="0" w:footer="1073" w:gutter="0"/>
          <w:pgNumType w:start="1"/>
          <w:cols w:space="720"/>
        </w:sectPr>
      </w:pPr>
    </w:p>
    <w:p w:rsidR="00EF433C" w:rsidRPr="00EF433C" w:rsidRDefault="004226F9" w:rsidP="00EF433C">
      <w:pPr>
        <w:pStyle w:val="ad"/>
        <w:snapToGrid w:val="0"/>
        <w:spacing w:after="240" w:line="360" w:lineRule="auto"/>
        <w:jc w:val="center"/>
        <w:rPr>
          <w:rFonts w:ascii="宋体" w:hAnsi="宋体"/>
          <w:noProof/>
          <w:sz w:val="24"/>
        </w:rPr>
      </w:pPr>
      <w:r w:rsidRPr="00EF433C">
        <w:rPr>
          <w:rFonts w:ascii="宋体" w:hAnsi="宋体"/>
          <w:color w:val="000000"/>
          <w:position w:val="-4"/>
          <w:sz w:val="24"/>
          <w:szCs w:val="30"/>
        </w:rPr>
        <w:lastRenderedPageBreak/>
        <w:t>目</w:t>
      </w:r>
      <w:r w:rsidRPr="00EF433C">
        <w:rPr>
          <w:rFonts w:ascii="宋体" w:hAnsi="宋体"/>
          <w:color w:val="000000"/>
          <w:position w:val="-4"/>
          <w:sz w:val="24"/>
          <w:szCs w:val="30"/>
        </w:rPr>
        <w:tab/>
        <w:t>录</w:t>
      </w:r>
      <w:r w:rsidR="00EF433C" w:rsidRPr="00EF433C">
        <w:rPr>
          <w:rFonts w:ascii="宋体" w:hAnsi="宋体"/>
          <w:color w:val="000000"/>
          <w:position w:val="-4"/>
          <w:sz w:val="24"/>
          <w:szCs w:val="30"/>
        </w:rPr>
        <w:fldChar w:fldCharType="begin"/>
      </w:r>
      <w:r w:rsidR="00EF433C" w:rsidRPr="00EF433C">
        <w:rPr>
          <w:rFonts w:ascii="宋体" w:hAnsi="宋体"/>
          <w:color w:val="000000"/>
          <w:position w:val="-4"/>
          <w:sz w:val="24"/>
          <w:szCs w:val="30"/>
        </w:rPr>
        <w:instrText xml:space="preserve"> TOC \o "1-3" \f - \h \t "-1" </w:instrText>
      </w:r>
      <w:r w:rsidR="00EF433C" w:rsidRPr="00EF433C">
        <w:rPr>
          <w:rFonts w:ascii="宋体" w:hAnsi="宋体"/>
          <w:color w:val="000000"/>
          <w:position w:val="-4"/>
          <w:sz w:val="24"/>
          <w:szCs w:val="30"/>
        </w:rPr>
        <w:fldChar w:fldCharType="separate"/>
      </w:r>
    </w:p>
    <w:p w:rsidR="00EF433C" w:rsidRPr="00EF433C" w:rsidRDefault="00EF433C" w:rsidP="00EF433C">
      <w:pPr>
        <w:pStyle w:val="10"/>
        <w:tabs>
          <w:tab w:val="right" w:leader="dot" w:pos="8550"/>
        </w:tabs>
        <w:spacing w:line="360" w:lineRule="auto"/>
        <w:rPr>
          <w:rFonts w:ascii="宋体" w:hAnsi="宋体" w:cstheme="minorBidi"/>
          <w:noProof/>
          <w:sz w:val="24"/>
        </w:rPr>
      </w:pPr>
      <w:hyperlink w:anchor="_Toc244528781" w:history="1">
        <w:r w:rsidRPr="00EF433C">
          <w:rPr>
            <w:rStyle w:val="aa"/>
            <w:rFonts w:ascii="宋体" w:hAnsi="宋体" w:hint="eastAsia"/>
            <w:noProof/>
            <w:kern w:val="0"/>
            <w:sz w:val="24"/>
          </w:rPr>
          <w:t>重要提示</w:t>
        </w:r>
        <w:r w:rsidRPr="00EF433C">
          <w:rPr>
            <w:rFonts w:ascii="宋体" w:hAnsi="宋体"/>
            <w:noProof/>
            <w:sz w:val="24"/>
          </w:rPr>
          <w:tab/>
        </w:r>
        <w:r w:rsidRPr="00EF433C">
          <w:rPr>
            <w:rFonts w:ascii="宋体" w:hAnsi="宋体"/>
            <w:noProof/>
            <w:sz w:val="24"/>
          </w:rPr>
          <w:fldChar w:fldCharType="begin"/>
        </w:r>
        <w:r w:rsidRPr="00EF433C">
          <w:rPr>
            <w:rFonts w:ascii="宋体" w:hAnsi="宋体"/>
            <w:noProof/>
            <w:sz w:val="24"/>
          </w:rPr>
          <w:instrText xml:space="preserve"> PAGEREF _Toc244528781 \h </w:instrText>
        </w:r>
        <w:r w:rsidRPr="00EF433C">
          <w:rPr>
            <w:rFonts w:ascii="宋体" w:hAnsi="宋体"/>
            <w:noProof/>
            <w:sz w:val="24"/>
          </w:rPr>
        </w:r>
        <w:r w:rsidRPr="00EF433C">
          <w:rPr>
            <w:rFonts w:ascii="宋体" w:hAnsi="宋体"/>
            <w:noProof/>
            <w:sz w:val="24"/>
          </w:rPr>
          <w:fldChar w:fldCharType="separate"/>
        </w:r>
        <w:r w:rsidRPr="00EF433C">
          <w:rPr>
            <w:rFonts w:ascii="宋体" w:hAnsi="宋体"/>
            <w:noProof/>
            <w:sz w:val="24"/>
          </w:rPr>
          <w:t>1</w:t>
        </w:r>
        <w:r w:rsidRPr="00EF433C">
          <w:rPr>
            <w:rFonts w:ascii="宋体" w:hAnsi="宋体"/>
            <w:noProof/>
            <w:sz w:val="24"/>
          </w:rPr>
          <w:fldChar w:fldCharType="end"/>
        </w:r>
      </w:hyperlink>
    </w:p>
    <w:p w:rsidR="00EF433C" w:rsidRPr="00EF433C" w:rsidRDefault="00EF433C" w:rsidP="00EF433C">
      <w:pPr>
        <w:pStyle w:val="10"/>
        <w:tabs>
          <w:tab w:val="right" w:leader="dot" w:pos="8550"/>
        </w:tabs>
        <w:spacing w:line="360" w:lineRule="auto"/>
        <w:rPr>
          <w:rFonts w:ascii="宋体" w:hAnsi="宋体" w:cstheme="minorBidi"/>
          <w:noProof/>
          <w:sz w:val="24"/>
        </w:rPr>
      </w:pPr>
      <w:hyperlink w:anchor="_Toc244528782" w:history="1">
        <w:r w:rsidRPr="00EF433C">
          <w:rPr>
            <w:rStyle w:val="aa"/>
            <w:rFonts w:ascii="宋体" w:hAnsi="宋体" w:hint="eastAsia"/>
            <w:noProof/>
            <w:sz w:val="24"/>
          </w:rPr>
          <w:t>一、绪言</w:t>
        </w:r>
        <w:r w:rsidRPr="00EF433C">
          <w:rPr>
            <w:rFonts w:ascii="宋体" w:hAnsi="宋体"/>
            <w:noProof/>
            <w:sz w:val="24"/>
          </w:rPr>
          <w:tab/>
        </w:r>
        <w:r w:rsidRPr="00EF433C">
          <w:rPr>
            <w:rFonts w:ascii="宋体" w:hAnsi="宋体"/>
            <w:noProof/>
            <w:sz w:val="24"/>
          </w:rPr>
          <w:fldChar w:fldCharType="begin"/>
        </w:r>
        <w:r w:rsidRPr="00EF433C">
          <w:rPr>
            <w:rFonts w:ascii="宋体" w:hAnsi="宋体"/>
            <w:noProof/>
            <w:sz w:val="24"/>
          </w:rPr>
          <w:instrText xml:space="preserve"> PAGEREF _Toc244528782 \h </w:instrText>
        </w:r>
        <w:r w:rsidRPr="00EF433C">
          <w:rPr>
            <w:rFonts w:ascii="宋体" w:hAnsi="宋体"/>
            <w:noProof/>
            <w:sz w:val="24"/>
          </w:rPr>
        </w:r>
        <w:r w:rsidRPr="00EF433C">
          <w:rPr>
            <w:rFonts w:ascii="宋体" w:hAnsi="宋体"/>
            <w:noProof/>
            <w:sz w:val="24"/>
          </w:rPr>
          <w:fldChar w:fldCharType="separate"/>
        </w:r>
        <w:r w:rsidRPr="00EF433C">
          <w:rPr>
            <w:rFonts w:ascii="宋体" w:hAnsi="宋体"/>
            <w:noProof/>
            <w:sz w:val="24"/>
          </w:rPr>
          <w:t>4</w:t>
        </w:r>
        <w:r w:rsidRPr="00EF433C">
          <w:rPr>
            <w:rFonts w:ascii="宋体" w:hAnsi="宋体"/>
            <w:noProof/>
            <w:sz w:val="24"/>
          </w:rPr>
          <w:fldChar w:fldCharType="end"/>
        </w:r>
      </w:hyperlink>
    </w:p>
    <w:p w:rsidR="00EF433C" w:rsidRPr="00EF433C" w:rsidRDefault="00EF433C" w:rsidP="00EF433C">
      <w:pPr>
        <w:pStyle w:val="10"/>
        <w:tabs>
          <w:tab w:val="right" w:leader="dot" w:pos="8550"/>
        </w:tabs>
        <w:spacing w:line="360" w:lineRule="auto"/>
        <w:rPr>
          <w:rFonts w:ascii="宋体" w:hAnsi="宋体" w:cstheme="minorBidi"/>
          <w:noProof/>
          <w:sz w:val="24"/>
        </w:rPr>
      </w:pPr>
      <w:hyperlink w:anchor="_Toc244528783" w:history="1">
        <w:r w:rsidRPr="00EF433C">
          <w:rPr>
            <w:rStyle w:val="aa"/>
            <w:rFonts w:ascii="宋体" w:hAnsi="宋体" w:hint="eastAsia"/>
            <w:noProof/>
            <w:sz w:val="24"/>
          </w:rPr>
          <w:t>二、释义</w:t>
        </w:r>
        <w:r w:rsidRPr="00EF433C">
          <w:rPr>
            <w:rFonts w:ascii="宋体" w:hAnsi="宋体"/>
            <w:noProof/>
            <w:sz w:val="24"/>
          </w:rPr>
          <w:tab/>
        </w:r>
        <w:r w:rsidRPr="00EF433C">
          <w:rPr>
            <w:rFonts w:ascii="宋体" w:hAnsi="宋体"/>
            <w:noProof/>
            <w:sz w:val="24"/>
          </w:rPr>
          <w:fldChar w:fldCharType="begin"/>
        </w:r>
        <w:r w:rsidRPr="00EF433C">
          <w:rPr>
            <w:rFonts w:ascii="宋体" w:hAnsi="宋体"/>
            <w:noProof/>
            <w:sz w:val="24"/>
          </w:rPr>
          <w:instrText xml:space="preserve"> PAGEREF _Toc244528783 \h </w:instrText>
        </w:r>
        <w:r w:rsidRPr="00EF433C">
          <w:rPr>
            <w:rFonts w:ascii="宋体" w:hAnsi="宋体"/>
            <w:noProof/>
            <w:sz w:val="24"/>
          </w:rPr>
        </w:r>
        <w:r w:rsidRPr="00EF433C">
          <w:rPr>
            <w:rFonts w:ascii="宋体" w:hAnsi="宋体"/>
            <w:noProof/>
            <w:sz w:val="24"/>
          </w:rPr>
          <w:fldChar w:fldCharType="separate"/>
        </w:r>
        <w:r w:rsidRPr="00EF433C">
          <w:rPr>
            <w:rFonts w:ascii="宋体" w:hAnsi="宋体"/>
            <w:noProof/>
            <w:sz w:val="24"/>
          </w:rPr>
          <w:t>5</w:t>
        </w:r>
        <w:r w:rsidRPr="00EF433C">
          <w:rPr>
            <w:rFonts w:ascii="宋体" w:hAnsi="宋体"/>
            <w:noProof/>
            <w:sz w:val="24"/>
          </w:rPr>
          <w:fldChar w:fldCharType="end"/>
        </w:r>
      </w:hyperlink>
    </w:p>
    <w:p w:rsidR="00EF433C" w:rsidRPr="00EF433C" w:rsidRDefault="00EF433C" w:rsidP="00EF433C">
      <w:pPr>
        <w:pStyle w:val="10"/>
        <w:tabs>
          <w:tab w:val="right" w:leader="dot" w:pos="8550"/>
        </w:tabs>
        <w:spacing w:line="360" w:lineRule="auto"/>
        <w:rPr>
          <w:rFonts w:ascii="宋体" w:hAnsi="宋体" w:cstheme="minorBidi"/>
          <w:noProof/>
          <w:sz w:val="24"/>
        </w:rPr>
      </w:pPr>
      <w:hyperlink w:anchor="_Toc244528784" w:history="1">
        <w:r w:rsidRPr="00EF433C">
          <w:rPr>
            <w:rStyle w:val="aa"/>
            <w:rFonts w:ascii="宋体" w:hAnsi="宋体" w:hint="eastAsia"/>
            <w:noProof/>
            <w:sz w:val="24"/>
          </w:rPr>
          <w:t>三、风险揭示</w:t>
        </w:r>
        <w:r w:rsidRPr="00EF433C">
          <w:rPr>
            <w:rFonts w:ascii="宋体" w:hAnsi="宋体"/>
            <w:noProof/>
            <w:sz w:val="24"/>
          </w:rPr>
          <w:tab/>
        </w:r>
        <w:r w:rsidRPr="00EF433C">
          <w:rPr>
            <w:rFonts w:ascii="宋体" w:hAnsi="宋体"/>
            <w:noProof/>
            <w:sz w:val="24"/>
          </w:rPr>
          <w:fldChar w:fldCharType="begin"/>
        </w:r>
        <w:r w:rsidRPr="00EF433C">
          <w:rPr>
            <w:rFonts w:ascii="宋体" w:hAnsi="宋体"/>
            <w:noProof/>
            <w:sz w:val="24"/>
          </w:rPr>
          <w:instrText xml:space="preserve"> PAGEREF _Toc244528784 \h </w:instrText>
        </w:r>
        <w:r w:rsidRPr="00EF433C">
          <w:rPr>
            <w:rFonts w:ascii="宋体" w:hAnsi="宋体"/>
            <w:noProof/>
            <w:sz w:val="24"/>
          </w:rPr>
        </w:r>
        <w:r w:rsidRPr="00EF433C">
          <w:rPr>
            <w:rFonts w:ascii="宋体" w:hAnsi="宋体"/>
            <w:noProof/>
            <w:sz w:val="24"/>
          </w:rPr>
          <w:fldChar w:fldCharType="separate"/>
        </w:r>
        <w:r w:rsidRPr="00EF433C">
          <w:rPr>
            <w:rFonts w:ascii="宋体" w:hAnsi="宋体"/>
            <w:noProof/>
            <w:sz w:val="24"/>
          </w:rPr>
          <w:t>10</w:t>
        </w:r>
        <w:r w:rsidRPr="00EF433C">
          <w:rPr>
            <w:rFonts w:ascii="宋体" w:hAnsi="宋体"/>
            <w:noProof/>
            <w:sz w:val="24"/>
          </w:rPr>
          <w:fldChar w:fldCharType="end"/>
        </w:r>
      </w:hyperlink>
    </w:p>
    <w:p w:rsidR="00EF433C" w:rsidRPr="00EF433C" w:rsidRDefault="00EF433C" w:rsidP="00EF433C">
      <w:pPr>
        <w:pStyle w:val="10"/>
        <w:tabs>
          <w:tab w:val="right" w:leader="dot" w:pos="8550"/>
        </w:tabs>
        <w:spacing w:line="360" w:lineRule="auto"/>
        <w:rPr>
          <w:rFonts w:ascii="宋体" w:hAnsi="宋体" w:cstheme="minorBidi"/>
          <w:noProof/>
          <w:sz w:val="24"/>
        </w:rPr>
      </w:pPr>
      <w:hyperlink w:anchor="_Toc244528785" w:history="1">
        <w:r w:rsidRPr="00EF433C">
          <w:rPr>
            <w:rStyle w:val="aa"/>
            <w:rFonts w:ascii="宋体" w:hAnsi="宋体" w:hint="eastAsia"/>
            <w:noProof/>
            <w:sz w:val="24"/>
          </w:rPr>
          <w:t>四、基金的投资</w:t>
        </w:r>
        <w:r w:rsidRPr="00EF433C">
          <w:rPr>
            <w:rFonts w:ascii="宋体" w:hAnsi="宋体"/>
            <w:noProof/>
            <w:sz w:val="24"/>
          </w:rPr>
          <w:tab/>
        </w:r>
        <w:r w:rsidRPr="00EF433C">
          <w:rPr>
            <w:rFonts w:ascii="宋体" w:hAnsi="宋体"/>
            <w:noProof/>
            <w:sz w:val="24"/>
          </w:rPr>
          <w:fldChar w:fldCharType="begin"/>
        </w:r>
        <w:r w:rsidRPr="00EF433C">
          <w:rPr>
            <w:rFonts w:ascii="宋体" w:hAnsi="宋体"/>
            <w:noProof/>
            <w:sz w:val="24"/>
          </w:rPr>
          <w:instrText xml:space="preserve"> PAGEREF _Toc244528785 \h </w:instrText>
        </w:r>
        <w:r w:rsidRPr="00EF433C">
          <w:rPr>
            <w:rFonts w:ascii="宋体" w:hAnsi="宋体"/>
            <w:noProof/>
            <w:sz w:val="24"/>
          </w:rPr>
        </w:r>
        <w:r w:rsidRPr="00EF433C">
          <w:rPr>
            <w:rFonts w:ascii="宋体" w:hAnsi="宋体"/>
            <w:noProof/>
            <w:sz w:val="24"/>
          </w:rPr>
          <w:fldChar w:fldCharType="separate"/>
        </w:r>
        <w:r w:rsidRPr="00EF433C">
          <w:rPr>
            <w:rFonts w:ascii="宋体" w:hAnsi="宋体"/>
            <w:noProof/>
            <w:sz w:val="24"/>
          </w:rPr>
          <w:t>19</w:t>
        </w:r>
        <w:r w:rsidRPr="00EF433C">
          <w:rPr>
            <w:rFonts w:ascii="宋体" w:hAnsi="宋体"/>
            <w:noProof/>
            <w:sz w:val="24"/>
          </w:rPr>
          <w:fldChar w:fldCharType="end"/>
        </w:r>
      </w:hyperlink>
    </w:p>
    <w:p w:rsidR="00EF433C" w:rsidRPr="00EF433C" w:rsidRDefault="00EF433C" w:rsidP="00EF433C">
      <w:pPr>
        <w:pStyle w:val="10"/>
        <w:tabs>
          <w:tab w:val="right" w:leader="dot" w:pos="8550"/>
        </w:tabs>
        <w:spacing w:line="360" w:lineRule="auto"/>
        <w:rPr>
          <w:rFonts w:ascii="宋体" w:hAnsi="宋体" w:cstheme="minorBidi"/>
          <w:noProof/>
          <w:sz w:val="24"/>
        </w:rPr>
      </w:pPr>
      <w:hyperlink w:anchor="_Toc244528786" w:history="1">
        <w:r w:rsidRPr="00EF433C">
          <w:rPr>
            <w:rStyle w:val="aa"/>
            <w:rFonts w:ascii="宋体" w:hAnsi="宋体" w:hint="eastAsia"/>
            <w:noProof/>
            <w:sz w:val="24"/>
          </w:rPr>
          <w:t>五、基金的业绩</w:t>
        </w:r>
        <w:r w:rsidRPr="00EF433C">
          <w:rPr>
            <w:rFonts w:ascii="宋体" w:hAnsi="宋体"/>
            <w:noProof/>
            <w:sz w:val="24"/>
          </w:rPr>
          <w:tab/>
        </w:r>
        <w:r w:rsidRPr="00EF433C">
          <w:rPr>
            <w:rFonts w:ascii="宋体" w:hAnsi="宋体"/>
            <w:noProof/>
            <w:sz w:val="24"/>
          </w:rPr>
          <w:fldChar w:fldCharType="begin"/>
        </w:r>
        <w:r w:rsidRPr="00EF433C">
          <w:rPr>
            <w:rFonts w:ascii="宋体" w:hAnsi="宋体"/>
            <w:noProof/>
            <w:sz w:val="24"/>
          </w:rPr>
          <w:instrText xml:space="preserve"> PAGEREF _Toc244528786 \h </w:instrText>
        </w:r>
        <w:r w:rsidRPr="00EF433C">
          <w:rPr>
            <w:rFonts w:ascii="宋体" w:hAnsi="宋体"/>
            <w:noProof/>
            <w:sz w:val="24"/>
          </w:rPr>
        </w:r>
        <w:r w:rsidRPr="00EF433C">
          <w:rPr>
            <w:rFonts w:ascii="宋体" w:hAnsi="宋体"/>
            <w:noProof/>
            <w:sz w:val="24"/>
          </w:rPr>
          <w:fldChar w:fldCharType="separate"/>
        </w:r>
        <w:r w:rsidRPr="00EF433C">
          <w:rPr>
            <w:rFonts w:ascii="宋体" w:hAnsi="宋体"/>
            <w:noProof/>
            <w:sz w:val="24"/>
          </w:rPr>
          <w:t>37</w:t>
        </w:r>
        <w:r w:rsidRPr="00EF433C">
          <w:rPr>
            <w:rFonts w:ascii="宋体" w:hAnsi="宋体"/>
            <w:noProof/>
            <w:sz w:val="24"/>
          </w:rPr>
          <w:fldChar w:fldCharType="end"/>
        </w:r>
      </w:hyperlink>
    </w:p>
    <w:p w:rsidR="00EF433C" w:rsidRPr="00EF433C" w:rsidRDefault="00EF433C" w:rsidP="00EF433C">
      <w:pPr>
        <w:pStyle w:val="10"/>
        <w:tabs>
          <w:tab w:val="right" w:leader="dot" w:pos="8550"/>
        </w:tabs>
        <w:spacing w:line="360" w:lineRule="auto"/>
        <w:rPr>
          <w:rFonts w:ascii="宋体" w:hAnsi="宋体" w:cstheme="minorBidi"/>
          <w:noProof/>
          <w:sz w:val="24"/>
        </w:rPr>
      </w:pPr>
      <w:hyperlink w:anchor="_Toc244528787" w:history="1">
        <w:r w:rsidRPr="00EF433C">
          <w:rPr>
            <w:rStyle w:val="aa"/>
            <w:rFonts w:ascii="宋体" w:hAnsi="宋体" w:hint="eastAsia"/>
            <w:noProof/>
            <w:sz w:val="24"/>
          </w:rPr>
          <w:t>六、基金管理人</w:t>
        </w:r>
        <w:r w:rsidRPr="00EF433C">
          <w:rPr>
            <w:rFonts w:ascii="宋体" w:hAnsi="宋体"/>
            <w:noProof/>
            <w:sz w:val="24"/>
          </w:rPr>
          <w:tab/>
        </w:r>
        <w:r w:rsidRPr="00EF433C">
          <w:rPr>
            <w:rFonts w:ascii="宋体" w:hAnsi="宋体"/>
            <w:noProof/>
            <w:sz w:val="24"/>
          </w:rPr>
          <w:fldChar w:fldCharType="begin"/>
        </w:r>
        <w:r w:rsidRPr="00EF433C">
          <w:rPr>
            <w:rFonts w:ascii="宋体" w:hAnsi="宋体"/>
            <w:noProof/>
            <w:sz w:val="24"/>
          </w:rPr>
          <w:instrText xml:space="preserve"> PAGEREF _Toc244528787 \h </w:instrText>
        </w:r>
        <w:r w:rsidRPr="00EF433C">
          <w:rPr>
            <w:rFonts w:ascii="宋体" w:hAnsi="宋体"/>
            <w:noProof/>
            <w:sz w:val="24"/>
          </w:rPr>
        </w:r>
        <w:r w:rsidRPr="00EF433C">
          <w:rPr>
            <w:rFonts w:ascii="宋体" w:hAnsi="宋体"/>
            <w:noProof/>
            <w:sz w:val="24"/>
          </w:rPr>
          <w:fldChar w:fldCharType="separate"/>
        </w:r>
        <w:r w:rsidRPr="00EF433C">
          <w:rPr>
            <w:rFonts w:ascii="宋体" w:hAnsi="宋体"/>
            <w:noProof/>
            <w:sz w:val="24"/>
          </w:rPr>
          <w:t>39</w:t>
        </w:r>
        <w:r w:rsidRPr="00EF433C">
          <w:rPr>
            <w:rFonts w:ascii="宋体" w:hAnsi="宋体"/>
            <w:noProof/>
            <w:sz w:val="24"/>
          </w:rPr>
          <w:fldChar w:fldCharType="end"/>
        </w:r>
      </w:hyperlink>
    </w:p>
    <w:p w:rsidR="00EF433C" w:rsidRPr="00EF433C" w:rsidRDefault="00EF433C" w:rsidP="00EF433C">
      <w:pPr>
        <w:pStyle w:val="10"/>
        <w:tabs>
          <w:tab w:val="right" w:leader="dot" w:pos="8550"/>
        </w:tabs>
        <w:spacing w:line="360" w:lineRule="auto"/>
        <w:rPr>
          <w:rFonts w:ascii="宋体" w:hAnsi="宋体" w:cstheme="minorBidi"/>
          <w:noProof/>
          <w:sz w:val="24"/>
        </w:rPr>
      </w:pPr>
      <w:hyperlink w:anchor="_Toc244528788" w:history="1">
        <w:r w:rsidRPr="00EF433C">
          <w:rPr>
            <w:rStyle w:val="aa"/>
            <w:rFonts w:ascii="宋体" w:hAnsi="宋体" w:hint="eastAsia"/>
            <w:noProof/>
            <w:sz w:val="24"/>
          </w:rPr>
          <w:t>七、境外投资顾问</w:t>
        </w:r>
        <w:r w:rsidRPr="00EF433C">
          <w:rPr>
            <w:rFonts w:ascii="宋体" w:hAnsi="宋体"/>
            <w:noProof/>
            <w:sz w:val="24"/>
          </w:rPr>
          <w:tab/>
        </w:r>
        <w:r w:rsidRPr="00EF433C">
          <w:rPr>
            <w:rFonts w:ascii="宋体" w:hAnsi="宋体"/>
            <w:noProof/>
            <w:sz w:val="24"/>
          </w:rPr>
          <w:fldChar w:fldCharType="begin"/>
        </w:r>
        <w:r w:rsidRPr="00EF433C">
          <w:rPr>
            <w:rFonts w:ascii="宋体" w:hAnsi="宋体"/>
            <w:noProof/>
            <w:sz w:val="24"/>
          </w:rPr>
          <w:instrText xml:space="preserve"> PAGEREF _Toc244528788 \h </w:instrText>
        </w:r>
        <w:r w:rsidRPr="00EF433C">
          <w:rPr>
            <w:rFonts w:ascii="宋体" w:hAnsi="宋体"/>
            <w:noProof/>
            <w:sz w:val="24"/>
          </w:rPr>
        </w:r>
        <w:r w:rsidRPr="00EF433C">
          <w:rPr>
            <w:rFonts w:ascii="宋体" w:hAnsi="宋体"/>
            <w:noProof/>
            <w:sz w:val="24"/>
          </w:rPr>
          <w:fldChar w:fldCharType="separate"/>
        </w:r>
        <w:r w:rsidRPr="00EF433C">
          <w:rPr>
            <w:rFonts w:ascii="宋体" w:hAnsi="宋体"/>
            <w:noProof/>
            <w:sz w:val="24"/>
          </w:rPr>
          <w:t>48</w:t>
        </w:r>
        <w:r w:rsidRPr="00EF433C">
          <w:rPr>
            <w:rFonts w:ascii="宋体" w:hAnsi="宋体"/>
            <w:noProof/>
            <w:sz w:val="24"/>
          </w:rPr>
          <w:fldChar w:fldCharType="end"/>
        </w:r>
      </w:hyperlink>
    </w:p>
    <w:p w:rsidR="00EF433C" w:rsidRPr="00EF433C" w:rsidRDefault="00EF433C" w:rsidP="00EF433C">
      <w:pPr>
        <w:pStyle w:val="10"/>
        <w:tabs>
          <w:tab w:val="right" w:leader="dot" w:pos="8550"/>
        </w:tabs>
        <w:spacing w:line="360" w:lineRule="auto"/>
        <w:rPr>
          <w:rFonts w:ascii="宋体" w:hAnsi="宋体" w:cstheme="minorBidi"/>
          <w:noProof/>
          <w:sz w:val="24"/>
        </w:rPr>
      </w:pPr>
      <w:hyperlink w:anchor="_Toc244528789" w:history="1">
        <w:r w:rsidRPr="00EF433C">
          <w:rPr>
            <w:rStyle w:val="aa"/>
            <w:rFonts w:ascii="宋体" w:hAnsi="宋体" w:hint="eastAsia"/>
            <w:noProof/>
            <w:sz w:val="24"/>
          </w:rPr>
          <w:t>八、基金的历史沿革</w:t>
        </w:r>
        <w:r w:rsidRPr="00EF433C">
          <w:rPr>
            <w:rFonts w:ascii="宋体" w:hAnsi="宋体"/>
            <w:noProof/>
            <w:sz w:val="24"/>
          </w:rPr>
          <w:tab/>
        </w:r>
        <w:r w:rsidRPr="00EF433C">
          <w:rPr>
            <w:rFonts w:ascii="宋体" w:hAnsi="宋体"/>
            <w:noProof/>
            <w:sz w:val="24"/>
          </w:rPr>
          <w:fldChar w:fldCharType="begin"/>
        </w:r>
        <w:r w:rsidRPr="00EF433C">
          <w:rPr>
            <w:rFonts w:ascii="宋体" w:hAnsi="宋体"/>
            <w:noProof/>
            <w:sz w:val="24"/>
          </w:rPr>
          <w:instrText xml:space="preserve"> PAGEREF _Toc244528789 \h </w:instrText>
        </w:r>
        <w:r w:rsidRPr="00EF433C">
          <w:rPr>
            <w:rFonts w:ascii="宋体" w:hAnsi="宋体"/>
            <w:noProof/>
            <w:sz w:val="24"/>
          </w:rPr>
        </w:r>
        <w:r w:rsidRPr="00EF433C">
          <w:rPr>
            <w:rFonts w:ascii="宋体" w:hAnsi="宋体"/>
            <w:noProof/>
            <w:sz w:val="24"/>
          </w:rPr>
          <w:fldChar w:fldCharType="separate"/>
        </w:r>
        <w:r w:rsidRPr="00EF433C">
          <w:rPr>
            <w:rFonts w:ascii="宋体" w:hAnsi="宋体"/>
            <w:noProof/>
            <w:sz w:val="24"/>
          </w:rPr>
          <w:t>49</w:t>
        </w:r>
        <w:r w:rsidRPr="00EF433C">
          <w:rPr>
            <w:rFonts w:ascii="宋体" w:hAnsi="宋体"/>
            <w:noProof/>
            <w:sz w:val="24"/>
          </w:rPr>
          <w:fldChar w:fldCharType="end"/>
        </w:r>
      </w:hyperlink>
    </w:p>
    <w:p w:rsidR="00EF433C" w:rsidRPr="00EF433C" w:rsidRDefault="00EF433C" w:rsidP="00EF433C">
      <w:pPr>
        <w:pStyle w:val="10"/>
        <w:tabs>
          <w:tab w:val="right" w:leader="dot" w:pos="8550"/>
        </w:tabs>
        <w:spacing w:line="360" w:lineRule="auto"/>
        <w:rPr>
          <w:rFonts w:ascii="宋体" w:hAnsi="宋体" w:cstheme="minorBidi"/>
          <w:noProof/>
          <w:sz w:val="24"/>
        </w:rPr>
      </w:pPr>
      <w:hyperlink w:anchor="_Toc244528790" w:history="1">
        <w:r w:rsidRPr="00EF433C">
          <w:rPr>
            <w:rStyle w:val="aa"/>
            <w:rFonts w:ascii="宋体" w:hAnsi="宋体" w:hint="eastAsia"/>
            <w:noProof/>
            <w:sz w:val="24"/>
          </w:rPr>
          <w:t>九、基金的存续</w:t>
        </w:r>
        <w:r w:rsidRPr="00EF433C">
          <w:rPr>
            <w:rFonts w:ascii="宋体" w:hAnsi="宋体"/>
            <w:noProof/>
            <w:sz w:val="24"/>
          </w:rPr>
          <w:tab/>
        </w:r>
        <w:r w:rsidRPr="00EF433C">
          <w:rPr>
            <w:rFonts w:ascii="宋体" w:hAnsi="宋体"/>
            <w:noProof/>
            <w:sz w:val="24"/>
          </w:rPr>
          <w:fldChar w:fldCharType="begin"/>
        </w:r>
        <w:r w:rsidRPr="00EF433C">
          <w:rPr>
            <w:rFonts w:ascii="宋体" w:hAnsi="宋体"/>
            <w:noProof/>
            <w:sz w:val="24"/>
          </w:rPr>
          <w:instrText xml:space="preserve"> PAGEREF _Toc244528790 \h </w:instrText>
        </w:r>
        <w:r w:rsidRPr="00EF433C">
          <w:rPr>
            <w:rFonts w:ascii="宋体" w:hAnsi="宋体"/>
            <w:noProof/>
            <w:sz w:val="24"/>
          </w:rPr>
        </w:r>
        <w:r w:rsidRPr="00EF433C">
          <w:rPr>
            <w:rFonts w:ascii="宋体" w:hAnsi="宋体"/>
            <w:noProof/>
            <w:sz w:val="24"/>
          </w:rPr>
          <w:fldChar w:fldCharType="separate"/>
        </w:r>
        <w:r w:rsidRPr="00EF433C">
          <w:rPr>
            <w:rFonts w:ascii="宋体" w:hAnsi="宋体"/>
            <w:noProof/>
            <w:sz w:val="24"/>
          </w:rPr>
          <w:t>50</w:t>
        </w:r>
        <w:r w:rsidRPr="00EF433C">
          <w:rPr>
            <w:rFonts w:ascii="宋体" w:hAnsi="宋体"/>
            <w:noProof/>
            <w:sz w:val="24"/>
          </w:rPr>
          <w:fldChar w:fldCharType="end"/>
        </w:r>
      </w:hyperlink>
    </w:p>
    <w:p w:rsidR="00EF433C" w:rsidRPr="00EF433C" w:rsidRDefault="00EF433C" w:rsidP="00EF433C">
      <w:pPr>
        <w:pStyle w:val="10"/>
        <w:tabs>
          <w:tab w:val="right" w:leader="dot" w:pos="8550"/>
        </w:tabs>
        <w:spacing w:line="360" w:lineRule="auto"/>
        <w:rPr>
          <w:rFonts w:ascii="宋体" w:hAnsi="宋体" w:cstheme="minorBidi"/>
          <w:noProof/>
          <w:sz w:val="24"/>
        </w:rPr>
      </w:pPr>
      <w:hyperlink w:anchor="_Toc244528791" w:history="1">
        <w:r w:rsidRPr="00EF433C">
          <w:rPr>
            <w:rStyle w:val="aa"/>
            <w:rFonts w:ascii="宋体" w:hAnsi="宋体" w:hint="eastAsia"/>
            <w:noProof/>
            <w:sz w:val="24"/>
          </w:rPr>
          <w:t>十、基金份额的申购与赎回</w:t>
        </w:r>
        <w:r w:rsidRPr="00EF433C">
          <w:rPr>
            <w:rFonts w:ascii="宋体" w:hAnsi="宋体"/>
            <w:noProof/>
            <w:sz w:val="24"/>
          </w:rPr>
          <w:tab/>
        </w:r>
        <w:r w:rsidRPr="00EF433C">
          <w:rPr>
            <w:rFonts w:ascii="宋体" w:hAnsi="宋体"/>
            <w:noProof/>
            <w:sz w:val="24"/>
          </w:rPr>
          <w:fldChar w:fldCharType="begin"/>
        </w:r>
        <w:r w:rsidRPr="00EF433C">
          <w:rPr>
            <w:rFonts w:ascii="宋体" w:hAnsi="宋体"/>
            <w:noProof/>
            <w:sz w:val="24"/>
          </w:rPr>
          <w:instrText xml:space="preserve"> PAGEREF _Toc244528791 \h </w:instrText>
        </w:r>
        <w:r w:rsidRPr="00EF433C">
          <w:rPr>
            <w:rFonts w:ascii="宋体" w:hAnsi="宋体"/>
            <w:noProof/>
            <w:sz w:val="24"/>
          </w:rPr>
        </w:r>
        <w:r w:rsidRPr="00EF433C">
          <w:rPr>
            <w:rFonts w:ascii="宋体" w:hAnsi="宋体"/>
            <w:noProof/>
            <w:sz w:val="24"/>
          </w:rPr>
          <w:fldChar w:fldCharType="separate"/>
        </w:r>
        <w:r w:rsidRPr="00EF433C">
          <w:rPr>
            <w:rFonts w:ascii="宋体" w:hAnsi="宋体"/>
            <w:noProof/>
            <w:sz w:val="24"/>
          </w:rPr>
          <w:t>51</w:t>
        </w:r>
        <w:r w:rsidRPr="00EF433C">
          <w:rPr>
            <w:rFonts w:ascii="宋体" w:hAnsi="宋体"/>
            <w:noProof/>
            <w:sz w:val="24"/>
          </w:rPr>
          <w:fldChar w:fldCharType="end"/>
        </w:r>
      </w:hyperlink>
    </w:p>
    <w:p w:rsidR="00EF433C" w:rsidRPr="00EF433C" w:rsidRDefault="00EF433C" w:rsidP="00EF433C">
      <w:pPr>
        <w:pStyle w:val="10"/>
        <w:tabs>
          <w:tab w:val="right" w:leader="dot" w:pos="8550"/>
        </w:tabs>
        <w:spacing w:line="360" w:lineRule="auto"/>
        <w:rPr>
          <w:rFonts w:ascii="宋体" w:hAnsi="宋体" w:cstheme="minorBidi"/>
          <w:noProof/>
          <w:sz w:val="24"/>
        </w:rPr>
      </w:pPr>
      <w:hyperlink w:anchor="_Toc244528792" w:history="1">
        <w:r w:rsidRPr="00EF433C">
          <w:rPr>
            <w:rStyle w:val="aa"/>
            <w:rFonts w:ascii="宋体" w:hAnsi="宋体" w:hint="eastAsia"/>
            <w:noProof/>
            <w:sz w:val="24"/>
          </w:rPr>
          <w:t>十一、基金的费用与税收</w:t>
        </w:r>
        <w:r w:rsidRPr="00EF433C">
          <w:rPr>
            <w:rFonts w:ascii="宋体" w:hAnsi="宋体"/>
            <w:noProof/>
            <w:sz w:val="24"/>
          </w:rPr>
          <w:tab/>
        </w:r>
        <w:r w:rsidRPr="00EF433C">
          <w:rPr>
            <w:rFonts w:ascii="宋体" w:hAnsi="宋体"/>
            <w:noProof/>
            <w:sz w:val="24"/>
          </w:rPr>
          <w:fldChar w:fldCharType="begin"/>
        </w:r>
        <w:r w:rsidRPr="00EF433C">
          <w:rPr>
            <w:rFonts w:ascii="宋体" w:hAnsi="宋体"/>
            <w:noProof/>
            <w:sz w:val="24"/>
          </w:rPr>
          <w:instrText xml:space="preserve"> PAGEREF _Toc244528792 \h </w:instrText>
        </w:r>
        <w:r w:rsidRPr="00EF433C">
          <w:rPr>
            <w:rFonts w:ascii="宋体" w:hAnsi="宋体"/>
            <w:noProof/>
            <w:sz w:val="24"/>
          </w:rPr>
        </w:r>
        <w:r w:rsidRPr="00EF433C">
          <w:rPr>
            <w:rFonts w:ascii="宋体" w:hAnsi="宋体"/>
            <w:noProof/>
            <w:sz w:val="24"/>
          </w:rPr>
          <w:fldChar w:fldCharType="separate"/>
        </w:r>
        <w:r w:rsidRPr="00EF433C">
          <w:rPr>
            <w:rFonts w:ascii="宋体" w:hAnsi="宋体"/>
            <w:noProof/>
            <w:sz w:val="24"/>
          </w:rPr>
          <w:t>64</w:t>
        </w:r>
        <w:r w:rsidRPr="00EF433C">
          <w:rPr>
            <w:rFonts w:ascii="宋体" w:hAnsi="宋体"/>
            <w:noProof/>
            <w:sz w:val="24"/>
          </w:rPr>
          <w:fldChar w:fldCharType="end"/>
        </w:r>
      </w:hyperlink>
    </w:p>
    <w:p w:rsidR="00EF433C" w:rsidRPr="00EF433C" w:rsidRDefault="00EF433C" w:rsidP="00EF433C">
      <w:pPr>
        <w:pStyle w:val="10"/>
        <w:tabs>
          <w:tab w:val="right" w:leader="dot" w:pos="8550"/>
        </w:tabs>
        <w:spacing w:line="360" w:lineRule="auto"/>
        <w:rPr>
          <w:rFonts w:ascii="宋体" w:hAnsi="宋体" w:cstheme="minorBidi"/>
          <w:noProof/>
          <w:sz w:val="24"/>
        </w:rPr>
      </w:pPr>
      <w:hyperlink w:anchor="_Toc244528793" w:history="1">
        <w:r w:rsidRPr="00EF433C">
          <w:rPr>
            <w:rStyle w:val="aa"/>
            <w:rFonts w:ascii="宋体" w:hAnsi="宋体" w:hint="eastAsia"/>
            <w:noProof/>
            <w:sz w:val="24"/>
          </w:rPr>
          <w:t>十二、基金的财产</w:t>
        </w:r>
        <w:r w:rsidRPr="00EF433C">
          <w:rPr>
            <w:rFonts w:ascii="宋体" w:hAnsi="宋体"/>
            <w:noProof/>
            <w:sz w:val="24"/>
          </w:rPr>
          <w:tab/>
        </w:r>
        <w:r w:rsidRPr="00EF433C">
          <w:rPr>
            <w:rFonts w:ascii="宋体" w:hAnsi="宋体"/>
            <w:noProof/>
            <w:sz w:val="24"/>
          </w:rPr>
          <w:fldChar w:fldCharType="begin"/>
        </w:r>
        <w:r w:rsidRPr="00EF433C">
          <w:rPr>
            <w:rFonts w:ascii="宋体" w:hAnsi="宋体"/>
            <w:noProof/>
            <w:sz w:val="24"/>
          </w:rPr>
          <w:instrText xml:space="preserve"> PAGEREF _Toc244528793 \h </w:instrText>
        </w:r>
        <w:r w:rsidRPr="00EF433C">
          <w:rPr>
            <w:rFonts w:ascii="宋体" w:hAnsi="宋体"/>
            <w:noProof/>
            <w:sz w:val="24"/>
          </w:rPr>
        </w:r>
        <w:r w:rsidRPr="00EF433C">
          <w:rPr>
            <w:rFonts w:ascii="宋体" w:hAnsi="宋体"/>
            <w:noProof/>
            <w:sz w:val="24"/>
          </w:rPr>
          <w:fldChar w:fldCharType="separate"/>
        </w:r>
        <w:r w:rsidRPr="00EF433C">
          <w:rPr>
            <w:rFonts w:ascii="宋体" w:hAnsi="宋体"/>
            <w:noProof/>
            <w:sz w:val="24"/>
          </w:rPr>
          <w:t>68</w:t>
        </w:r>
        <w:r w:rsidRPr="00EF433C">
          <w:rPr>
            <w:rFonts w:ascii="宋体" w:hAnsi="宋体"/>
            <w:noProof/>
            <w:sz w:val="24"/>
          </w:rPr>
          <w:fldChar w:fldCharType="end"/>
        </w:r>
      </w:hyperlink>
    </w:p>
    <w:p w:rsidR="00EF433C" w:rsidRPr="00EF433C" w:rsidRDefault="00EF433C" w:rsidP="00EF433C">
      <w:pPr>
        <w:pStyle w:val="10"/>
        <w:tabs>
          <w:tab w:val="right" w:leader="dot" w:pos="8550"/>
        </w:tabs>
        <w:spacing w:line="360" w:lineRule="auto"/>
        <w:rPr>
          <w:rFonts w:ascii="宋体" w:hAnsi="宋体" w:cstheme="minorBidi"/>
          <w:noProof/>
          <w:sz w:val="24"/>
        </w:rPr>
      </w:pPr>
      <w:hyperlink w:anchor="_Toc244528794" w:history="1">
        <w:r w:rsidRPr="00EF433C">
          <w:rPr>
            <w:rStyle w:val="aa"/>
            <w:rFonts w:ascii="宋体" w:hAnsi="宋体" w:hint="eastAsia"/>
            <w:noProof/>
            <w:sz w:val="24"/>
          </w:rPr>
          <w:t>十三、基金资产的估值</w:t>
        </w:r>
        <w:r w:rsidRPr="00EF433C">
          <w:rPr>
            <w:rFonts w:ascii="宋体" w:hAnsi="宋体"/>
            <w:noProof/>
            <w:sz w:val="24"/>
          </w:rPr>
          <w:tab/>
        </w:r>
        <w:r w:rsidRPr="00EF433C">
          <w:rPr>
            <w:rFonts w:ascii="宋体" w:hAnsi="宋体"/>
            <w:noProof/>
            <w:sz w:val="24"/>
          </w:rPr>
          <w:fldChar w:fldCharType="begin"/>
        </w:r>
        <w:r w:rsidRPr="00EF433C">
          <w:rPr>
            <w:rFonts w:ascii="宋体" w:hAnsi="宋体"/>
            <w:noProof/>
            <w:sz w:val="24"/>
          </w:rPr>
          <w:instrText xml:space="preserve"> PAGEREF _Toc244528794 \h </w:instrText>
        </w:r>
        <w:r w:rsidRPr="00EF433C">
          <w:rPr>
            <w:rFonts w:ascii="宋体" w:hAnsi="宋体"/>
            <w:noProof/>
            <w:sz w:val="24"/>
          </w:rPr>
        </w:r>
        <w:r w:rsidRPr="00EF433C">
          <w:rPr>
            <w:rFonts w:ascii="宋体" w:hAnsi="宋体"/>
            <w:noProof/>
            <w:sz w:val="24"/>
          </w:rPr>
          <w:fldChar w:fldCharType="separate"/>
        </w:r>
        <w:r w:rsidRPr="00EF433C">
          <w:rPr>
            <w:rFonts w:ascii="宋体" w:hAnsi="宋体"/>
            <w:noProof/>
            <w:sz w:val="24"/>
          </w:rPr>
          <w:t>69</w:t>
        </w:r>
        <w:r w:rsidRPr="00EF433C">
          <w:rPr>
            <w:rFonts w:ascii="宋体" w:hAnsi="宋体"/>
            <w:noProof/>
            <w:sz w:val="24"/>
          </w:rPr>
          <w:fldChar w:fldCharType="end"/>
        </w:r>
      </w:hyperlink>
    </w:p>
    <w:p w:rsidR="00EF433C" w:rsidRPr="00EF433C" w:rsidRDefault="00EF433C" w:rsidP="00EF433C">
      <w:pPr>
        <w:pStyle w:val="10"/>
        <w:tabs>
          <w:tab w:val="right" w:leader="dot" w:pos="8550"/>
        </w:tabs>
        <w:spacing w:line="360" w:lineRule="auto"/>
        <w:rPr>
          <w:rFonts w:ascii="宋体" w:hAnsi="宋体" w:cstheme="minorBidi"/>
          <w:noProof/>
          <w:sz w:val="24"/>
        </w:rPr>
      </w:pPr>
      <w:hyperlink w:anchor="_Toc244528795" w:history="1">
        <w:r w:rsidRPr="00EF433C">
          <w:rPr>
            <w:rStyle w:val="aa"/>
            <w:rFonts w:ascii="宋体" w:hAnsi="宋体" w:hint="eastAsia"/>
            <w:noProof/>
            <w:sz w:val="24"/>
          </w:rPr>
          <w:t>十四、基金的收益与分配</w:t>
        </w:r>
        <w:r w:rsidRPr="00EF433C">
          <w:rPr>
            <w:rFonts w:ascii="宋体" w:hAnsi="宋体"/>
            <w:noProof/>
            <w:sz w:val="24"/>
          </w:rPr>
          <w:tab/>
        </w:r>
        <w:r w:rsidRPr="00EF433C">
          <w:rPr>
            <w:rFonts w:ascii="宋体" w:hAnsi="宋体"/>
            <w:noProof/>
            <w:sz w:val="24"/>
          </w:rPr>
          <w:fldChar w:fldCharType="begin"/>
        </w:r>
        <w:r w:rsidRPr="00EF433C">
          <w:rPr>
            <w:rFonts w:ascii="宋体" w:hAnsi="宋体"/>
            <w:noProof/>
            <w:sz w:val="24"/>
          </w:rPr>
          <w:instrText xml:space="preserve"> PAGEREF _Toc244528795 \h </w:instrText>
        </w:r>
        <w:r w:rsidRPr="00EF433C">
          <w:rPr>
            <w:rFonts w:ascii="宋体" w:hAnsi="宋体"/>
            <w:noProof/>
            <w:sz w:val="24"/>
          </w:rPr>
        </w:r>
        <w:r w:rsidRPr="00EF433C">
          <w:rPr>
            <w:rFonts w:ascii="宋体" w:hAnsi="宋体"/>
            <w:noProof/>
            <w:sz w:val="24"/>
          </w:rPr>
          <w:fldChar w:fldCharType="separate"/>
        </w:r>
        <w:r w:rsidRPr="00EF433C">
          <w:rPr>
            <w:rFonts w:ascii="宋体" w:hAnsi="宋体"/>
            <w:noProof/>
            <w:sz w:val="24"/>
          </w:rPr>
          <w:t>75</w:t>
        </w:r>
        <w:r w:rsidRPr="00EF433C">
          <w:rPr>
            <w:rFonts w:ascii="宋体" w:hAnsi="宋体"/>
            <w:noProof/>
            <w:sz w:val="24"/>
          </w:rPr>
          <w:fldChar w:fldCharType="end"/>
        </w:r>
      </w:hyperlink>
    </w:p>
    <w:p w:rsidR="00EF433C" w:rsidRPr="00EF433C" w:rsidRDefault="00EF433C" w:rsidP="00EF433C">
      <w:pPr>
        <w:pStyle w:val="10"/>
        <w:tabs>
          <w:tab w:val="right" w:leader="dot" w:pos="8550"/>
        </w:tabs>
        <w:spacing w:line="360" w:lineRule="auto"/>
        <w:rPr>
          <w:rFonts w:ascii="宋体" w:hAnsi="宋体" w:cstheme="minorBidi"/>
          <w:noProof/>
          <w:sz w:val="24"/>
        </w:rPr>
      </w:pPr>
      <w:hyperlink w:anchor="_Toc244528796" w:history="1">
        <w:r w:rsidRPr="00EF433C">
          <w:rPr>
            <w:rStyle w:val="aa"/>
            <w:rFonts w:ascii="宋体" w:hAnsi="宋体" w:hint="eastAsia"/>
            <w:noProof/>
            <w:sz w:val="24"/>
          </w:rPr>
          <w:t>十五、基金的会计与审计</w:t>
        </w:r>
        <w:r w:rsidRPr="00EF433C">
          <w:rPr>
            <w:rFonts w:ascii="宋体" w:hAnsi="宋体"/>
            <w:noProof/>
            <w:sz w:val="24"/>
          </w:rPr>
          <w:tab/>
        </w:r>
        <w:r w:rsidRPr="00EF433C">
          <w:rPr>
            <w:rFonts w:ascii="宋体" w:hAnsi="宋体"/>
            <w:noProof/>
            <w:sz w:val="24"/>
          </w:rPr>
          <w:fldChar w:fldCharType="begin"/>
        </w:r>
        <w:r w:rsidRPr="00EF433C">
          <w:rPr>
            <w:rFonts w:ascii="宋体" w:hAnsi="宋体"/>
            <w:noProof/>
            <w:sz w:val="24"/>
          </w:rPr>
          <w:instrText xml:space="preserve"> PAGEREF _Toc244528796 \h </w:instrText>
        </w:r>
        <w:r w:rsidRPr="00EF433C">
          <w:rPr>
            <w:rFonts w:ascii="宋体" w:hAnsi="宋体"/>
            <w:noProof/>
            <w:sz w:val="24"/>
          </w:rPr>
        </w:r>
        <w:r w:rsidRPr="00EF433C">
          <w:rPr>
            <w:rFonts w:ascii="宋体" w:hAnsi="宋体"/>
            <w:noProof/>
            <w:sz w:val="24"/>
          </w:rPr>
          <w:fldChar w:fldCharType="separate"/>
        </w:r>
        <w:r w:rsidRPr="00EF433C">
          <w:rPr>
            <w:rFonts w:ascii="宋体" w:hAnsi="宋体"/>
            <w:noProof/>
            <w:sz w:val="24"/>
          </w:rPr>
          <w:t>77</w:t>
        </w:r>
        <w:r w:rsidRPr="00EF433C">
          <w:rPr>
            <w:rFonts w:ascii="宋体" w:hAnsi="宋体"/>
            <w:noProof/>
            <w:sz w:val="24"/>
          </w:rPr>
          <w:fldChar w:fldCharType="end"/>
        </w:r>
      </w:hyperlink>
    </w:p>
    <w:p w:rsidR="00EF433C" w:rsidRPr="00EF433C" w:rsidRDefault="00EF433C" w:rsidP="00EF433C">
      <w:pPr>
        <w:pStyle w:val="10"/>
        <w:tabs>
          <w:tab w:val="right" w:leader="dot" w:pos="8550"/>
        </w:tabs>
        <w:spacing w:line="360" w:lineRule="auto"/>
        <w:rPr>
          <w:rFonts w:ascii="宋体" w:hAnsi="宋体" w:cstheme="minorBidi"/>
          <w:noProof/>
          <w:sz w:val="24"/>
        </w:rPr>
      </w:pPr>
      <w:hyperlink w:anchor="_Toc244528797" w:history="1">
        <w:r w:rsidRPr="00EF433C">
          <w:rPr>
            <w:rStyle w:val="aa"/>
            <w:rFonts w:ascii="宋体" w:hAnsi="宋体" w:hint="eastAsia"/>
            <w:noProof/>
            <w:sz w:val="24"/>
          </w:rPr>
          <w:t>十六、基金的信息披露</w:t>
        </w:r>
        <w:r w:rsidRPr="00EF433C">
          <w:rPr>
            <w:rFonts w:ascii="宋体" w:hAnsi="宋体"/>
            <w:noProof/>
            <w:sz w:val="24"/>
          </w:rPr>
          <w:tab/>
        </w:r>
        <w:r w:rsidRPr="00EF433C">
          <w:rPr>
            <w:rFonts w:ascii="宋体" w:hAnsi="宋体"/>
            <w:noProof/>
            <w:sz w:val="24"/>
          </w:rPr>
          <w:fldChar w:fldCharType="begin"/>
        </w:r>
        <w:r w:rsidRPr="00EF433C">
          <w:rPr>
            <w:rFonts w:ascii="宋体" w:hAnsi="宋体"/>
            <w:noProof/>
            <w:sz w:val="24"/>
          </w:rPr>
          <w:instrText xml:space="preserve"> PAGEREF _Toc244528797 \h </w:instrText>
        </w:r>
        <w:r w:rsidRPr="00EF433C">
          <w:rPr>
            <w:rFonts w:ascii="宋体" w:hAnsi="宋体"/>
            <w:noProof/>
            <w:sz w:val="24"/>
          </w:rPr>
        </w:r>
        <w:r w:rsidRPr="00EF433C">
          <w:rPr>
            <w:rFonts w:ascii="宋体" w:hAnsi="宋体"/>
            <w:noProof/>
            <w:sz w:val="24"/>
          </w:rPr>
          <w:fldChar w:fldCharType="separate"/>
        </w:r>
        <w:r w:rsidRPr="00EF433C">
          <w:rPr>
            <w:rFonts w:ascii="宋体" w:hAnsi="宋体"/>
            <w:noProof/>
            <w:sz w:val="24"/>
          </w:rPr>
          <w:t>78</w:t>
        </w:r>
        <w:r w:rsidRPr="00EF433C">
          <w:rPr>
            <w:rFonts w:ascii="宋体" w:hAnsi="宋体"/>
            <w:noProof/>
            <w:sz w:val="24"/>
          </w:rPr>
          <w:fldChar w:fldCharType="end"/>
        </w:r>
      </w:hyperlink>
    </w:p>
    <w:p w:rsidR="00EF433C" w:rsidRPr="00EF433C" w:rsidRDefault="00EF433C" w:rsidP="00EF433C">
      <w:pPr>
        <w:pStyle w:val="10"/>
        <w:tabs>
          <w:tab w:val="right" w:leader="dot" w:pos="8550"/>
        </w:tabs>
        <w:spacing w:line="360" w:lineRule="auto"/>
        <w:rPr>
          <w:rFonts w:ascii="宋体" w:hAnsi="宋体" w:cstheme="minorBidi"/>
          <w:noProof/>
          <w:sz w:val="24"/>
        </w:rPr>
      </w:pPr>
      <w:hyperlink w:anchor="_Toc244528798" w:history="1">
        <w:r w:rsidRPr="00EF433C">
          <w:rPr>
            <w:rStyle w:val="aa"/>
            <w:rFonts w:ascii="宋体" w:hAnsi="宋体" w:hint="eastAsia"/>
            <w:noProof/>
            <w:sz w:val="24"/>
          </w:rPr>
          <w:t>十七、侧袋机制</w:t>
        </w:r>
        <w:r w:rsidRPr="00EF433C">
          <w:rPr>
            <w:rFonts w:ascii="宋体" w:hAnsi="宋体"/>
            <w:noProof/>
            <w:sz w:val="24"/>
          </w:rPr>
          <w:tab/>
        </w:r>
        <w:r w:rsidRPr="00EF433C">
          <w:rPr>
            <w:rFonts w:ascii="宋体" w:hAnsi="宋体"/>
            <w:noProof/>
            <w:sz w:val="24"/>
          </w:rPr>
          <w:fldChar w:fldCharType="begin"/>
        </w:r>
        <w:r w:rsidRPr="00EF433C">
          <w:rPr>
            <w:rFonts w:ascii="宋体" w:hAnsi="宋体"/>
            <w:noProof/>
            <w:sz w:val="24"/>
          </w:rPr>
          <w:instrText xml:space="preserve"> PAGEREF _Toc244528798 \h </w:instrText>
        </w:r>
        <w:r w:rsidRPr="00EF433C">
          <w:rPr>
            <w:rFonts w:ascii="宋体" w:hAnsi="宋体"/>
            <w:noProof/>
            <w:sz w:val="24"/>
          </w:rPr>
        </w:r>
        <w:r w:rsidRPr="00EF433C">
          <w:rPr>
            <w:rFonts w:ascii="宋体" w:hAnsi="宋体"/>
            <w:noProof/>
            <w:sz w:val="24"/>
          </w:rPr>
          <w:fldChar w:fldCharType="separate"/>
        </w:r>
        <w:r w:rsidRPr="00EF433C">
          <w:rPr>
            <w:rFonts w:ascii="宋体" w:hAnsi="宋体"/>
            <w:noProof/>
            <w:sz w:val="24"/>
          </w:rPr>
          <w:t>84</w:t>
        </w:r>
        <w:r w:rsidRPr="00EF433C">
          <w:rPr>
            <w:rFonts w:ascii="宋体" w:hAnsi="宋体"/>
            <w:noProof/>
            <w:sz w:val="24"/>
          </w:rPr>
          <w:fldChar w:fldCharType="end"/>
        </w:r>
      </w:hyperlink>
    </w:p>
    <w:p w:rsidR="00EF433C" w:rsidRPr="00EF433C" w:rsidRDefault="00EF433C" w:rsidP="00EF433C">
      <w:pPr>
        <w:pStyle w:val="10"/>
        <w:tabs>
          <w:tab w:val="right" w:leader="dot" w:pos="8550"/>
        </w:tabs>
        <w:spacing w:line="360" w:lineRule="auto"/>
        <w:rPr>
          <w:rFonts w:ascii="宋体" w:hAnsi="宋体" w:cstheme="minorBidi"/>
          <w:noProof/>
          <w:sz w:val="24"/>
        </w:rPr>
      </w:pPr>
      <w:hyperlink w:anchor="_Toc244528799" w:history="1">
        <w:r w:rsidRPr="00EF433C">
          <w:rPr>
            <w:rStyle w:val="aa"/>
            <w:rFonts w:ascii="宋体" w:hAnsi="宋体" w:hint="eastAsia"/>
            <w:noProof/>
            <w:sz w:val="24"/>
          </w:rPr>
          <w:t>十八、基金合同的终止与基金财产的清算</w:t>
        </w:r>
        <w:r w:rsidRPr="00EF433C">
          <w:rPr>
            <w:rFonts w:ascii="宋体" w:hAnsi="宋体"/>
            <w:noProof/>
            <w:sz w:val="24"/>
          </w:rPr>
          <w:tab/>
        </w:r>
        <w:r w:rsidRPr="00EF433C">
          <w:rPr>
            <w:rFonts w:ascii="宋体" w:hAnsi="宋体"/>
            <w:noProof/>
            <w:sz w:val="24"/>
          </w:rPr>
          <w:fldChar w:fldCharType="begin"/>
        </w:r>
        <w:r w:rsidRPr="00EF433C">
          <w:rPr>
            <w:rFonts w:ascii="宋体" w:hAnsi="宋体"/>
            <w:noProof/>
            <w:sz w:val="24"/>
          </w:rPr>
          <w:instrText xml:space="preserve"> PAGEREF _Toc244528799 \h </w:instrText>
        </w:r>
        <w:r w:rsidRPr="00EF433C">
          <w:rPr>
            <w:rFonts w:ascii="宋体" w:hAnsi="宋体"/>
            <w:noProof/>
            <w:sz w:val="24"/>
          </w:rPr>
        </w:r>
        <w:r w:rsidRPr="00EF433C">
          <w:rPr>
            <w:rFonts w:ascii="宋体" w:hAnsi="宋体"/>
            <w:noProof/>
            <w:sz w:val="24"/>
          </w:rPr>
          <w:fldChar w:fldCharType="separate"/>
        </w:r>
        <w:r w:rsidRPr="00EF433C">
          <w:rPr>
            <w:rFonts w:ascii="宋体" w:hAnsi="宋体"/>
            <w:noProof/>
            <w:sz w:val="24"/>
          </w:rPr>
          <w:t>87</w:t>
        </w:r>
        <w:r w:rsidRPr="00EF433C">
          <w:rPr>
            <w:rFonts w:ascii="宋体" w:hAnsi="宋体"/>
            <w:noProof/>
            <w:sz w:val="24"/>
          </w:rPr>
          <w:fldChar w:fldCharType="end"/>
        </w:r>
      </w:hyperlink>
    </w:p>
    <w:p w:rsidR="00EF433C" w:rsidRPr="00EF433C" w:rsidRDefault="00EF433C" w:rsidP="00EF433C">
      <w:pPr>
        <w:pStyle w:val="10"/>
        <w:tabs>
          <w:tab w:val="right" w:leader="dot" w:pos="8550"/>
        </w:tabs>
        <w:spacing w:line="360" w:lineRule="auto"/>
        <w:rPr>
          <w:rFonts w:ascii="宋体" w:hAnsi="宋体" w:cstheme="minorBidi"/>
          <w:noProof/>
          <w:sz w:val="24"/>
        </w:rPr>
      </w:pPr>
      <w:hyperlink w:anchor="_Toc244528800" w:history="1">
        <w:r w:rsidRPr="00EF433C">
          <w:rPr>
            <w:rStyle w:val="aa"/>
            <w:rFonts w:ascii="宋体" w:hAnsi="宋体" w:hint="eastAsia"/>
            <w:noProof/>
            <w:sz w:val="24"/>
          </w:rPr>
          <w:t>十九、基金托管人</w:t>
        </w:r>
        <w:r w:rsidRPr="00EF433C">
          <w:rPr>
            <w:rFonts w:ascii="宋体" w:hAnsi="宋体"/>
            <w:noProof/>
            <w:sz w:val="24"/>
          </w:rPr>
          <w:tab/>
        </w:r>
        <w:r w:rsidRPr="00EF433C">
          <w:rPr>
            <w:rFonts w:ascii="宋体" w:hAnsi="宋体"/>
            <w:noProof/>
            <w:sz w:val="24"/>
          </w:rPr>
          <w:fldChar w:fldCharType="begin"/>
        </w:r>
        <w:r w:rsidRPr="00EF433C">
          <w:rPr>
            <w:rFonts w:ascii="宋体" w:hAnsi="宋体"/>
            <w:noProof/>
            <w:sz w:val="24"/>
          </w:rPr>
          <w:instrText xml:space="preserve"> PAGEREF _Toc244528800 \h </w:instrText>
        </w:r>
        <w:r w:rsidRPr="00EF433C">
          <w:rPr>
            <w:rFonts w:ascii="宋体" w:hAnsi="宋体"/>
            <w:noProof/>
            <w:sz w:val="24"/>
          </w:rPr>
        </w:r>
        <w:r w:rsidRPr="00EF433C">
          <w:rPr>
            <w:rFonts w:ascii="宋体" w:hAnsi="宋体"/>
            <w:noProof/>
            <w:sz w:val="24"/>
          </w:rPr>
          <w:fldChar w:fldCharType="separate"/>
        </w:r>
        <w:r w:rsidRPr="00EF433C">
          <w:rPr>
            <w:rFonts w:ascii="宋体" w:hAnsi="宋体"/>
            <w:noProof/>
            <w:sz w:val="24"/>
          </w:rPr>
          <w:t>89</w:t>
        </w:r>
        <w:r w:rsidRPr="00EF433C">
          <w:rPr>
            <w:rFonts w:ascii="宋体" w:hAnsi="宋体"/>
            <w:noProof/>
            <w:sz w:val="24"/>
          </w:rPr>
          <w:fldChar w:fldCharType="end"/>
        </w:r>
      </w:hyperlink>
    </w:p>
    <w:p w:rsidR="00EF433C" w:rsidRPr="00EF433C" w:rsidRDefault="00EF433C" w:rsidP="00EF433C">
      <w:pPr>
        <w:pStyle w:val="10"/>
        <w:tabs>
          <w:tab w:val="right" w:leader="dot" w:pos="8550"/>
        </w:tabs>
        <w:spacing w:line="360" w:lineRule="auto"/>
        <w:rPr>
          <w:rFonts w:ascii="宋体" w:hAnsi="宋体" w:cstheme="minorBidi"/>
          <w:noProof/>
          <w:sz w:val="24"/>
        </w:rPr>
      </w:pPr>
      <w:hyperlink w:anchor="_Toc244528801" w:history="1">
        <w:r w:rsidRPr="00EF433C">
          <w:rPr>
            <w:rStyle w:val="aa"/>
            <w:rFonts w:ascii="宋体" w:hAnsi="宋体" w:hint="eastAsia"/>
            <w:noProof/>
            <w:sz w:val="24"/>
          </w:rPr>
          <w:t>二十、境外资产托管人</w:t>
        </w:r>
        <w:r w:rsidRPr="00EF433C">
          <w:rPr>
            <w:rFonts w:ascii="宋体" w:hAnsi="宋体"/>
            <w:noProof/>
            <w:sz w:val="24"/>
          </w:rPr>
          <w:tab/>
        </w:r>
        <w:r w:rsidRPr="00EF433C">
          <w:rPr>
            <w:rFonts w:ascii="宋体" w:hAnsi="宋体"/>
            <w:noProof/>
            <w:sz w:val="24"/>
          </w:rPr>
          <w:fldChar w:fldCharType="begin"/>
        </w:r>
        <w:r w:rsidRPr="00EF433C">
          <w:rPr>
            <w:rFonts w:ascii="宋体" w:hAnsi="宋体"/>
            <w:noProof/>
            <w:sz w:val="24"/>
          </w:rPr>
          <w:instrText xml:space="preserve"> PAGEREF _Toc244528801 \h </w:instrText>
        </w:r>
        <w:r w:rsidRPr="00EF433C">
          <w:rPr>
            <w:rFonts w:ascii="宋体" w:hAnsi="宋体"/>
            <w:noProof/>
            <w:sz w:val="24"/>
          </w:rPr>
        </w:r>
        <w:r w:rsidRPr="00EF433C">
          <w:rPr>
            <w:rFonts w:ascii="宋体" w:hAnsi="宋体"/>
            <w:noProof/>
            <w:sz w:val="24"/>
          </w:rPr>
          <w:fldChar w:fldCharType="separate"/>
        </w:r>
        <w:r w:rsidRPr="00EF433C">
          <w:rPr>
            <w:rFonts w:ascii="宋体" w:hAnsi="宋体"/>
            <w:noProof/>
            <w:sz w:val="24"/>
          </w:rPr>
          <w:t>92</w:t>
        </w:r>
        <w:r w:rsidRPr="00EF433C">
          <w:rPr>
            <w:rFonts w:ascii="宋体" w:hAnsi="宋体"/>
            <w:noProof/>
            <w:sz w:val="24"/>
          </w:rPr>
          <w:fldChar w:fldCharType="end"/>
        </w:r>
      </w:hyperlink>
    </w:p>
    <w:p w:rsidR="00EF433C" w:rsidRPr="00EF433C" w:rsidRDefault="00EF433C" w:rsidP="00EF433C">
      <w:pPr>
        <w:pStyle w:val="10"/>
        <w:tabs>
          <w:tab w:val="right" w:leader="dot" w:pos="8550"/>
        </w:tabs>
        <w:spacing w:line="360" w:lineRule="auto"/>
        <w:rPr>
          <w:rFonts w:ascii="宋体" w:hAnsi="宋体" w:cstheme="minorBidi"/>
          <w:noProof/>
          <w:sz w:val="24"/>
        </w:rPr>
      </w:pPr>
      <w:hyperlink w:anchor="_Toc244528802" w:history="1">
        <w:r w:rsidRPr="00EF433C">
          <w:rPr>
            <w:rStyle w:val="aa"/>
            <w:rFonts w:ascii="宋体" w:hAnsi="宋体" w:hint="eastAsia"/>
            <w:noProof/>
            <w:sz w:val="24"/>
          </w:rPr>
          <w:t>二十一、相关服务机构</w:t>
        </w:r>
        <w:r w:rsidRPr="00EF433C">
          <w:rPr>
            <w:rFonts w:ascii="宋体" w:hAnsi="宋体"/>
            <w:noProof/>
            <w:sz w:val="24"/>
          </w:rPr>
          <w:tab/>
        </w:r>
        <w:r w:rsidRPr="00EF433C">
          <w:rPr>
            <w:rFonts w:ascii="宋体" w:hAnsi="宋体"/>
            <w:noProof/>
            <w:sz w:val="24"/>
          </w:rPr>
          <w:fldChar w:fldCharType="begin"/>
        </w:r>
        <w:r w:rsidRPr="00EF433C">
          <w:rPr>
            <w:rFonts w:ascii="宋体" w:hAnsi="宋体"/>
            <w:noProof/>
            <w:sz w:val="24"/>
          </w:rPr>
          <w:instrText xml:space="preserve"> PAGEREF _Toc244528802 \h </w:instrText>
        </w:r>
        <w:r w:rsidRPr="00EF433C">
          <w:rPr>
            <w:rFonts w:ascii="宋体" w:hAnsi="宋体"/>
            <w:noProof/>
            <w:sz w:val="24"/>
          </w:rPr>
        </w:r>
        <w:r w:rsidRPr="00EF433C">
          <w:rPr>
            <w:rFonts w:ascii="宋体" w:hAnsi="宋体"/>
            <w:noProof/>
            <w:sz w:val="24"/>
          </w:rPr>
          <w:fldChar w:fldCharType="separate"/>
        </w:r>
        <w:r w:rsidRPr="00EF433C">
          <w:rPr>
            <w:rFonts w:ascii="宋体" w:hAnsi="宋体"/>
            <w:noProof/>
            <w:sz w:val="24"/>
          </w:rPr>
          <w:t>94</w:t>
        </w:r>
        <w:r w:rsidRPr="00EF433C">
          <w:rPr>
            <w:rFonts w:ascii="宋体" w:hAnsi="宋体"/>
            <w:noProof/>
            <w:sz w:val="24"/>
          </w:rPr>
          <w:fldChar w:fldCharType="end"/>
        </w:r>
      </w:hyperlink>
    </w:p>
    <w:p w:rsidR="00EF433C" w:rsidRPr="00EF433C" w:rsidRDefault="00EF433C" w:rsidP="00EF433C">
      <w:pPr>
        <w:pStyle w:val="10"/>
        <w:tabs>
          <w:tab w:val="right" w:leader="dot" w:pos="8550"/>
        </w:tabs>
        <w:spacing w:line="360" w:lineRule="auto"/>
        <w:rPr>
          <w:rFonts w:ascii="宋体" w:hAnsi="宋体" w:cstheme="minorBidi"/>
          <w:noProof/>
          <w:sz w:val="24"/>
        </w:rPr>
      </w:pPr>
      <w:hyperlink w:anchor="_Toc244528803" w:history="1">
        <w:r w:rsidRPr="00EF433C">
          <w:rPr>
            <w:rStyle w:val="aa"/>
            <w:rFonts w:ascii="宋体" w:hAnsi="宋体" w:hint="eastAsia"/>
            <w:noProof/>
            <w:sz w:val="24"/>
          </w:rPr>
          <w:t>二十二、基金合同内容摘要</w:t>
        </w:r>
        <w:r w:rsidRPr="00EF433C">
          <w:rPr>
            <w:rFonts w:ascii="宋体" w:hAnsi="宋体"/>
            <w:noProof/>
            <w:sz w:val="24"/>
          </w:rPr>
          <w:tab/>
        </w:r>
        <w:r w:rsidRPr="00EF433C">
          <w:rPr>
            <w:rFonts w:ascii="宋体" w:hAnsi="宋体"/>
            <w:noProof/>
            <w:sz w:val="24"/>
          </w:rPr>
          <w:fldChar w:fldCharType="begin"/>
        </w:r>
        <w:r w:rsidRPr="00EF433C">
          <w:rPr>
            <w:rFonts w:ascii="宋体" w:hAnsi="宋体"/>
            <w:noProof/>
            <w:sz w:val="24"/>
          </w:rPr>
          <w:instrText xml:space="preserve"> PAGEREF _Toc244528803 \h </w:instrText>
        </w:r>
        <w:r w:rsidRPr="00EF433C">
          <w:rPr>
            <w:rFonts w:ascii="宋体" w:hAnsi="宋体"/>
            <w:noProof/>
            <w:sz w:val="24"/>
          </w:rPr>
        </w:r>
        <w:r w:rsidRPr="00EF433C">
          <w:rPr>
            <w:rFonts w:ascii="宋体" w:hAnsi="宋体"/>
            <w:noProof/>
            <w:sz w:val="24"/>
          </w:rPr>
          <w:fldChar w:fldCharType="separate"/>
        </w:r>
        <w:r w:rsidRPr="00EF433C">
          <w:rPr>
            <w:rFonts w:ascii="宋体" w:hAnsi="宋体"/>
            <w:noProof/>
            <w:sz w:val="24"/>
          </w:rPr>
          <w:t>130</w:t>
        </w:r>
        <w:r w:rsidRPr="00EF433C">
          <w:rPr>
            <w:rFonts w:ascii="宋体" w:hAnsi="宋体"/>
            <w:noProof/>
            <w:sz w:val="24"/>
          </w:rPr>
          <w:fldChar w:fldCharType="end"/>
        </w:r>
      </w:hyperlink>
    </w:p>
    <w:p w:rsidR="00EF433C" w:rsidRPr="00EF433C" w:rsidRDefault="00EF433C" w:rsidP="00EF433C">
      <w:pPr>
        <w:pStyle w:val="10"/>
        <w:tabs>
          <w:tab w:val="right" w:leader="dot" w:pos="8550"/>
        </w:tabs>
        <w:spacing w:line="360" w:lineRule="auto"/>
        <w:rPr>
          <w:rFonts w:ascii="宋体" w:hAnsi="宋体" w:cstheme="minorBidi"/>
          <w:noProof/>
          <w:sz w:val="24"/>
        </w:rPr>
      </w:pPr>
      <w:hyperlink w:anchor="_Toc244528804" w:history="1">
        <w:r w:rsidRPr="00EF433C">
          <w:rPr>
            <w:rStyle w:val="aa"/>
            <w:rFonts w:ascii="宋体" w:hAnsi="宋体" w:hint="eastAsia"/>
            <w:noProof/>
            <w:sz w:val="24"/>
          </w:rPr>
          <w:t>二十三、托管协议的内容摘要</w:t>
        </w:r>
        <w:r w:rsidRPr="00EF433C">
          <w:rPr>
            <w:rFonts w:ascii="宋体" w:hAnsi="宋体"/>
            <w:noProof/>
            <w:sz w:val="24"/>
          </w:rPr>
          <w:tab/>
        </w:r>
        <w:r w:rsidRPr="00EF433C">
          <w:rPr>
            <w:rFonts w:ascii="宋体" w:hAnsi="宋体"/>
            <w:noProof/>
            <w:sz w:val="24"/>
          </w:rPr>
          <w:fldChar w:fldCharType="begin"/>
        </w:r>
        <w:r w:rsidRPr="00EF433C">
          <w:rPr>
            <w:rFonts w:ascii="宋体" w:hAnsi="宋体"/>
            <w:noProof/>
            <w:sz w:val="24"/>
          </w:rPr>
          <w:instrText xml:space="preserve"> PAGEREF _Toc244528804 \h </w:instrText>
        </w:r>
        <w:r w:rsidRPr="00EF433C">
          <w:rPr>
            <w:rFonts w:ascii="宋体" w:hAnsi="宋体"/>
            <w:noProof/>
            <w:sz w:val="24"/>
          </w:rPr>
        </w:r>
        <w:r w:rsidRPr="00EF433C">
          <w:rPr>
            <w:rFonts w:ascii="宋体" w:hAnsi="宋体"/>
            <w:noProof/>
            <w:sz w:val="24"/>
          </w:rPr>
          <w:fldChar w:fldCharType="separate"/>
        </w:r>
        <w:r w:rsidRPr="00EF433C">
          <w:rPr>
            <w:rFonts w:ascii="宋体" w:hAnsi="宋体"/>
            <w:noProof/>
            <w:sz w:val="24"/>
          </w:rPr>
          <w:t>148</w:t>
        </w:r>
        <w:r w:rsidRPr="00EF433C">
          <w:rPr>
            <w:rFonts w:ascii="宋体" w:hAnsi="宋体"/>
            <w:noProof/>
            <w:sz w:val="24"/>
          </w:rPr>
          <w:fldChar w:fldCharType="end"/>
        </w:r>
      </w:hyperlink>
    </w:p>
    <w:p w:rsidR="00EF433C" w:rsidRPr="00EF433C" w:rsidRDefault="00EF433C" w:rsidP="00EF433C">
      <w:pPr>
        <w:pStyle w:val="10"/>
        <w:tabs>
          <w:tab w:val="right" w:leader="dot" w:pos="8550"/>
        </w:tabs>
        <w:spacing w:line="360" w:lineRule="auto"/>
        <w:rPr>
          <w:rFonts w:ascii="宋体" w:hAnsi="宋体" w:cstheme="minorBidi"/>
          <w:noProof/>
          <w:sz w:val="24"/>
        </w:rPr>
      </w:pPr>
      <w:hyperlink w:anchor="_Toc244528805" w:history="1">
        <w:r w:rsidRPr="00EF433C">
          <w:rPr>
            <w:rStyle w:val="aa"/>
            <w:rFonts w:ascii="宋体" w:hAnsi="宋体" w:hint="eastAsia"/>
            <w:noProof/>
            <w:sz w:val="24"/>
          </w:rPr>
          <w:t>二十四、对基金份额持有人的服务</w:t>
        </w:r>
        <w:r w:rsidRPr="00EF433C">
          <w:rPr>
            <w:rFonts w:ascii="宋体" w:hAnsi="宋体"/>
            <w:noProof/>
            <w:sz w:val="24"/>
          </w:rPr>
          <w:tab/>
        </w:r>
        <w:r w:rsidRPr="00EF433C">
          <w:rPr>
            <w:rFonts w:ascii="宋体" w:hAnsi="宋体"/>
            <w:noProof/>
            <w:sz w:val="24"/>
          </w:rPr>
          <w:fldChar w:fldCharType="begin"/>
        </w:r>
        <w:r w:rsidRPr="00EF433C">
          <w:rPr>
            <w:rFonts w:ascii="宋体" w:hAnsi="宋体"/>
            <w:noProof/>
            <w:sz w:val="24"/>
          </w:rPr>
          <w:instrText xml:space="preserve"> PAGEREF _Toc244528805 \h </w:instrText>
        </w:r>
        <w:r w:rsidRPr="00EF433C">
          <w:rPr>
            <w:rFonts w:ascii="宋体" w:hAnsi="宋体"/>
            <w:noProof/>
            <w:sz w:val="24"/>
          </w:rPr>
        </w:r>
        <w:r w:rsidRPr="00EF433C">
          <w:rPr>
            <w:rFonts w:ascii="宋体" w:hAnsi="宋体"/>
            <w:noProof/>
            <w:sz w:val="24"/>
          </w:rPr>
          <w:fldChar w:fldCharType="separate"/>
        </w:r>
        <w:r w:rsidRPr="00EF433C">
          <w:rPr>
            <w:rFonts w:ascii="宋体" w:hAnsi="宋体"/>
            <w:noProof/>
            <w:sz w:val="24"/>
          </w:rPr>
          <w:t>158</w:t>
        </w:r>
        <w:r w:rsidRPr="00EF433C">
          <w:rPr>
            <w:rFonts w:ascii="宋体" w:hAnsi="宋体"/>
            <w:noProof/>
            <w:sz w:val="24"/>
          </w:rPr>
          <w:fldChar w:fldCharType="end"/>
        </w:r>
      </w:hyperlink>
    </w:p>
    <w:p w:rsidR="00EF433C" w:rsidRPr="00EF433C" w:rsidRDefault="00EF433C" w:rsidP="00EF433C">
      <w:pPr>
        <w:pStyle w:val="10"/>
        <w:tabs>
          <w:tab w:val="right" w:leader="dot" w:pos="8550"/>
        </w:tabs>
        <w:spacing w:line="360" w:lineRule="auto"/>
        <w:rPr>
          <w:rFonts w:ascii="宋体" w:hAnsi="宋体" w:cstheme="minorBidi"/>
          <w:noProof/>
          <w:sz w:val="24"/>
        </w:rPr>
      </w:pPr>
      <w:hyperlink w:anchor="_Toc244528806" w:history="1">
        <w:r w:rsidRPr="00EF433C">
          <w:rPr>
            <w:rStyle w:val="aa"/>
            <w:rFonts w:ascii="宋体" w:hAnsi="宋体" w:hint="eastAsia"/>
            <w:noProof/>
            <w:sz w:val="24"/>
          </w:rPr>
          <w:t>二十五、其他应披露事项</w:t>
        </w:r>
        <w:r w:rsidRPr="00EF433C">
          <w:rPr>
            <w:rFonts w:ascii="宋体" w:hAnsi="宋体"/>
            <w:noProof/>
            <w:sz w:val="24"/>
          </w:rPr>
          <w:tab/>
        </w:r>
        <w:r w:rsidRPr="00EF433C">
          <w:rPr>
            <w:rFonts w:ascii="宋体" w:hAnsi="宋体"/>
            <w:noProof/>
            <w:sz w:val="24"/>
          </w:rPr>
          <w:fldChar w:fldCharType="begin"/>
        </w:r>
        <w:r w:rsidRPr="00EF433C">
          <w:rPr>
            <w:rFonts w:ascii="宋体" w:hAnsi="宋体"/>
            <w:noProof/>
            <w:sz w:val="24"/>
          </w:rPr>
          <w:instrText xml:space="preserve"> PAGEREF _Toc244528806 \h </w:instrText>
        </w:r>
        <w:r w:rsidRPr="00EF433C">
          <w:rPr>
            <w:rFonts w:ascii="宋体" w:hAnsi="宋体"/>
            <w:noProof/>
            <w:sz w:val="24"/>
          </w:rPr>
        </w:r>
        <w:r w:rsidRPr="00EF433C">
          <w:rPr>
            <w:rFonts w:ascii="宋体" w:hAnsi="宋体"/>
            <w:noProof/>
            <w:sz w:val="24"/>
          </w:rPr>
          <w:fldChar w:fldCharType="separate"/>
        </w:r>
        <w:r w:rsidRPr="00EF433C">
          <w:rPr>
            <w:rFonts w:ascii="宋体" w:hAnsi="宋体"/>
            <w:noProof/>
            <w:sz w:val="24"/>
          </w:rPr>
          <w:t>160</w:t>
        </w:r>
        <w:r w:rsidRPr="00EF433C">
          <w:rPr>
            <w:rFonts w:ascii="宋体" w:hAnsi="宋体"/>
            <w:noProof/>
            <w:sz w:val="24"/>
          </w:rPr>
          <w:fldChar w:fldCharType="end"/>
        </w:r>
      </w:hyperlink>
    </w:p>
    <w:p w:rsidR="00EF433C" w:rsidRPr="00EF433C" w:rsidRDefault="00EF433C" w:rsidP="00EF433C">
      <w:pPr>
        <w:pStyle w:val="10"/>
        <w:tabs>
          <w:tab w:val="right" w:leader="dot" w:pos="8550"/>
        </w:tabs>
        <w:spacing w:line="360" w:lineRule="auto"/>
        <w:rPr>
          <w:rFonts w:ascii="宋体" w:hAnsi="宋体" w:cstheme="minorBidi"/>
          <w:noProof/>
          <w:sz w:val="24"/>
        </w:rPr>
      </w:pPr>
      <w:hyperlink w:anchor="_Toc244528807" w:history="1">
        <w:r w:rsidRPr="00EF433C">
          <w:rPr>
            <w:rStyle w:val="aa"/>
            <w:rFonts w:ascii="宋体" w:hAnsi="宋体" w:hint="eastAsia"/>
            <w:noProof/>
            <w:sz w:val="24"/>
          </w:rPr>
          <w:t>二十六、招募说明书的存放及查阅方式</w:t>
        </w:r>
        <w:r w:rsidRPr="00EF433C">
          <w:rPr>
            <w:rFonts w:ascii="宋体" w:hAnsi="宋体"/>
            <w:noProof/>
            <w:sz w:val="24"/>
          </w:rPr>
          <w:tab/>
        </w:r>
        <w:r w:rsidRPr="00EF433C">
          <w:rPr>
            <w:rFonts w:ascii="宋体" w:hAnsi="宋体"/>
            <w:noProof/>
            <w:sz w:val="24"/>
          </w:rPr>
          <w:fldChar w:fldCharType="begin"/>
        </w:r>
        <w:r w:rsidRPr="00EF433C">
          <w:rPr>
            <w:rFonts w:ascii="宋体" w:hAnsi="宋体"/>
            <w:noProof/>
            <w:sz w:val="24"/>
          </w:rPr>
          <w:instrText xml:space="preserve"> PAGEREF _Toc244528807 \h </w:instrText>
        </w:r>
        <w:r w:rsidRPr="00EF433C">
          <w:rPr>
            <w:rFonts w:ascii="宋体" w:hAnsi="宋体"/>
            <w:noProof/>
            <w:sz w:val="24"/>
          </w:rPr>
        </w:r>
        <w:r w:rsidRPr="00EF433C">
          <w:rPr>
            <w:rFonts w:ascii="宋体" w:hAnsi="宋体"/>
            <w:noProof/>
            <w:sz w:val="24"/>
          </w:rPr>
          <w:fldChar w:fldCharType="separate"/>
        </w:r>
        <w:r w:rsidRPr="00EF433C">
          <w:rPr>
            <w:rFonts w:ascii="宋体" w:hAnsi="宋体"/>
            <w:noProof/>
            <w:sz w:val="24"/>
          </w:rPr>
          <w:t>164</w:t>
        </w:r>
        <w:r w:rsidRPr="00EF433C">
          <w:rPr>
            <w:rFonts w:ascii="宋体" w:hAnsi="宋体"/>
            <w:noProof/>
            <w:sz w:val="24"/>
          </w:rPr>
          <w:fldChar w:fldCharType="end"/>
        </w:r>
      </w:hyperlink>
    </w:p>
    <w:p w:rsidR="00EF433C" w:rsidRPr="00EF433C" w:rsidRDefault="00EF433C" w:rsidP="00EF433C">
      <w:pPr>
        <w:pStyle w:val="10"/>
        <w:tabs>
          <w:tab w:val="right" w:leader="dot" w:pos="8550"/>
        </w:tabs>
        <w:spacing w:line="360" w:lineRule="auto"/>
        <w:rPr>
          <w:rFonts w:ascii="宋体" w:hAnsi="宋体" w:cstheme="minorBidi"/>
          <w:noProof/>
          <w:sz w:val="24"/>
        </w:rPr>
      </w:pPr>
      <w:hyperlink w:anchor="_Toc244528808" w:history="1">
        <w:r w:rsidRPr="00EF433C">
          <w:rPr>
            <w:rStyle w:val="aa"/>
            <w:rFonts w:ascii="宋体" w:hAnsi="宋体" w:hint="eastAsia"/>
            <w:noProof/>
            <w:sz w:val="24"/>
          </w:rPr>
          <w:t>二十七、备查文件</w:t>
        </w:r>
        <w:r w:rsidRPr="00EF433C">
          <w:rPr>
            <w:rFonts w:ascii="宋体" w:hAnsi="宋体"/>
            <w:noProof/>
            <w:sz w:val="24"/>
          </w:rPr>
          <w:tab/>
        </w:r>
        <w:r w:rsidRPr="00EF433C">
          <w:rPr>
            <w:rFonts w:ascii="宋体" w:hAnsi="宋体"/>
            <w:noProof/>
            <w:sz w:val="24"/>
          </w:rPr>
          <w:fldChar w:fldCharType="begin"/>
        </w:r>
        <w:r w:rsidRPr="00EF433C">
          <w:rPr>
            <w:rFonts w:ascii="宋体" w:hAnsi="宋体"/>
            <w:noProof/>
            <w:sz w:val="24"/>
          </w:rPr>
          <w:instrText xml:space="preserve"> PAGEREF _Toc244528808 \h </w:instrText>
        </w:r>
        <w:r w:rsidRPr="00EF433C">
          <w:rPr>
            <w:rFonts w:ascii="宋体" w:hAnsi="宋体"/>
            <w:noProof/>
            <w:sz w:val="24"/>
          </w:rPr>
        </w:r>
        <w:r w:rsidRPr="00EF433C">
          <w:rPr>
            <w:rFonts w:ascii="宋体" w:hAnsi="宋体"/>
            <w:noProof/>
            <w:sz w:val="24"/>
          </w:rPr>
          <w:fldChar w:fldCharType="separate"/>
        </w:r>
        <w:r w:rsidRPr="00EF433C">
          <w:rPr>
            <w:rFonts w:ascii="宋体" w:hAnsi="宋体"/>
            <w:noProof/>
            <w:sz w:val="24"/>
          </w:rPr>
          <w:t>165</w:t>
        </w:r>
        <w:r w:rsidRPr="00EF433C">
          <w:rPr>
            <w:rFonts w:ascii="宋体" w:hAnsi="宋体"/>
            <w:noProof/>
            <w:sz w:val="24"/>
          </w:rPr>
          <w:fldChar w:fldCharType="end"/>
        </w:r>
      </w:hyperlink>
    </w:p>
    <w:p w:rsidR="002737B3" w:rsidRPr="00EF433C" w:rsidRDefault="00EF433C" w:rsidP="00EF433C">
      <w:pPr>
        <w:pStyle w:val="ad"/>
        <w:snapToGrid w:val="0"/>
        <w:spacing w:after="240" w:line="360" w:lineRule="auto"/>
        <w:jc w:val="center"/>
        <w:rPr>
          <w:rFonts w:ascii="宋体" w:hAnsi="宋体"/>
          <w:color w:val="000000"/>
          <w:sz w:val="24"/>
        </w:rPr>
      </w:pPr>
      <w:r w:rsidRPr="00EF433C">
        <w:rPr>
          <w:rFonts w:ascii="宋体" w:hAnsi="宋体"/>
          <w:color w:val="000000"/>
          <w:position w:val="-4"/>
          <w:sz w:val="24"/>
          <w:szCs w:val="30"/>
        </w:rPr>
        <w:fldChar w:fldCharType="end"/>
      </w:r>
      <w:bookmarkStart w:id="3" w:name="_GoBack"/>
      <w:bookmarkEnd w:id="3"/>
    </w:p>
    <w:p w:rsidR="002737B3" w:rsidRDefault="002737B3">
      <w:pPr>
        <w:autoSpaceDE w:val="0"/>
        <w:autoSpaceDN w:val="0"/>
        <w:adjustRightInd w:val="0"/>
        <w:snapToGrid w:val="0"/>
        <w:spacing w:line="360" w:lineRule="auto"/>
        <w:ind w:left="120" w:rightChars="6" w:right="13"/>
        <w:rPr>
          <w:rFonts w:ascii="宋体" w:hAnsi="宋体"/>
          <w:kern w:val="0"/>
          <w:szCs w:val="24"/>
        </w:rPr>
        <w:sectPr w:rsidR="002737B3">
          <w:pgSz w:w="11920" w:h="16840"/>
          <w:pgMar w:top="1480" w:right="1680" w:bottom="280" w:left="1680" w:header="0" w:footer="1073" w:gutter="0"/>
          <w:cols w:space="720"/>
        </w:sectPr>
      </w:pPr>
    </w:p>
    <w:p w:rsidR="002737B3" w:rsidRDefault="004226F9">
      <w:pPr>
        <w:pStyle w:val="1"/>
        <w:snapToGrid w:val="0"/>
        <w:spacing w:beforeLines="0" w:before="240" w:after="240"/>
        <w:rPr>
          <w:rFonts w:ascii="宋体" w:hAnsi="宋体"/>
          <w:szCs w:val="30"/>
        </w:rPr>
      </w:pPr>
      <w:bookmarkStart w:id="4" w:name="_Toc244528782"/>
      <w:r>
        <w:rPr>
          <w:rFonts w:ascii="Times New Roman" w:hAnsi="Times New Roman"/>
          <w:sz w:val="30"/>
        </w:rPr>
        <w:lastRenderedPageBreak/>
        <w:t>一、绪言</w:t>
      </w:r>
      <w:bookmarkEnd w:id="4"/>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依据《中华人民共和国证券投资基金法》（以下简称《基金法》）、《证券投资基金运作管理办法》（以下简称《运作办法》）、《证券投资基金销售管理办法》（以下简称《销售办法》）、《公开募集证券投资基金信息披露管理办法》（以下简称《信息披露办法》）、《合格境内机构投资者境外证券投资管理试行办法》（以下简称《试行办法》）、《关于实施&lt;合格境内机构投资者境外证券投资管理试行办法&gt;有关问题的通知》（以下简称《通知》）、《公开募集开放式证券投资基金流动性风险管理规定》（以下简称“《流动性规定》”）和其他相关法律法规的规定以及《交银施罗德环球精选价值证券投资基金基金合同》（以下简称“基金合同”）编写。</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核准。基金合同是约定基金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4226F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737B3" w:rsidRDefault="004226F9">
      <w:pPr>
        <w:pStyle w:val="1"/>
        <w:snapToGrid w:val="0"/>
        <w:spacing w:beforeLines="0" w:before="240" w:after="240"/>
        <w:rPr>
          <w:rFonts w:ascii="宋体" w:hAnsi="宋体"/>
          <w:szCs w:val="30"/>
        </w:rPr>
      </w:pPr>
      <w:bookmarkStart w:id="5" w:name="_Toc244528783"/>
      <w:r>
        <w:rPr>
          <w:rFonts w:ascii="Times New Roman" w:hAnsi="Times New Roman"/>
          <w:sz w:val="30"/>
        </w:rPr>
        <w:lastRenderedPageBreak/>
        <w:t>二、释义</w:t>
      </w:r>
      <w:bookmarkEnd w:id="5"/>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基金或本基金 指交银施罗德环球精选价值证券投资基金</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 指交银施罗德基金管理有限公司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 指中国建设银行股份有限公司（以下简称“中国建设银行”）</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基金合同或本基金合同 指《交银施罗德环球精选价值证券投资基金基金合同》及对本基金合同的任何有效修订和补充</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托管协议 指基金管理人与基金托管人就本基金签订之《交银施罗德环球精选价值证券投资基金托管协议》及对该托管协议的任何有效修订和补充</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 指《交银施罗德环球精选价值证券投资基金招募说明书》及其更新</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基金份额发售公告 指本基金根据《运作办法》变更为混合型基金前的《交银施罗德环球精选价值证券投资基金份额发售公告》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基金产品资料概要 指《交银施罗德环球精选价值证券投资基金基金产品资料概要》及其更新</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 指中国现行有效并公布实施的法律、行政法规、部门规章及规范性文件</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《基金法》 指2003年10月28日经第十届全国人民代表大会常务委员会第五次会议通过，自2004年6月1日起实施的《中华人民共和国证券投资基金法》及颁布机关对其不时做出的修订</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《销售办法》 指中国证监会于2011年6月9日颁布、自同年10月1日起实施的《证券投资基金销售管理办法》及颁布机关对其不时做出的修订</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《信息披露办法》 指中国证监会于2019年7月26日颁布、自同年9月1日起实施的《公开募集证券投资基金信息披露管理办法》及颁布机关对其不时做出的修订</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《运作办法》 指中国证监会于2004年6月29日颁布、自同年7月1日起实施的《证券投资基金运作管理办法》及颁布机关对其不时做出的修订</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《试行办法》 指中国证监会于2007年6月18日公布、自同年7月5日起实施的《合格境内机构投资者境外证券投资管理试行办法》及发布机关对其不时做出的修订</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《通知》 指中国证监会于2007年6月18日公布、自同年7月5日起实施的《关于实施&lt;合格境内机构投资者境外证券投资管理试行办法&gt;有关问题的通知》及发布机关对其不时做出的修订</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《流动性规定》 指中国证监会2017年8月31日颁布、同年10月1日实施的《公开募集开放式证券投资基金流动性风险管理规定》及颁布机关对其不时做出的修订</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 就本基金合同之目的，指中华人民共和国，但不包</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括香港特别行政区、澳门特别行政区和台湾地区</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中国证监会 指中国证券监督管理委员会</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银行业监督管理机构 中国银行业监督管理委员会</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国家外汇局 指国家外汇管理局或其授权的代表机构</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基金合同当事人 指受基金合同约束，根据基金合同享有权利并承担义务的法律主体，包括基金管理人、基金托管人和基金份额持有人</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 指年满18周岁，合法持有现时有效的中华人民共和国居民身份证、军人证件等有效身份证的中国公民，以及中国证监会批准的其他可以投资基金的自然人</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机构投资者 指依法可以投资开放式证券投资基金的、在中华人民共和国境内合法注册登记并存续或经有关政府部门批准设立并存续的企业法人、事业法人、社会团体或其他组织</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 指个人投资者、机构投资者以及法律法规或中国证监会允许购买证券投资基金的其他投资人的合称</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 指依基金合同和招募说明书合法取得基金份额的投资人</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基金销售业务 指基金管理人或代销机构宣传推介基金，发售基金份额，办理基金份额的申购、赎回、转换、非交易过户、转托管及定期定额投资等业务</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 指直销机构和代销机构</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 指交银施罗德基金管理有限公司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代销机构 指符合《销售办法》和中国证监会规定的其他条件，取得基金代销业务资格并与基金管理人签订了基金销售服务代理协议，代为办理基金销售业务的机构</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基金销售网点 指直销机构的直销中心及代销机构的代销网点</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登记结算业务 指基金登记、存管、过户、清算和结算业务，具体内容包括投</w:t>
      </w:r>
      <w:r>
        <w:rPr>
          <w:rFonts w:ascii="宋体" w:hAnsi="宋体"/>
          <w:sz w:val="24"/>
        </w:rPr>
        <w:lastRenderedPageBreak/>
        <w:t>资人基金账户的建立和管理、基金份额注册登记、基金销售业务的确认、清算和结算、代理发放红利、建立并保管基金份额持有人名册等</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登记结算机构 指办理登记结算业务的机构。基金的登记结算机构为交银施罗德基金管理有限公司或接受交银施罗德基金管理有限公司委托代为办理登记结算业务的机构</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境外投资顾问 指符合《试行办法》规定的条件，为本基金境外证券投资提供证券买卖建议或投资组合管理等服务的境外金融机构；境外投资顾问由基金管理人选择、更换和撤销</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境外资产托管人 指符合《试行办法》规定的条件，接受基金托管人委托，负责本基金境外资产托管业务的境外金融机构；境外资产托管人由基金托管人选择、更换和撤销</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基金账户 指登记结算机构为投资人开立的、记录其持有的、基金管理人所管理的基金份额余额及其变动情况的账户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基金交易账户 指销售机构为投资人开立的、记录投资人通过该销售机构买卖本基金的基金份额变动及结余情况的账户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基金合同生效日 指基金募集达到法律法规规定及基金合同规定的条件，基金管理人向中国证监会办理基金备案手续完毕，并获得中国证监会书面确认的日期</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基金合同终止日 指基金合同规定的基金合同终止事由出现后，基金财产清算完毕，清算结果报中国证监会备案并予以公告的日期</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基金募集期 指自基金份额发售之日起至发售结束之日止的期间，最长不得超过3个月</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 指基金合同生效至终止之间的不定期期限</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工作日 指上海证券交易所、深圳证券交易所的正常交易日</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开放日 指为投资人办理基金份额申购、赎回或其他业务的工作日</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T日 指销售机构在规定时间受理投资人申购、赎回或其他业务申请的工作日</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T+n日 指自T日起第n个工作日(不包含T日)</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交易时间 指开放日基金接受申购、赎回或其他交易的时间段</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认购 指在基金募集期内，投资人申请购买基金份额的行为</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 指基金合同生效后，投资人根据招募说明书和基金合同的规定申请购买基金份额的行为</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赎回 指基金合同生效后，基金份额持有人按基金合同规定的条件要求将基金份额兑换为现金的行为</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转托管 指基金份额持有人在本基金的不同销售机构之间实施的变更所持基金份额销售机构的操作</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 指投资人通过向有关销售机构提交申请，约定每期申购日、扣款金额及扣款方式，由指定的销售机构在投资人指定资金账户内自动扣款并于每期约定的申购日提交基金申购申请的一种投资方式</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巨额赎回 指本基金单个开放日，基金净赎回申请(赎回申请份</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额总数加上基金转换中转出申请份额总数后扣除申购申请份额总数及基金转换中转入申请份额总数后的余额)超过上一开放日基金总份额的10%</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元 指人民币元</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 指基金投资所得红利、股息、债券利息、买卖证券价差、银行存款利息、其他合法收入及因运用基金财产带来的成本和费用的节约</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 指基金拥有的各类有价证券、银行存款本息、基金应收申购款及其他资产的价值总和</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 指基金份额持有人按照本基金合同和基金管理人届 时有效公告规定的条件，申请将其持有基金管理人管理的、某一基金的基金份额转换为该基金其他份额（如有）或基金管理人管理的其他基金基金份额的行为</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 指基金资产总值减去基金负债后的价值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基金份额净值 指计算日基金资产净值除以计算日基金份额总数</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基金资产估值 指计算评估基金资产和负债的价值，以确定基金资产净值和基金份额净值的过程</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销售服务费：指从基金财产中计提的，用于本基金市场推广、销售以及基金份额持有人服务的费用</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A类基金份额：指在投资人申购时收取申购费用且不从本类别基金资产中计提销售服务费的基金份额</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指在投资人申购时不收取申购费用，并从本类别基金资产中计提销售服务费的基金份额（其中，对于投资人通过直销机构申购的C类基金份额，计提的销售服务费将在投资人赎回相应基金份额或基金合同终止时随赎回款或清算款一并返还给投资人；对于投资人通过其他销售机构申购的C类基金份额，持续持</w:t>
      </w:r>
      <w:r>
        <w:rPr>
          <w:rFonts w:ascii="宋体" w:hAnsi="宋体"/>
          <w:sz w:val="24"/>
        </w:rPr>
        <w:lastRenderedPageBreak/>
        <w:t>有超过一年（即365天，下同）后计提的销售服务费将在投资人赎回相应基金份额或基金合同终止时随赎回款或清算款一并返还给投资人）</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流动性受限资产 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指定媒介 指中国证监会指定的用以进行信息披露的全国性报刊及指定互联网网站（包括基金管理人网站、基金托管人网站、中国证监会基金电子披露网站）等媒介公司行为信息 指证券发行人所公告的会或将会影响到基金资产的价值及权益的任何未完成或已完成的行动，及其他与本基金持仓证券所投资的发行公司有关的重大信息，包括但不限于权益派发、配股、提前赎回等信息</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不可抗力 指本基金合同当事人无法预见、无法抗拒、无法避免且在本基金合同由基金管理人、基金托管人签署之日后发生的，使本基金合同当事人无法全部或部分履行本基金合同的任何事件，包括但不限于洪水、地震及其他自然灾害、战争、骚乱、火灾、政府征用、没收、恐怖袭击、传染病传播、法律法规变化、突发停电或其他突发事件、证券交易所非正常暂停或停止交易</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行为信息：指证券发行人所公告的会或将会影响到基金资产的价值及权益的任何未完成或已完成的行动，及其他与本基金持仓证券所投资的发行公司有关的重大信息，包括但不限于权益派发、配股、提前赎回等信息</w:t>
      </w:r>
    </w:p>
    <w:p w:rsidR="00B439CC" w:rsidRDefault="004226F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737B3" w:rsidRDefault="004226F9">
      <w:pPr>
        <w:pStyle w:val="1"/>
        <w:snapToGrid w:val="0"/>
        <w:spacing w:beforeLines="0" w:before="240" w:after="240"/>
        <w:rPr>
          <w:rFonts w:ascii="宋体" w:hAnsi="宋体"/>
          <w:szCs w:val="30"/>
        </w:rPr>
      </w:pPr>
      <w:bookmarkStart w:id="6" w:name="_Toc244528784"/>
      <w:r>
        <w:rPr>
          <w:rFonts w:ascii="Times New Roman" w:hAnsi="Times New Roman"/>
          <w:sz w:val="30"/>
        </w:rPr>
        <w:lastRenderedPageBreak/>
        <w:t>三、风险揭示</w:t>
      </w:r>
      <w:bookmarkEnd w:id="6"/>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交易日基金的净赎回申请（赎回申请份额总数加上基金转换中转出申请份额总数后扣除申购申请份额总数及基金转换中转入申请份额总数后的余额）超过基金总份额的百分之十时，投资人将可能无法及时赎回持有的全部基金份额。</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基金分为股票基金、混合基金、债券基金、货币市场基金等不同类型，投资人投资不同类型的基金将获得不同的收益预期，也将承担不同程度的风险。一般来说，基金的收益预期越高，投资人承担的风险也越大。</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封转开、分红等行为导致基金份额净值变化，不会改变基金的风险收益特征，不会降低基金投资风险或提高基金投资收益。以1元初始面值开展基金募集或因拆分、封转开、分红等行为导致基金份额净值调整至1元初始面值或1元附近，在市场波动等因素的影响下，基金投资仍有可能出现亏损或基金净值仍有可能低于初始面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w:t>
      </w:r>
      <w:r>
        <w:rPr>
          <w:rFonts w:ascii="宋体" w:hAnsi="宋体"/>
          <w:sz w:val="24"/>
        </w:rPr>
        <w:lastRenderedPageBreak/>
        <w:t>担。</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于境外证券市场，基金净值会因为境外证券市场波动等因素产生波动。本基金股票资产占基金资产的60%-100%，重点投资于香港、欧洲、美国和新兴市场的权益类资产，其中投资于香港证券市场的股票占基金资产的比例为10%-50%，投资于全球其他证券市场的股票和基金占基金资产的比例为40%-70%，上述主要投资证券市场的波动将会影响本基金的净值表现。基金投资中出现的风险分为如下两类，一是境外投资产品风险，包括海外市场风险、汇率风险、政治风险等；二是基金投资的一般风险，包括利率风险、信用风险、流动性风险、衍生品风险等等。</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（一）全球投资的特殊风险</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1、海外市场风险</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市场风险是指由于市场因素如基础利率、汇率、股票价格和商品价格的变化或由于这些市场因素的波动率的变化而引起的证券价格的非预期变化，并产生损失的可能性。</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本基金将投资于海外股票市场，因此一方面基金净值会因全球股市的整体变化而出现价格波动。另一方面，各国各地区处于不同的产业经济循环周期之中，这也将对基金的投资绩效产生影响。具体而言，海外股票市场对于负面的特定事件的反映各不相同；各国或地区有其独特的政治因素、法律法规、市场状况、经济发展趋势；并且美国、英国、香港等证券交易市场对每日证券交易价格并无涨跌幅上下限的规定，使得这些国家或地区证券的每日涨跌幅空间相对较大。以上所述因素都可能会带来市场的急剧下跌，从而导致投资风险的增加。</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2、汇率风险</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方面，本基金每日的净资产价值以人民币计价，因此当汇率发生变动时，将会影响到人民币计价的净资产价值。另一方面，本基金国际投资部分以美元计价，对应资产可能投资于以非美元报价的各类资产，因此非美元资产的表现将受资产所持货币兑美元的汇率变动所影响。</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3、法律及政治管制风险</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由于各个国家/地区适用不同法律法规的原因，可能导致本基金的某些投资行为在部分国家/地区受到限制或合同不能正常执行，从而使得基金资产面临损失的可能性。</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同时，在本基金所投资国家或地区中，包含成熟市场以及新兴市场。新兴市场国家一般对外汇的管制较严格，因此存在一定的外汇管制风险，可能导致汇兑损益。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4、政治风险</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或地区的财政政策、货币政策、产业政策、地区发展政策等宏观政策发生变化，导致市场波动而影响基金收益，也会产生风险，称之为政治风险。例如，外国政府可能会鉴于政治上的优先考虑，改变支付政策；新政府或许会拒绝承担前任政府的债务。</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以全球市场为主要的投资地区，因此全球的政治、社会或经济情势的变动(包括天然灾害、战争、暴动或罢工等)，都可能对本基金所参与的投资市场或投资产品造成直接或者是间接的负面冲击。本基金将在内部及外部研究机构的支持下，密切关注各国政治、经济和产业政策的变化，适时调整投资策略以应对政治风险的变化。</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5、境外上市公司经营风险</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境外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6、新兴市场风险</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本基金可投资于海外新兴市场，鉴于各新兴市场特有的监管制度以及特点，包括市场准入制度、外汇管制制度等，可能对本基金参与新兴市场的投资收益产生直接或间接的影响。</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7、初级产品风险</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本基金不直接投资于钢材、石油、煤炭、有色金属等初级产品，但上述初级产品价格的不利变化可能对本基金部分投资标的带来负面影响，从而对本基金参与相关证券投资的收益带来间接的影响。</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8、税务风险</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在投资各国或地区市场时，因各国、地区税务法律法规的不同，可能会就股息、利息、资本利得等收益向各国、地区税务机构缴纳税金，包括预扣税，该行为</w:t>
      </w:r>
      <w:r>
        <w:rPr>
          <w:rFonts w:ascii="宋体" w:hAnsi="宋体"/>
          <w:sz w:val="24"/>
        </w:rPr>
        <w:lastRenderedPageBreak/>
        <w:t>可能会使得资产回报受到一定影响。各国、地区的税收法律法规的规定可能变化，或者加以具有追溯力的修订，所以可能须向该等国家或地区缴纳本基金销售、估值或者出售投资当日并未预计的额外税项。</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本基金在投资海外市场时会事先了解清楚各地区的税务法律法规，同时，在境外投资顾问和境外资产托管人的协助下，完成投资所在国家或地区的税务扣缴工作。</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9、会计核算风险</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由于各个国家/地区对上市公司日常经营活动的会计处理、财务报表披露等会计核算标准的规定存在一定差异，可能导致基金经理对公司盈利能力、投资价值的判断产生偏差，从而给本基金投资带来潜在风险。</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（二）基金投资的一般风险</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1、利率风险</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金融市场利率的波动会导致证券市场价格和收益率的变动。利率直接影响着债券的价格和收益率，影响着企业的融资成本和利润。基金投资于债券和债券回购，其收益水平会受到利率变化和货币市场供求状况的影响。 各个国家或地区的利率变动还将影响该地区的经济与汇率等。</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但本基金主要投资于基金与股票，而利率的波动仅间接影响到股市，因此利率风险对本基金的影响相对较低。</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2、管理风险</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3、流动性风险</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申购和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由于境外市场的交易日、交易时间、结算规则等与国内存在一定的差异，本基</w:t>
      </w:r>
      <w:r>
        <w:rPr>
          <w:rFonts w:ascii="宋体" w:hAnsi="宋体"/>
          <w:sz w:val="24"/>
        </w:rPr>
        <w:lastRenderedPageBreak/>
        <w:t>金有关申购、赎回的开放与交易确认的安排不同于国内一般开放式基金。本基金赎回款项到达投资人指定账户需要更长的时间。</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行业和个券方面未有高集中度的特征，综合评估在正常市场环境下本基金的流动性风险适中。</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单个开放日内的基金净赎回申请份额（赎回申请份额总数加上基金转换中转出申请份额总数扣除申购申请份额总数及基金转换中转入申请份额总数后的余额）超过上一日基金总份额的10%时，即认为发生了巨额赎回。</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当基金出现巨额赎回时，基金管理人可以根据本基金当时的资产组合状况决定全额赎回或部分延期赎回。</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w:t>
      </w:r>
      <w:r>
        <w:rPr>
          <w:rFonts w:ascii="宋体" w:hAnsi="宋体"/>
          <w:sz w:val="24"/>
        </w:rPr>
        <w:lastRenderedPageBreak/>
        <w:t>回处理。</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（3）当出现巨额赎回时，基金转换中转出份额的申请的处理方式遵照相关的业务规则及届时开展转换业务的公告。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（4）暂停赎回：连续2日以上(含本数)发生巨额赎回，如基金管理人认为有必要，可暂停接受基金的赎回申请；已经接受的赎回申请可以延缓支付赎回款项，但不得超过20个工作日，并应当在指定媒介上进行公告。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w:t>
      </w:r>
      <w:r>
        <w:rPr>
          <w:rFonts w:ascii="宋体" w:hAnsi="宋体"/>
          <w:sz w:val="24"/>
        </w:rPr>
        <w:lastRenderedPageBreak/>
        <w:t>产最终变现价格的承诺，因此对于特定资产的公允价值和最终变现价格，基金管理人不承担任何保证和承诺的责任。</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 因此实施侧袋机制后主袋账户份额存在暂停申购的可能。</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4、信用风险</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（1）交易结算风险</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基金在证券交割或现金交割过程中,由于交易对手违约而引发的风险。</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（2）债券投资的信用风险</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基金所投资债券之发行人出现违约、拒绝支付到期本息，可能导致基金资产损失和收益变化，从而产生风险。</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5、本基金投资策略所特有的风险</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本基金为混合型基金，故股票持仓比例将维持较高水平。如果投资目标市场的股票市场出现整体下跌，本基金的净值表现将受到影响。</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根据全球经济以及区域化经济发展、不同国家或地区经济体的宏观经济变化和经济增长情况，以及各证券市场的表现和全球资本的流动情况，挑选一些特定国家或地区的股票或基金作为重点投资对象，增加相应目标市场在资产组合中的配置，在选股策略上本基金特有的风险主要来自两个方面：一是“自上而下”资产配置和国家配置时是否准确、深入，二是对境外和香港上市企业的优选和判断是否科学、准确。国外投资市场宏观基本面研究及对境外和香港上市企业分析的错误均可能导致所选择的证券不能完全符合本基金的预期目标。</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6、衍生品风险</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衍生工具是为了有效管理金融风险而设计的工具，一般是一种私人合约，其价值是从一些基础资产价格、参考利率或指数中派生出来的。由于事先涉及的现金流相对较少，所以衍生工具有杠杆作用，即涉及借款问题。然而，杠杆作用是一把双刃剑。一方面，由于交易成本非常低，杠杆作用可使衍生工具成为一种对冲风险和投机的有效工具；另一方面，由于事先涉及的现金支付较少，因此就更加难以评估潜在的下跌风险。</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本基金投资衍生品的目的是为了对冲风险，而不是投机，会通过控制规模、计算风险价值等手段来有效控制风险。</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7、正回购/逆回购</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在回购交易中，交易对手方可能因财务状况或其它原因不能履行付款或结算的义务，从而对基金资产价值造成不利影响。</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8、证券借贷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作为证券借出方，如果交易对手方（即证券借入方）违约，则基金可能面临到期无法获得证券借贷收入甚至借出证券无法归还的风险，从而导致基金资产发生损失。</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9、操作风险</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境外投资涉及复杂的业务环节及不同的当事方，在各业务环节的操作过程中，可能因内部控制不到位或者人为因素造成操作失误或违反操作规程而引致风险；本基金后台运作中，可能因为技术系统故障或者差错而影响交易的正常进行甚至导致基金份额持有人利益受到影响。</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（1）系统故障风险</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当计算机系统、通信网络等技术保障系统出现异常情况，可能导致基金日常的赎回无法按正常时限完成、注册登记系统瘫痪、核算系统无法按正常时限产生净值、基金的投资交易指令无法及时传输等风险。</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（2）金融模型风险</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金融模型风险是指由于投资决策或风险管理依赖的金融模型错误或参数不准确而引发的风险。</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（3）人为操作失误风险</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基金经理或交易员在境外证券投资管理业务过程中由于人为失误，造成错误指令或错误交易，从而引发操作风险，给投资人带来损失。</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10、其他风险</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（1）因人为因素而产生的风险、如内幕交易、欺诈行为等产生的风险；</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（2）对主要业务人员如基金经理的依赖而可能产生的风险；</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（3）因业务竞争压力可能产生的风险；</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（4）战争、自然灾害等不可抗力可能导致基金财产的损失，影响基金收益水平，从而带来风险；</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（5）其他意外导致的风险。</w:t>
      </w:r>
    </w:p>
    <w:p w:rsidR="00B439CC" w:rsidRDefault="004226F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737B3" w:rsidRDefault="004226F9">
      <w:pPr>
        <w:pStyle w:val="1"/>
        <w:snapToGrid w:val="0"/>
        <w:spacing w:beforeLines="0" w:before="240" w:after="240"/>
        <w:rPr>
          <w:rFonts w:ascii="宋体" w:hAnsi="宋体"/>
          <w:szCs w:val="30"/>
        </w:rPr>
      </w:pPr>
      <w:bookmarkStart w:id="7" w:name="_Toc244528785"/>
      <w:r>
        <w:rPr>
          <w:rFonts w:ascii="Times New Roman" w:hAnsi="Times New Roman"/>
          <w:sz w:val="30"/>
        </w:rPr>
        <w:lastRenderedPageBreak/>
        <w:t>四、基金的投资</w:t>
      </w:r>
      <w:bookmarkEnd w:id="7"/>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（一）投资理念</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理念是：坚持价值投资理念，通过深入的基本面研究，在全球范围内对基金资产进行有效配置以降低组合风险，同时积极挖掘非完全有效市场中的投资机会获取超额收益率，帮助投资人实现长期资本增值的目标。该理念至少包含以下几个方面的含义：</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1、不同国家和地区的股票市场之间显示着或强或弱的相关性，其中中国A股市场与其他国家市场的相关性较低，通过跨境投资，可以分散单一市场集中投资的风险，改善收益。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市场通常并非完全有效，例如短期内的市场情绪可能比股票的基本面更能影响股票资产价格，使其产生更大幅度的波动，即过度反应使得股票价格倾向于过度上涨或者过度下跌。我们认为，在非完全有效的市场中，通过专业研究可以获得信息优势，获取超额收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全球范围内，投资于具备良好成长前景、持续竞争优势、定价合理的高质量上市公司能创造长期卓越的投资回报。我们相信深入的基本面研究配合全面的宏观经济分析是挖掘具有上述资质的上述公司的最有效的方法，有助于我们识别市场中的估值洼地。</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（二）投资目标</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通过全球资产配置和灵活分散投资，在有效分散和控制风险的前提下，实现长期资本增值。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（三）投资范围</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于已与中国证监会签署双边监管合作谅解备忘录的国家或地区证券市场挂牌交易的股票，在已与中国证监会签署双边监管合作谅解备忘录的国家或地区证券监管机构登记注册的公募基金，债券，货币市场工具以及中国证监会允许本基金投资的其他金融工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（四）投资对象</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本基金的投资组合为：股票资产占基金资产的60%-100%，债券、货币市场工具以及中国证监会允许本基金投资的其他金融工具占基金资产的0%-40%。</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本基金的基金资产将投资于全球主要证券市场，其中投资于与中国证监会签订</w:t>
      </w:r>
      <w:r>
        <w:rPr>
          <w:rFonts w:ascii="宋体" w:hAnsi="宋体"/>
          <w:sz w:val="24"/>
        </w:rPr>
        <w:lastRenderedPageBreak/>
        <w:t>了双边监管合作谅解备忘录国家或地区以外的其他国家或地区证券市场挂牌交易的证券资产的比例不超过基金资产净值的10%。</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如与中国证监会签订双边监管合作谅解备忘录的国家或地区增加、减少或变更，本基金投资的主要证券市场将相应调整。</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本基金对基金的投资限于除香港以外的国际市场。</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如法律法规或监管机构以后允许本基金投资其他品种，基金管理人在履行适当程序后，可以将其纳入投资范围。</w:t>
      </w:r>
    </w:p>
    <w:tbl>
      <w:tblPr>
        <w:tblW w:w="5000" w:type="pct"/>
        <w:tblCellMar>
          <w:left w:w="0" w:type="dxa"/>
          <w:right w:w="0" w:type="dxa"/>
        </w:tblCellMar>
        <w:tblLook w:val="0000" w:firstRow="0" w:lastRow="0" w:firstColumn="0" w:lastColumn="0" w:noHBand="0" w:noVBand="0"/>
      </w:tblPr>
      <w:tblGrid>
        <w:gridCol w:w="2167"/>
        <w:gridCol w:w="6503"/>
      </w:tblGrid>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资产类别</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资产配置范围</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股票资产</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60-100%</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债券、货币市场工具以及中国证监会允许基金投资的其他金融工具</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0-40%</w:t>
            </w:r>
          </w:p>
        </w:tc>
      </w:tr>
    </w:tbl>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（五）业绩比较基准</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本基金的业绩比较基准为：70%×标准普尔全球大中盘指数(S&amp;P Global LargeMidCap Index)+30%×恒生指数。</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标准普尔全球大中盘指数(S&amp;P Global LargeMidCap Index)属于标准普尔全球BMI指数系列（S&amp;P Global BMI Indices），该系列指数包含了全球行业分类标准33500多家公司中最大的1万家公司（每家市值均超过1亿美元），这1万家公司占据了全球证券市场97%的份额。其中标准普尔全球大中盘指数(S&amp;P Global LargeMidCap Index)覆盖全球46个市场最大的2000多家上市公司，包括25个发达市场和21个发展中市场，占据了全球证券市场约78%的份额。该指数系列较好的代表了全球市场走势，在国际上被广泛采用为有关投资产品的业绩基准。</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恒生指数是由恒生银行附属的恒指服务公司编制，它是香港蓝筹股价变化的指标。恒生指数成份股分别纳入工商业、金融、地产和公用事业四个分类指数。</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本基金采取70%的标准普尔全球大中盘指数与30%的恒生指数之和作为基金的投资基准，该业绩基准涵盖了本基金重点投资的主要股票市场，充分反映上述股票市场的综合表现，是市场中兼具代表性与权威性的指数。</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基准指数停止计算编制或更改名称，或今后法律法规发生变化，或基金变更投资范围，或市场出现更具权威、且更能够表征本基金风险收益特征的指数，则本基金管理人将视情况调整本基金的业绩评价基准，并及时公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（六）投资策略</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策略是自上而下配置资产，通过对全球宏观经济和各经济体的基本面分析，在不同区域间进行有效资产配置，自下而上精选证券，挖掘定价合理、具备持续竞争优势的上市公司股票进行投资，并有效控制下行风险。</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1、资产的类别配置</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本基金充分运用施罗德集团全球研究团队的优势，通过深入分析全球宏观经济和区域经济环境，把握全球资本市场的变化趋势，结合定性分析和定量分析进行大类资产的配置。</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大类资产的配置过程中本基金运用了施罗德集团的全球资产配置模型，该模型输入了来自资产类别分析专家、宏观经济分析师和多元化资产专家对宏观经济的周期性因素、各类资产的估值因素以及市场趋势的分析和判断，并通过量化模型确定大类资产的配置比例范围。</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了有效分散和降低投资组合的整体风险，在不影响组合收益的情况下降低波动率或者增加组合收益为正的可能性，本基金对于资产类别的选择亦会根据对市场趋势的研判适时考虑投资具有以下特点的特殊资产，即与全球主要证券市场的股票的相关性较低的产业或资产，如房地产基金（REITS）和能源、资源类商品期货基金等。</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2、资产的国家/地区配置</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全球经济以及区域化经济发展、不同国家或地区经济体的宏观经济变化和经济增长情况，以及各证券市场的表现和全球资本的流动情况，本基金将挑选一些特定国家或地区的股票或基金作为重点投资对象，增加相应目标市场在资产组合中的配置比例，包括的目标市场有：香港市场、欧洲市场、美国市场、新兴市场等。其中，本基金投资于香港证券市场公开发行上市的股票占基金资产的比例为10%-50%；投资于全球其他证券市场的股票和基金占基金资产的比例为40%-70%。在基金实际管理过程中，管理人将借鉴施罗德集团的全球资产配置模型，根据各地区宏观经济情况和证券市场的变化，对上述重点投资的目标市场适时进行阶段性调整，实现资产在国家或地区间的有效配置，构建具备持续增长潜力的资产组合。</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3、股票及公募基金的选择</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本基金在确定国家配置比例的基础上，将根据目标证券市场的特点选择品质优良、估值合理的上市公司股票，或业绩优良、符合本基金组合投资需求的基金进行</w:t>
      </w:r>
      <w:r>
        <w:rPr>
          <w:rFonts w:ascii="宋体" w:hAnsi="宋体"/>
          <w:sz w:val="24"/>
        </w:rPr>
        <w:lastRenderedPageBreak/>
        <w:t>投资。</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（1）股票的选择</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本基金管理人将综合运用交银施罗德的股票研究分析方法和其它投资分析工具，自下而上精选品质优良、具备持续竞争优势、定价合理的上市公司股票进行投资。</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利用施罗德集团的全球投资研究网络和分析方法，本基金管理人将本土专业化研究和全球视角审视相结合，采取“二维矩阵”方法来保证选股安全和质量，构建高质量的投资组合。具体分以下三个层次进行：</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1）本土研究和全球视角相结合的品质筛选</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上市公司股票的品质筛选分为两个步骤进行，首先是基于本土研究的品质筛选。通过各个市场本土分析师的定量的筛选技术以及定性的分析研究，挑选出规模适合、流动性充足和财务状况良好的上市公司。然后对上述通过初选的上市公司股票进行进一步深入的研究分析，根据每一家上市公司在其当地市场的表现，分1-4级进行评级。筛选和评级主要考察的因素和指标包括：</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①规模和流动性：如市值和换手率等，对于规模过小或流动性差的股票进行剔除；</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②盈利能力：如P/E、P/Cash Flow、P/FCF、P/S、P/EBIT等；</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③经营效率：如ROE、ROA、Return on operating assets等；</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④财务状况：如D/A、流动比率等。</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于本土研究的品质筛选后，利用施罗德集团的全球投资研究网络，由全球行业研究专家在其覆盖的行业研究领域内，针对上一步骤中评级为1级和2级的上市公司进行二次筛选。与上一步骤本土研究中关注当地市场环境不同，这一步骤主要对于上市公司相对于全球行业动态增长的相对表现进行评估，挑选行业中最具增长潜力的上市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2）公司质量评价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对上市公司直接接触和实地调研，了解并评估公司治理结构、公司战略、所处行业的竞争动力、公司的财务特点，以决定股票的合理估值中应该考虑的折价或溢价水平。在调研基础上，分析员依据公司成长性、盈利能力可预见性、盈利质量、管理层素质、流通股东受关注程度等五大质量排名标准给每个目标公司进行评分，挑选出具有持续的竞争优势、良好的中期成长性，以及优良的管理质量和财务</w:t>
      </w:r>
      <w:r>
        <w:rPr>
          <w:rFonts w:ascii="宋体" w:hAnsi="宋体"/>
          <w:sz w:val="24"/>
        </w:rPr>
        <w:lastRenderedPageBreak/>
        <w:t>状况的上市公司。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3）多元化价值评估</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在质量评估的基础上，根据上市公司所处的不同行业特点，综合运用多元化的股票估值指标，对股票进行合理估值，并评定投资级别。在明确的价值评估基础上选择定价合理或价值被低估的投资标的。</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（2）基金的选择</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根据本基金的投资组合策略确定拟投资的地区或类别，通过定性与定量相结合的分析，寻找在投资目标、投资策略及风险和收益等方面符合本基金组合投资需求的基金。</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对基金的考察主要包括以下几个方面：</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①基金管理人所管理基金的长期历史业绩良好，主要管理人员相对稳定，其中，对于基金业绩的衡量包括对于收益、风险以及风险和收益的配比等多方面的考察；</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②基金管理人的财务状况稳健，具有严格的风险控制体系；</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③基金的投资风格和业绩表现具有可持续性。</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4、债券投资</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（1）债券投资策略</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全球宏观经济运行趋势及其引致不同国家或地区的财政货币政策变化作出判断，运用数量化工具，对不同国家及地区未来市场利率趋势及市场信用环境变化作出预测，并综合考虑利率变化对债券品种的影响、收益率水平、信用风险的大小、流动性的好坏等因素，构造债券组合。</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主要的债券投资策略是：久期调整策略、收益率曲线策略、债券类属配置策略、骑乘策略、相对价值策略、信用利差策略、回购放大策略以及资产支持证券投资策略等。具体如下：</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 久期调整策略</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本基金将根据对利率水平的预期，在预期利率下降时，增加组合久期，以较多地获得债券价格上升带来的收益，在预期利率上升时，减小组合久期，以规避债券价格下降的风险。</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 收益率曲线策略</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在久期确定的基础上，根据对收益率曲线形状变化的预测，采用子弹型策略、</w:t>
      </w:r>
      <w:r>
        <w:rPr>
          <w:rFonts w:ascii="宋体" w:hAnsi="宋体"/>
          <w:sz w:val="24"/>
        </w:rPr>
        <w:lastRenderedPageBreak/>
        <w:t>哑铃型策略或梯形策略，在长期、中期和短期债券间进行配置，以从长、中、短期债券的相对价格变化中获利。</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 债券类属配置策略</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根据国债、金融债、企业债等不同债券板块之间的相对投资价值分析，增持价值被相对低估的债券板块，减持价值被相对高估的债券板块，借以取得较高收益。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 骑乘策略</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分析收益率曲线各期限段的利差情况(通常是收益率曲线短端的1-3年)，买入收益率曲线最陡峭处所对应的期限债券，随着基金持有债券时间的延长，债券的剩余期限将缩短，到期收益率将下降，基金从而可获得资本利得收入。</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⑤ 相对价值策略</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相对价值策略包括研究国债与金融债之间的信用利差、交易所与银行间的市场利差等。金融债与国债的利差由税收因素形成，利差的大小主要受市场资金供给充裕程度决定，资金供给越充分上述利差将越小。交易所与银行间的联动性随着市场改革势必渐渐加强，两市之间的利差能够提供一些增值机会。</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⑥ 信用利差策略</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企业债与国债的利差曲线理论上受经济波动与企业生命周期影响，相同资信等级的公司债在利差期限结构上服从凸性回归均衡的规律。内外部评级的差别与信用等级的变动会造成相对利差的波动，另外在经济上升或下降的周期中企业债利差将缩小或扩大。管理人可以通过对内外部评级、利差曲线研究和经济周期的判断主动采用相对利差投资策略。</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⑦ 回购放大策略</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该策略在资金相对充裕的情况下是风险很低的投资策略。即在基础组合的基础上，使用基础组合持有的债券进行回购放大融入短期资金滚动操作，同时选择2年以下的交易所和银行间品种进行投资以获取骑乘及短期债券与货币市场利率的利差。</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⑧ 资产支持证券投资策略</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资产抵押贷款支持证券(ABS)、住房抵押贷款支持证券(MBS)等资产支持证券，其定价受多种因素影响，包括市场利率、发行条款、支持资产的构成及质量、提前偿还率等。本基金将深入分析上述基本面因素，并辅助采用蒙特卡洛方法等数量化定价模型，评估其内在价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（2）债券投资组合构建流程</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固定收益分析师在全球经济框架下，及时根据宏观经济运行、货币政策及财政政策导向做出分析判断，并预测未来市场利率的变化情况。在此基础上，结合使用债券信用评级体系，对影响债券收益率的各种因素进行详尽的跟踪分析，决定债券组合的久期以及债券组合的期限结构配置，完成债券的类属配置和个券精选，构建债券投资组合。</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5、金融衍生品投资</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于金融衍生品仅限于投资组合避险和有效管理。如通过选择恰当的金融衍生品降低因市场风险大幅增加给投资组合带来的不利影响；利用金融衍生品交易成本低、流动性好等特点，有效帮助投资组合及时调整仓位，提高投资组合的运作效率等。</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6、制定阶段性投资策略</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基金管理人将根据各地区宏观经济情况和证券市场的阶段性变化，确定阶段性的投资策略，包括资产在类别以及地区间的配置比例。</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此外，在符合有关法律法规规定的前提下，本基金还可通过证券借贷交易和回购交易等投资增加收益。未来，随着全球证券市场投资工具的发展和丰富，基金可相应调整和更新相关投资策略，并在更新招募说明书中公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（七）投资决策依据及流程</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为了保证整个投资组合计划的顺利贯彻与实施，本基金遵循以下投资决策依据以及具体的决策程序：</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1、投资决策依据</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(1)国家有关法律法规和本基金合同的有关规定；</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(2)全球宏观经济和各区域经济体发展态势、各国证券市场运行环境和走势，以及上市公司的基本面，本基金将在对宏观经济和上市公司的基本面进行深入研究的基础上进行投资；</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(3)投资对象的预期收益和预期风险的匹配关系，本基金将在承担适度风险的范围内，选择收益风险配比最佳的品种进行投资。</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2、投资流程</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本基金采用投资决策委员会领导下的基金经理负责制。投资决策委员会定期就投资管理业务的重大问题进行讨论。基金经理、分析师、交易员在投资管理过程中</w:t>
      </w:r>
      <w:r>
        <w:rPr>
          <w:rFonts w:ascii="宋体" w:hAnsi="宋体"/>
          <w:sz w:val="24"/>
        </w:rPr>
        <w:lastRenderedPageBreak/>
        <w:t>既密切合作，又责任明确，在各自职责内按照业务程序独立工作并合理地相互制衡。具体的投资决策程序如下：</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投资研究将境外投资顾问的全球投资研究平台以及公司自身的投资研究平台相结合，由全球投资专家密切配合当地股票分析师的研究,对全球宏观经济和各区域经济体发展态势、各国证券市场运行环境和走势，以及上市公司的基本面进行分析，形成宏观经济、行业以及个股的投资分析报告，为投资策略提供依据；</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的投资决策委员会每月召开投资策略会议，决定基金的资产配置策略，包括在资产类别和区域间的配置比例。基金管理人可与境外投资顾问定期或不定期地举行会议，就全球宏观经济形势、各资产类别的市场表现以及各国资本市场的发展态势况等方面进行交流，境外投资顾问定期向基金管理人提供资产配置策略分析报告及相关建议；</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经理依据策略分析师的宏观经济分析和策略建议、股票分析师的行业分析和个股研究、固定收益产品分析师的债券市场研究和券种选择、定量分析师的定量投资策略研究，结合本基金产品定位及风险控制的要求，在权限范围内制定构建具体的投资组合；</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(4)基金经理根据基金投资组合方案，下达交易指令，投资交易指令通过选定的交易券商的全球交易平台执行；</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对基金的风险与绩效进行评估。根据事先约定,境外投资顾问向基金管理人提供有关基金组合的各种风险与绩效评估报告，基金管理人可根据上述报告对业绩贡献的构成、基金的投资策略以及执行情况进行评价，从而为资产配置和组合调整提供依据；</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(6)基金管理人与境外投资顾问成立联合风险管理小组，根据中国证监会和境外相关市场的监管要求，建立相应的风险管理体系，实施有效的风险管理。</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基金管理人可根据市场变化和实际情况的需要，对上述投资管理程序作出调整。如果更换或撤销境外投资顾问，本基金将在遵循上述投资策略的前提下，对其投资决策程序进行适当调整。</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（八）投资组合限制</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本基金在投资策略上兼顾投资原则以及开放式基金的固有特点，通过分散投资</w:t>
      </w:r>
      <w:r>
        <w:rPr>
          <w:rFonts w:ascii="宋体" w:hAnsi="宋体"/>
          <w:sz w:val="24"/>
        </w:rPr>
        <w:lastRenderedPageBreak/>
        <w:t>降低基金财产的非系统性风险，保持基金组合良好的流动性。基金的投资组合将遵循以下限制：</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本基金持有同一家银行的存款不得超过基金净值的20%。银行应当是中资商业银行在境外设立的分行或在最近一个会计年度达到中国证监会认可的信用评级机构评级的境外银行，但在基金托管账户的存款不受此限制。</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本基金持有同一机构(政府、国际金融组织除外)发行的证券市值不得超过基金净值的10%。</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本基金持有与中国证监会签署双边监管合作谅解备忘录国家或地区以外的其他国家或地区证券市场挂牌交易的证券资产不得超过基金资产净值的10%，其中持有任一国家或地区市场的证券资产不得超过基金资产净值的3%。</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(4)基金管理人管理的全部基金不得持有同一机构10%以上具有投票权的证券发行总量。</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前项投资比例限制应当合并计算同一机构境内外上市的总股本，同时应当一并计算全球存托凭证和美国存托凭证所代表的基础证券，并假设对持有的股本权证行使转换。</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 本基金持有非流动性资产市值不得超过基金净值的10%。</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前项非流动性资产是指法律或基金合同规定的流通受限证券以及中国证监会认定的其他资产。</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 本基金持有境外基金的市值合计不得超过基金净值的10%，持有货币市场基金可以不受上述限制。</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 基金管理人管理的全部基金持有任何一只境外基金，不得超过该境外基金总份额的20%。</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 为应付赎回、交易清算等临时用途，借入现金的比例不得超过基金资产净值的10%。</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 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 本基金与私募类证券资管产品及中国证监会认定的其他主体为交易对手开展逆回购交易的，可接受质押品的资质要求应当与基金合同约定的投资范围保持</w:t>
      </w:r>
      <w:r>
        <w:rPr>
          <w:rFonts w:ascii="宋体" w:hAnsi="宋体"/>
          <w:sz w:val="24"/>
        </w:rPr>
        <w:lastRenderedPageBreak/>
        <w:t>一致。</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 法律法规和基金合同规定的其他限制。</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除上述第(9)、(10)项外，若基金超过上述投资比例限制，应当在超过比例后30个工作日内采用合理的商业措施减仓以符合投资比例限制要求。</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基金份额拆分、大比例分红等集中持续营销活动引起的基金净资产规模在10个工作日内增加10亿元以上的情形，而导致证券投资比例低于基金合同约定的，基金管理人同基金托管人协商一致并及时书面报告中国证监会后，可将调整时限从30个工作日延长到3个月。</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除中国证监会另有规定外，基金不得有下列行为：</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购买不动产。</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购买房地产抵押按揭。</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购买贵重金属或代表贵重金属的凭证。</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 购买实物商品。</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 除应付赎回、交易清算等临时用途以外，借入现金。</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 利用融资购买证券，但投资金融衍生品除外。</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 参与未持有基础资产的卖空交易。</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 从事证券承销业务。</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 不得购买证券用于控制或影响发行该证券的机构或其管理层。</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 中国证监会禁止的其他行为。</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基金管理人和境外投资顾问不得有下列行为：</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不公平对待不同客户或不同投资组合。</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除法律法规规定以外，向任何第三方泄露客户资料。</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中国证监会禁止的其他行为。</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3、金融衍生品投资</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本基金投资衍生品应当仅限于投资组合避险或有效管理，不得用于投机或放大交易，同时应当严格遵守下列规定：</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本基金的金融衍生品全部敞口不得高于基金资产净值的100%。</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本基金投资期货支付的初始保证金、投资期权支付或收取的期权费、投资柜台交易衍生品支付的初始费用的总额不得高于基金资产净值的10%。</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 本基金投资于远期合约、互换等柜台交易金融衍生品，应当符合以下要求：</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所有参与交易的对手方（中资商业银行除外）应当具有不低于中国证监会认可的信用评级机构评级。</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交易对手方应当至少每个工作日对交易进行估值，并且基金可在任何时候以公允价值终止交易。</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任一交易对手方的市值计价敞口不得超过基金资产净值的20%。</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 基金管理人应当在本基金会计年度结束后60个工作日内向中国证监会提交包括衍生品头寸及风险分析年度报告。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(5)本基金不得直接投资与实物商品相关的衍生品。</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4、本基金可以参与证券借贷交易，并且应当遵守下列规定：</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所有参与交易的对手方（中资商业银行除外）应当具有中国证监会认可的信用评级机构评级。</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应当采取市值计价制度进行调整以确保担保物市值不低于已借出证券市值的102%。</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借方应当在交易期内及时向本基金支付已借出证券产生的所有股息、利息和分红。一旦借方违约，本基金根据协议和有关法律有权保留和处置担保物以满足索赔需要。</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 除中国证监会另有规定外，担保物可以是以下金融工具或品种：</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现金；</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2）存款证明；</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3）商业票据；</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4）政府债券；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5）中资商业银行或由不低于中国证监会认可的信用评级机构评级的境外金融机构（作为交易对手方或其关联方的除外）出具的不可撤销信用证。</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 本基金有权在任何时候终止证券借贷交易并在正常市场惯例的合理期限内要求归还任一或所有已借出的证券。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 基金管理人应当对基金参与证券借贷交易中发生的任何损失负相应责任。</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(7)本基金参与证券借贷交易，所有已借出而未归还证券总市值不得超过基金总资产的50%。</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上述比例限制计算，基金因参与证券借贷交易而持有的担保物不得计入基金总资产。</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5、基金可以根据正常市场惯例参与正回购交易、逆回购交易，并且应当遵守下列规定：</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所有参与正回购交易的对手方（中资商业银行除外）应当具有中国证监会认可的信用评级机构信用评级。</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参与正回购交易，应当采取市值计价制度对卖出收益进行调整以确保现金不低于已售出证券市值的102%。一旦买方违约，本基金根据协议和有关法律有权保留或处置卖出收益以满足索赔需要。</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买方应当在正回购交易期内及时向本基金支付售出证券产生的所有股息、利息和分红。</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 参与逆回购交易，应当对购入证券采取市值计价制度进行调整以确保已购入证券市值不低于支付现金的102%。一旦卖方违约，本基金根据协议和有关法律有权保留或处置已购入证券以满足索赔需要。</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 基金管理人应当对基金参与证券正回购交易、逆回购交易中发生的任何损失负相应责任。</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(6)基金参与正回购交易，所有已售出而未回购证券总市值均不得超过基金总资产的50%。</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上述比例限制计算，基金因参与正回购交易而持有的现金不得计入基金总资产。</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将来法律法规或中国证监会的相关规定发生修改或变更，致使本款前述1-5项的投资限制和禁止行为被修改或取消的，基金管理人在履行适当程序后，本基金可相应调整投资限制和禁止行为规定，不需经基金份额持有人大会审议。</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（九）风险收益特征</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混合型基金，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此外，本基金在</w:t>
      </w:r>
      <w:r>
        <w:rPr>
          <w:rFonts w:ascii="宋体" w:hAnsi="宋体"/>
          <w:sz w:val="24"/>
        </w:rPr>
        <w:lastRenderedPageBreak/>
        <w:t>全球范围内进行投资，除了需要承担国际市场的市场波动风险之外，还面临汇率风险、国别风险、新兴市场风险等海外市场投资所面临的特别投资风险。</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（十）基金管理人代表基金行使股东及债权人权利的处理原则及方法</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1、基金管理人按照国家有关规定代表基金独立行使股东及债权人权利，保护基金份额持有人的利益；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2、不谋求对上市公司的控股，不参与所投资上市公司的经营管理；</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（十一）代理投票</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作为基金份额持有人的代理人，行使所投资股票的投票权。基金管理人将本着维护持有人利益的原则，勤勉尽职地代理基金份额持有人行使投票权。在履行代理投票职责过程中，基金管理人可根据操作需要，委托境外投资顾问、境外资产托管人或其他专业机构提供代理投票的建议、协助完成代理投票的程序等。基金管理人应对代理机构的行为进行必要的监督，并承担相应责任。</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（十二）证券交易</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1、券商的交易执行能力、研究实力和提供的研究服务，这是选择券商以及分配交易量最主要的原则和标准，包括以下几个方面：</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（1）交易执行能力：主要指券商是否对投资指令进行了有效的执行以及能否取得较高质量的成交结果。衡量交易执行能力的指标主要有：是否完成交易、成交的及时性、成交价格、对市场的影响等；</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（2）研究机构的实力和水平：主要是指券商能否所提供高质量的宏观经济研究、行业研究及市场走向、个股分析报告和专题研究报告，报告内容是否详实，投资建议是否准确；</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（3）提供研究服务的质量：主要指券商承接调研课题的态度、协助安排上市公司调研、以及就有关专题提供研究报告和讲座；</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（4）股票配售情况：主要指券商在股票配售时提供的服务等。</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2、基金管理人根据上述标准对境外券商进行遴选，拟定交易量分仓比例，并每季度进行调整。</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考核内容包括：服务质量、证券推荐的成功率、交易的执行力等因素。</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考核采取打分制，打分采取加权平均的办法，主要有以下方面：交易执行能力（30%）、研究能力（30%）、服务质量（25%）和股票配售情况（15%）。</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3、对于在券商选择和分仓中存在或潜在的利益冲突，基金管理人应该本着维护持有人的利益出发进行妥善处理，并及时进行披露。</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（十三）侧袋机制的实施和投资运作安排</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（十四）基金投资组合报告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本基金托管人中国建设银行根据本基金合同规定，于2026年04月20日复核了本报告中的财务指标、净值表现和投资组合报告等内容，保证复核内容不存在虚假记载、误导性陈述或者重大遗漏。</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本报告期为2026年01月01日起至03月31日。本报告财务资料未经审计师审计。</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金额（人民币元）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219,411,708.76</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83.33</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2737B3">
            <w:pPr>
              <w:widowControl/>
              <w:snapToGrid w:val="0"/>
              <w:jc w:val="center"/>
              <w:rPr>
                <w:rFonts w:ascii="宋体" w:hAnsi="宋体"/>
                <w:color w:val="000000"/>
                <w:kern w:val="0"/>
                <w:sz w:val="25"/>
                <w:szCs w:val="24"/>
              </w:rPr>
            </w:pP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其中：普通股</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218,358,070.96</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82.92</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2737B3">
            <w:pPr>
              <w:widowControl/>
              <w:snapToGrid w:val="0"/>
              <w:jc w:val="center"/>
              <w:rPr>
                <w:rFonts w:ascii="宋体" w:hAnsi="宋体"/>
                <w:color w:val="000000"/>
                <w:kern w:val="0"/>
                <w:sz w:val="25"/>
                <w:szCs w:val="24"/>
              </w:rPr>
            </w:pP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优先股</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2737B3">
            <w:pPr>
              <w:widowControl/>
              <w:snapToGrid w:val="0"/>
              <w:jc w:val="center"/>
              <w:rPr>
                <w:rFonts w:ascii="宋体" w:hAnsi="宋体"/>
                <w:color w:val="000000"/>
                <w:kern w:val="0"/>
                <w:sz w:val="25"/>
                <w:szCs w:val="24"/>
              </w:rPr>
            </w:pP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存托凭证</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2737B3">
            <w:pPr>
              <w:widowControl/>
              <w:snapToGrid w:val="0"/>
              <w:jc w:val="center"/>
              <w:rPr>
                <w:rFonts w:ascii="宋体" w:hAnsi="宋体"/>
                <w:color w:val="000000"/>
                <w:kern w:val="0"/>
                <w:sz w:val="25"/>
                <w:szCs w:val="24"/>
              </w:rPr>
            </w:pP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房地产信托凭证</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1,053,637.80</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0.40</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5,758,497.66</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2.19</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2737B3">
            <w:pPr>
              <w:widowControl/>
              <w:snapToGrid w:val="0"/>
              <w:jc w:val="center"/>
              <w:rPr>
                <w:rFonts w:ascii="宋体" w:hAnsi="宋体"/>
                <w:color w:val="000000"/>
                <w:kern w:val="0"/>
                <w:sz w:val="25"/>
                <w:szCs w:val="24"/>
              </w:rPr>
            </w:pP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2737B3">
            <w:pPr>
              <w:widowControl/>
              <w:snapToGrid w:val="0"/>
              <w:jc w:val="center"/>
              <w:rPr>
                <w:rFonts w:ascii="宋体" w:hAnsi="宋体"/>
                <w:color w:val="000000"/>
                <w:kern w:val="0"/>
                <w:sz w:val="25"/>
                <w:szCs w:val="24"/>
              </w:rPr>
            </w:pP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4</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2737B3">
            <w:pPr>
              <w:widowControl/>
              <w:snapToGrid w:val="0"/>
              <w:jc w:val="center"/>
              <w:rPr>
                <w:rFonts w:ascii="宋体" w:hAnsi="宋体"/>
                <w:color w:val="000000"/>
                <w:kern w:val="0"/>
                <w:sz w:val="25"/>
                <w:szCs w:val="24"/>
              </w:rPr>
            </w:pP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其中：远期</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2737B3">
            <w:pPr>
              <w:widowControl/>
              <w:snapToGrid w:val="0"/>
              <w:jc w:val="center"/>
              <w:rPr>
                <w:rFonts w:ascii="宋体" w:hAnsi="宋体"/>
                <w:color w:val="000000"/>
                <w:kern w:val="0"/>
                <w:sz w:val="25"/>
                <w:szCs w:val="24"/>
              </w:rPr>
            </w:pP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期货</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2737B3">
            <w:pPr>
              <w:widowControl/>
              <w:snapToGrid w:val="0"/>
              <w:jc w:val="center"/>
              <w:rPr>
                <w:rFonts w:ascii="宋体" w:hAnsi="宋体"/>
                <w:color w:val="000000"/>
                <w:kern w:val="0"/>
                <w:sz w:val="25"/>
                <w:szCs w:val="24"/>
              </w:rPr>
            </w:pP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期权</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2737B3">
            <w:pPr>
              <w:widowControl/>
              <w:snapToGrid w:val="0"/>
              <w:jc w:val="center"/>
              <w:rPr>
                <w:rFonts w:ascii="宋体" w:hAnsi="宋体"/>
                <w:color w:val="000000"/>
                <w:kern w:val="0"/>
                <w:sz w:val="25"/>
                <w:szCs w:val="24"/>
              </w:rPr>
            </w:pP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权证</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2737B3">
            <w:pPr>
              <w:widowControl/>
              <w:snapToGrid w:val="0"/>
              <w:jc w:val="center"/>
              <w:rPr>
                <w:rFonts w:ascii="宋体" w:hAnsi="宋体"/>
                <w:color w:val="000000"/>
                <w:kern w:val="0"/>
                <w:sz w:val="25"/>
                <w:szCs w:val="24"/>
              </w:rPr>
            </w:pP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货币市场工具</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33,944,881.27</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12.89</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4,205,104.77</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1.60</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263,320,192.46</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报告期末在各个国家（地区）证券市场的股票及存托凭证投资分布</w:t>
      </w:r>
    </w:p>
    <w:tbl>
      <w:tblPr>
        <w:tblW w:w="5000" w:type="pct"/>
        <w:tblCellMar>
          <w:left w:w="0" w:type="dxa"/>
          <w:right w:w="0" w:type="dxa"/>
        </w:tblCellMar>
        <w:tblLook w:val="0000" w:firstRow="0" w:lastRow="0" w:firstColumn="0" w:lastColumn="0" w:noHBand="0" w:noVBand="0"/>
      </w:tblPr>
      <w:tblGrid>
        <w:gridCol w:w="1547"/>
        <w:gridCol w:w="4645"/>
        <w:gridCol w:w="2478"/>
      </w:tblGrid>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国家（地区）</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公允价值（人民币元）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美国</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167,612,184.12</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65.90</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中国香港</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51,799,524.64</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20.37</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219,411,708.76</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86.27</w:t>
            </w:r>
          </w:p>
        </w:tc>
      </w:tr>
    </w:tbl>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注：1、国家（地区）类别根据其所在的证券交易所确定；　　2、ADR、GDR按照存托凭证本身挂牌的证券交易所确定。</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3、报告期末按行业分类的股票及存托凭证投资组合</w:t>
      </w:r>
    </w:p>
    <w:tbl>
      <w:tblPr>
        <w:tblW w:w="5000" w:type="pct"/>
        <w:tblCellMar>
          <w:left w:w="0" w:type="dxa"/>
          <w:right w:w="0" w:type="dxa"/>
        </w:tblCellMar>
        <w:tblLook w:val="0000" w:firstRow="0" w:lastRow="0" w:firstColumn="0" w:lastColumn="0" w:noHBand="0" w:noVBand="0"/>
      </w:tblPr>
      <w:tblGrid>
        <w:gridCol w:w="1547"/>
        <w:gridCol w:w="4645"/>
        <w:gridCol w:w="2478"/>
      </w:tblGrid>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公允价值（人民币元）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通讯</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29,700,462.47</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11.68</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非必需消费品</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17,484,764.71</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6.87</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必需消费品</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12,119,786.63</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4.77</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能源</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11,188,178.35</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4.40</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32,382,316.60</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12.73</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医疗保健</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15,430,338.80</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6.07</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工业</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16,315,265.17</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6.41</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材料</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3,614,387.38</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1.42</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4,348,755.04</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1.71</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科技</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68,985,499.80</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27.12</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公用事业</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7,841,953.81</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3.08</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219,411,708.76</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86.27</w:t>
            </w:r>
          </w:p>
        </w:tc>
      </w:tr>
    </w:tbl>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注：本报告采用彭博BICS一级分类标准编制。</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4、期末按公允价值占基金资产净值比例大小排序的权益投资明细</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 报告期末按公允价值占基金资产净值比例大小排序的前十名股票及存托凭证投资明细</w:t>
      </w:r>
    </w:p>
    <w:tbl>
      <w:tblPr>
        <w:tblW w:w="5000" w:type="pct"/>
        <w:tblCellMar>
          <w:left w:w="0" w:type="dxa"/>
          <w:right w:w="0" w:type="dxa"/>
        </w:tblCellMar>
        <w:tblLook w:val="0000" w:firstRow="0" w:lastRow="0" w:firstColumn="0" w:lastColumn="0" w:noHBand="0" w:noVBand="0"/>
      </w:tblPr>
      <w:tblGrid>
        <w:gridCol w:w="842"/>
        <w:gridCol w:w="1739"/>
        <w:gridCol w:w="842"/>
        <w:gridCol w:w="885"/>
        <w:gridCol w:w="800"/>
        <w:gridCol w:w="843"/>
        <w:gridCol w:w="823"/>
        <w:gridCol w:w="1448"/>
        <w:gridCol w:w="448"/>
      </w:tblGrid>
      <w:tr w:rsidR="002737B3">
        <w:trPr>
          <w:cantSplit/>
          <w:trHeight w:val="375"/>
        </w:trPr>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公司名称</w:t>
            </w:r>
            <w:r>
              <w:rPr>
                <w:rFonts w:ascii="Times New Roman" w:hAnsi="Times New Roman"/>
                <w:color w:val="000000"/>
                <w:kern w:val="0"/>
                <w:sz w:val="25"/>
                <w:szCs w:val="24"/>
              </w:rPr>
              <w:t>(</w:t>
            </w:r>
            <w:r>
              <w:rPr>
                <w:rFonts w:ascii="Times New Roman" w:hAnsi="Times New Roman"/>
                <w:color w:val="000000"/>
                <w:kern w:val="0"/>
                <w:sz w:val="25"/>
                <w:szCs w:val="24"/>
              </w:rPr>
              <w:t>英文</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公司名称</w:t>
            </w:r>
            <w:r>
              <w:rPr>
                <w:rFonts w:ascii="Times New Roman" w:hAnsi="Times New Roman"/>
                <w:color w:val="000000"/>
                <w:kern w:val="0"/>
                <w:sz w:val="25"/>
                <w:szCs w:val="24"/>
              </w:rPr>
              <w:t>(</w:t>
            </w:r>
            <w:r>
              <w:rPr>
                <w:rFonts w:ascii="Times New Roman" w:hAnsi="Times New Roman"/>
                <w:color w:val="000000"/>
                <w:kern w:val="0"/>
                <w:sz w:val="25"/>
                <w:szCs w:val="24"/>
              </w:rPr>
              <w:t>中文</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证券代码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所在证券市场</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所属国家（地区）</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w:t>
            </w:r>
            <w:r>
              <w:rPr>
                <w:rFonts w:ascii="Times New Roman" w:hAnsi="Times New Roman"/>
                <w:color w:val="000000"/>
                <w:kern w:val="0"/>
                <w:sz w:val="25"/>
                <w:szCs w:val="24"/>
              </w:rPr>
              <w:t>(</w:t>
            </w:r>
            <w:r>
              <w:rPr>
                <w:rFonts w:ascii="Times New Roman" w:hAnsi="Times New Roman"/>
                <w:color w:val="000000"/>
                <w:kern w:val="0"/>
                <w:sz w:val="25"/>
                <w:szCs w:val="24"/>
              </w:rPr>
              <w:t>股</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公允价值（人民币元）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p>
        </w:tc>
      </w:tr>
      <w:tr w:rsidR="002737B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NVIDIA CORP</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英伟达公司</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NVDA US</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美国证券交易所</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美国</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13,200</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15,929,012.35</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6.26</w:t>
            </w:r>
          </w:p>
        </w:tc>
      </w:tr>
      <w:tr w:rsidR="002737B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APPLE INC</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苹果公司</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AAPL US</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美国证券交易所</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美国</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7,930</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13,925,670.99</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5.48</w:t>
            </w:r>
          </w:p>
        </w:tc>
      </w:tr>
      <w:tr w:rsidR="002737B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MICROSOFT CORP</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微软公司</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MSFT US</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美国证券交易所</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美国</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4,070</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10,424,711.99</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4.10</w:t>
            </w:r>
          </w:p>
        </w:tc>
      </w:tr>
      <w:tr w:rsidR="002737B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ALPHABET INC-CL A</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谷歌公司</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GOOGL US</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美国证券交易所</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美国</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4,800</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9,550,764.79</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3.76</w:t>
            </w:r>
          </w:p>
        </w:tc>
      </w:tr>
      <w:tr w:rsidR="002737B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AMAZON.COM INC</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亚马逊公司</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AMZN US</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美国证券交易所</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美国</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6,270</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9,035,718.56</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3.55</w:t>
            </w:r>
          </w:p>
        </w:tc>
      </w:tr>
      <w:tr w:rsidR="002737B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Broadcom Inc</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博通股份有限公司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AVGO US</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美国证券交易所</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美国</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2,570</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5,503,972.38</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2.16</w:t>
            </w:r>
          </w:p>
        </w:tc>
      </w:tr>
      <w:tr w:rsidR="002737B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Meta Platforms Inc</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Meta</w:t>
            </w:r>
            <w:r>
              <w:rPr>
                <w:rFonts w:ascii="Times New Roman" w:hAnsi="Times New Roman"/>
                <w:color w:val="000000"/>
                <w:kern w:val="0"/>
                <w:sz w:val="25"/>
                <w:szCs w:val="24"/>
              </w:rPr>
              <w:t>平台股份有限公司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META US</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美国证券交易所</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美国</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1,330</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5,265,199.11</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2.07</w:t>
            </w:r>
          </w:p>
        </w:tc>
      </w:tr>
      <w:tr w:rsidR="002737B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Tesla Inc</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特斯拉公司</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TSLA US</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美国证券交易所</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美国</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1,370</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3,524,033.12</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1.39</w:t>
            </w:r>
          </w:p>
        </w:tc>
      </w:tr>
      <w:tr w:rsidR="002737B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9</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CHINA SHENHUA ENERGY CO-H</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中国神华能源股份有限公司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1088 HK</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香港联合交易所</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中国香港</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84,500</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3,439,496.78</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1.35</w:t>
            </w:r>
          </w:p>
        </w:tc>
      </w:tr>
      <w:tr w:rsidR="002737B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CNOOC LTD-H</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中国海洋石油有限公司</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883 HK</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香港联合交易所</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中国香港</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139,000</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3,434,960.38</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1.35</w:t>
            </w:r>
          </w:p>
        </w:tc>
      </w:tr>
    </w:tbl>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5、报告期末按债券信用等级分类的债券投资组合</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6、报告期末按公允价值占基金资产净值比例大小排名的前五名债券投资明细</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7、报告期末按公允价值占基金资产净值比例大小排名的前十名资产支持证券投资明细</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8、报告期末按公允价值占基金资产净值比例大小排名的前五名金融衍生品投资明细</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9、报告期末按公允价值占基金资产净值比例大小排序的前十名基金投资明细</w:t>
      </w:r>
    </w:p>
    <w:tbl>
      <w:tblPr>
        <w:tblW w:w="5000" w:type="pct"/>
        <w:tblCellMar>
          <w:left w:w="0" w:type="dxa"/>
          <w:right w:w="0" w:type="dxa"/>
        </w:tblCellMar>
        <w:tblLook w:val="0000" w:firstRow="0" w:lastRow="0" w:firstColumn="0" w:lastColumn="0" w:noHBand="0" w:noVBand="0"/>
      </w:tblPr>
      <w:tblGrid>
        <w:gridCol w:w="1296"/>
        <w:gridCol w:w="1297"/>
        <w:gridCol w:w="1297"/>
        <w:gridCol w:w="1297"/>
        <w:gridCol w:w="1297"/>
        <w:gridCol w:w="1323"/>
        <w:gridCol w:w="863"/>
      </w:tblGrid>
      <w:tr w:rsidR="002737B3">
        <w:trPr>
          <w:cantSplit/>
          <w:trHeight w:val="375"/>
        </w:trPr>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基金名称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基金类型</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运作方式</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管理人</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公允价值（人民币元）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2737B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Invesco QQQ Trust Series 1</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ETF</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交易型开放式</w:t>
            </w:r>
            <w:r>
              <w:rPr>
                <w:rFonts w:ascii="Times New Roman" w:hAnsi="Times New Roman"/>
                <w:color w:val="000000"/>
                <w:kern w:val="0"/>
                <w:sz w:val="25"/>
                <w:szCs w:val="24"/>
              </w:rPr>
              <w:t>(ETF)</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Invesco ETFs/USA</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3,194,991.43</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1.26</w:t>
            </w:r>
          </w:p>
        </w:tc>
      </w:tr>
      <w:tr w:rsidR="002737B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Vanguard S&amp;P 500 ETF</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ETF</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交易型开放式</w:t>
            </w:r>
            <w:r>
              <w:rPr>
                <w:rFonts w:ascii="Times New Roman" w:hAnsi="Times New Roman"/>
                <w:color w:val="000000"/>
                <w:kern w:val="0"/>
                <w:sz w:val="25"/>
                <w:szCs w:val="24"/>
              </w:rPr>
              <w:t>(ETF)</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Vanguard Index Funds</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2,563,506.23</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1.01</w:t>
            </w:r>
          </w:p>
        </w:tc>
      </w:tr>
    </w:tbl>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10、投资组合报告附注</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本基金投资的前十名证券的发行主体本期是否出现被监管部门立案调查，或在报告编制日前一年内受到公开谴责、处罚的情形</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报告期内本基金投资的前十名证券的发行主体未被监管部门立案调查，在本报告编制日前一年内本基金投资的前十名证券的发行主体未受到公开谴责和处罚。</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基金投资的前十名股票是否超出基金合同规定的备选股票库</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金额（人民币元）</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110,873.43</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4,094,231.34</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right"/>
              <w:rPr>
                <w:rFonts w:ascii="宋体" w:hAnsi="宋体"/>
                <w:color w:val="000000"/>
                <w:kern w:val="0"/>
                <w:sz w:val="25"/>
                <w:szCs w:val="24"/>
              </w:rPr>
            </w:pPr>
            <w:r>
              <w:rPr>
                <w:rFonts w:ascii="Times New Roman" w:hAnsi="Times New Roman"/>
                <w:color w:val="000000"/>
                <w:kern w:val="0"/>
                <w:sz w:val="25"/>
                <w:szCs w:val="24"/>
              </w:rPr>
              <w:t>4,205,104.77</w:t>
            </w:r>
          </w:p>
        </w:tc>
      </w:tr>
    </w:tbl>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10.4 报告期末持有的处于转股期的可转换债券明细</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10.5 报告期末前十名股票中存在流通受限情况的说明</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10.6 投资组合报告附注的其他文字描述部分</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4226F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737B3" w:rsidRDefault="004226F9">
      <w:pPr>
        <w:pStyle w:val="1"/>
        <w:snapToGrid w:val="0"/>
        <w:spacing w:beforeLines="0" w:before="240" w:after="240"/>
        <w:rPr>
          <w:rFonts w:ascii="宋体" w:hAnsi="宋体"/>
          <w:szCs w:val="30"/>
        </w:rPr>
      </w:pPr>
      <w:bookmarkStart w:id="8" w:name="_Toc244528786"/>
      <w:r>
        <w:rPr>
          <w:rFonts w:ascii="Times New Roman" w:hAnsi="Times New Roman"/>
          <w:sz w:val="30"/>
        </w:rPr>
        <w:lastRenderedPageBreak/>
        <w:t>五、基金的业绩</w:t>
      </w:r>
      <w:bookmarkEnd w:id="8"/>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下述基金业绩指标不包括持有人认购或交易基金的各项费用，计入费用后实际收益水平要低于所列数字。</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2737B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2737B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-4.80%</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0.74%</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-3.66%</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0.82%</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-1.14%</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r>
      <w:tr w:rsidR="002737B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19.53%</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1.09%</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23.40%</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0.97%</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-3.87%</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r>
      <w:tr w:rsidR="002737B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14.46%</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0.80%</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17.14%</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0.74%</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-2.68%</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r>
      <w:tr w:rsidR="002737B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6.84%</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0.75%</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9.22%</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0.73%</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-2.38%</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2737B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-10.47%</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1.14%</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-17.86%</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1.15%</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7.39%</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2737B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2.67%</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1.01%</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6.50%</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0.71%</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-3.83%</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0.30%</w:t>
            </w:r>
          </w:p>
        </w:tc>
      </w:tr>
      <w:tr w:rsidR="002737B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23.72%</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1.47%</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9.49%</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1.54%</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14.23%</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r>
      <w:tr w:rsidR="002737B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24.99%</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0.59%</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19.62%</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5.37%</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r>
      <w:tr w:rsidR="002737B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-4.57%</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0.84%</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-11.64%</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0.80%</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7.07%</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r>
      <w:tr w:rsidR="002737B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19.20%</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0.49%</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25.73%</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0.40%</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-6.53%</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r>
      <w:tr w:rsidR="002737B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7.08%</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0.81%</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4.22%</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0.83%</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2.86%</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2737B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2015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0.15%</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1.26%</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-4.79%</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0.91%</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4.94%</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0.35%</w:t>
            </w:r>
          </w:p>
        </w:tc>
      </w:tr>
      <w:tr w:rsidR="002737B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2014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6.38%</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2.23%</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0.53%</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4.15%</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r>
      <w:tr w:rsidR="002737B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2013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20.01%</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0.70%</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14.89%</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5.12%</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r>
      <w:tr w:rsidR="002737B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2012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15.61%</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0.74%</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16.65%</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0.76%</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-1.04%</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2737B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2011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-23.90%</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1.18%</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-12.27%</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1.20%</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-11.63%</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r>
      <w:tr w:rsidR="002737B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2010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1.46%</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1.04%</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9.25%</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0.99%</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-7.79%</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r>
      <w:tr w:rsidR="002737B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2009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72.31%</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1.38%</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39.14%</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1.47%</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33.17%</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r>
      <w:tr w:rsidR="002737B3">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2008</w:t>
            </w:r>
            <w:r>
              <w:rPr>
                <w:rFonts w:ascii="Times New Roman" w:hAnsi="Times New Roman"/>
                <w:color w:val="000000"/>
                <w:kern w:val="0"/>
                <w:sz w:val="25"/>
                <w:szCs w:val="24"/>
              </w:rPr>
              <w:t>年度（</w:t>
            </w:r>
            <w:r>
              <w:rPr>
                <w:rFonts w:ascii="Times New Roman" w:hAnsi="Times New Roman"/>
                <w:color w:val="000000"/>
                <w:kern w:val="0"/>
                <w:sz w:val="25"/>
                <w:szCs w:val="24"/>
              </w:rPr>
              <w:t>2008</w:t>
            </w:r>
            <w:r>
              <w:rPr>
                <w:rFonts w:ascii="Times New Roman" w:hAnsi="Times New Roman"/>
                <w:color w:val="000000"/>
                <w:kern w:val="0"/>
                <w:sz w:val="25"/>
                <w:szCs w:val="24"/>
              </w:rPr>
              <w:t>年</w:t>
            </w:r>
            <w:r>
              <w:rPr>
                <w:rFonts w:ascii="Times New Roman" w:hAnsi="Times New Roman"/>
                <w:color w:val="000000"/>
                <w:kern w:val="0"/>
                <w:sz w:val="25"/>
                <w:szCs w:val="24"/>
              </w:rPr>
              <w:t>08</w:t>
            </w:r>
            <w:r>
              <w:rPr>
                <w:rFonts w:ascii="Times New Roman" w:hAnsi="Times New Roman"/>
                <w:color w:val="000000"/>
                <w:kern w:val="0"/>
                <w:sz w:val="25"/>
                <w:szCs w:val="24"/>
              </w:rPr>
              <w:t>月</w:t>
            </w:r>
            <w:r>
              <w:rPr>
                <w:rFonts w:ascii="Times New Roman" w:hAnsi="Times New Roman"/>
                <w:color w:val="000000"/>
                <w:kern w:val="0"/>
                <w:sz w:val="25"/>
                <w:szCs w:val="24"/>
              </w:rPr>
              <w:t>22</w:t>
            </w:r>
            <w:r>
              <w:rPr>
                <w:rFonts w:ascii="Times New Roman" w:hAnsi="Times New Roman"/>
                <w:color w:val="000000"/>
                <w:kern w:val="0"/>
                <w:sz w:val="25"/>
                <w:szCs w:val="24"/>
              </w:rPr>
              <w:t>日</w:t>
            </w:r>
            <w:r>
              <w:rPr>
                <w:rFonts w:ascii="Times New Roman" w:hAnsi="Times New Roman"/>
                <w:color w:val="000000"/>
                <w:kern w:val="0"/>
                <w:sz w:val="25"/>
                <w:szCs w:val="24"/>
              </w:rPr>
              <w:t>-2008</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-2.70%</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0.33%</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-30.12%</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3.32%</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27.42%</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-2.99%</w:t>
            </w:r>
          </w:p>
        </w:tc>
      </w:tr>
    </w:tbl>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注：本基金的业绩比较基准为70%×标准普尔全球大中盘指数(S&amp;PGlobalLargeMidCapIndex)+30%×恒生指数。</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2737B3" w:rsidRDefault="004226F9">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lastRenderedPageBreak/>
        <w:t>交银施罗德环球精选价值证券投资基金</w:t>
      </w:r>
    </w:p>
    <w:p w:rsidR="002737B3" w:rsidRDefault="004226F9">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份额累计净值增长率与业绩比较基准收益率历史走势对比图</w:t>
      </w:r>
    </w:p>
    <w:p w:rsidR="002737B3" w:rsidRDefault="004226F9">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（2008年8月22日至2026年03月31日）</w:t>
      </w:r>
    </w:p>
    <w:p w:rsidR="002737B3" w:rsidRDefault="00EF433C">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rsidR="00B439CC" w:rsidRDefault="004226F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737B3" w:rsidRDefault="004226F9">
      <w:pPr>
        <w:pStyle w:val="1"/>
        <w:snapToGrid w:val="0"/>
        <w:spacing w:beforeLines="0" w:before="240" w:after="240"/>
        <w:rPr>
          <w:rFonts w:ascii="宋体" w:hAnsi="宋体"/>
          <w:szCs w:val="30"/>
        </w:rPr>
      </w:pPr>
      <w:bookmarkStart w:id="9" w:name="_Toc244528787"/>
      <w:r>
        <w:rPr>
          <w:rFonts w:ascii="Times New Roman" w:hAnsi="Times New Roman"/>
          <w:sz w:val="30"/>
        </w:rPr>
        <w:lastRenderedPageBreak/>
        <w:t>六、基金管理人</w:t>
      </w:r>
      <w:bookmarkEnd w:id="9"/>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w:t>
      </w:r>
      <w:r>
        <w:rPr>
          <w:rFonts w:ascii="宋体" w:hAnsi="宋体"/>
          <w:sz w:val="24"/>
        </w:rPr>
        <w:lastRenderedPageBreak/>
        <w:t>总行托管部基金业务部内控综合处副处长、资产委托高级经理、保险及养老金高级经理、资产托管部副总经理，交银施罗德基金管理有限公司党委委员、副总经理、首席信息官，交通银行总行养老金融部总经理。</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许颖女士，职工董事，学士。现任交银施罗德基金管理有限公司基金运营部总经理、工会副主席职务。历任交银施罗德基金管理有限公司财务部总经理、财务总监，交银施罗德资产管理有限公司执行监事。</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蔡铮先生:基金经理。复旦大学电子工程硕士，17年证券投资行业从业经验。2007年起在瑞士银行香港分行工作。2009年加入交银施罗德基金管理有限公司，曾任投资研究部数量分析师、基金经理助理、量化投资部助理总经理、量化投资部副总经理、多元资产管理副总监，现任量化投资部量化投资副总监、基金经理。曾任交银施罗德沪深300行业分层等权重指数证券投资基金(2012年12月27日至2015年06月30日)、交银施罗德深证300价值交易型开放式指数证券投资基金联接基金(2012年12月27日至2021年04月30日)、交银施罗德消费新驱动股票型证券投资基金(2012年12月27日至2015年06月30日)、交银施罗德上证180公司治理交易型开放式指数证券投资基金联接基金(2012年12月27日至2021年04月30日)、上证180公司治理交易型开放式指数证券投资基金(2012年12月27日至2021年04月30日)、深证300价值交易型开放式指数证券投资基金(2012年12月27日至2021年04月30日)、交银施罗德国证新能源指数证券投资基金（LOF）(2015年03月26日至2021年04月30日)、交银施罗德环球精选价值证券投资基金(2015年04月22日至2017年03月25日)、交银施罗德全球自然资源证券投资基金(2015年04月22日至2017年03月24日)、交银施罗德中证海外中国互联网指数型证券投资基金(LOF)(2015年05月27日至2021年04月30日)、交银施罗德中证互联网金融指数分级证券投资基金(2015年06月26日至2020年11月25日)、交银施罗德中证环境治理指数分级证券投资基金(2015年08月13日至2016年07月18日)、交银施罗德中证环境治理指数型证券投资基金(LOF)(2016年07月19日至2021年04月30日)、交银施罗德致远量化智投策略定期开放混合型证券投资基金(2018年05月18日至2020年07月17日)、交银施罗德创业板50指数型证券投资基金(2019年11月20日至2021年04月30日)、交银施罗德养老目标日期2035三年持有期混合型基金中基金（FOF）(2021年04月30日至2025年01月22日)、交银施罗德安享稳健养老目标一年持有期混合型基金中基金（FOF）(2021年04月30日至2025年01月22日)的基金经理。现任交银施罗德中证海外中国互联网指数型证券投资基金(LOF)(2025年02月27日至今)、交银施罗德上证180公司治理交易型开放式指数证券</w:t>
      </w:r>
      <w:r>
        <w:rPr>
          <w:rFonts w:ascii="宋体" w:hAnsi="宋体"/>
          <w:sz w:val="24"/>
        </w:rPr>
        <w:lastRenderedPageBreak/>
        <w:t>投资基金联接基金(2025年02月27日至今)、上证180公司治理交易型开放式指数证券投资基金(2025年02月27日至今)、交银施罗德创业板50指数型证券投资基金(2025年02月27日至今)、交银施罗德中证红利低波动100指数型证券投资基金(2025年02月27日至今)、交银施罗德中证智选沪深港科技50交易型开放式指数证券投资基金(2025年12月10日至今)、交银施罗德环球精选价值证券投资基金(2026年01月22日至今)、交银施罗德智远量化选股股票型发起式证券投资基金(2026年05月08日至今)、交银施罗德红利量化选股混合型证券投资基金(2026年06月09日至今)的基金经理。</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郑伟辉先生(2008年08月22日至2013年03月04日)；</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饶超先生(2012年04月09日至2014年01月23日)；</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晏青先生(2012年04月09日至2015年04月21日)；</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蔡铮先生(2015年04月22日至2017年03月25日)；</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陈俊华女士(2015年11月21日至2026年01月22日)；</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周中先生(2015年12月12日至2024年06月06日)；</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陈舒薇女士(2020年01月08日至2026年10月29日)。</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上述人员之间无近亲属关系。</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1、依法募集基金，办理或者委托经中国证监会认定的其他机构代为办理基金份额的发售、申购、赎回和登记事宜；</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w:t>
      </w:r>
      <w:r>
        <w:rPr>
          <w:rFonts w:ascii="宋体" w:hAnsi="宋体"/>
          <w:sz w:val="24"/>
        </w:rPr>
        <w:lastRenderedPageBreak/>
        <w:t>收益；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9、召集基金份额持有人大会；</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12、选择、更换或撤销境外投资顾问；</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13、有关法律法规和中国证监会规定的其他职责。</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1、基金管理人承诺不从事违反《证券法》的行为，并承诺建立健全内部控制制度，采取有效措施，防止违反《证券法》行为的发生；</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（5）依照法律、行政法规有关规定，由中国证监会规定禁止的其他行为。</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3、基金管理人承诺严格遵守基金合同，并承诺建立健全内部控制制度，采取有效措施，保证基金财产不用于下列投资或者活动：</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（1）购买不动产；</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（2）购买房地产抵押按揭；</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（3）购买贵重金属或代表贵重金属的凭证；</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（4）购买实物商品；</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（5）除应付赎回、交易清算等临时用途以外，借入现金；</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（6）利用融资购买证券，但投资金融衍生品除外；</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（7）参与未持有基础资产的卖空交易；</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（8）从事证券承销业务；</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（9）中国证监会禁止的其他行为。</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4、在法律法规禁止的范围内，不以任何形式为其他组织或个人进行证券交易。</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内部控制应当包括公司的各项业务、各个部门或机构和各级人员，并涵盖到决策、执行、监督、反馈等各个环节。</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w:t>
      </w:r>
      <w:r>
        <w:rPr>
          <w:rFonts w:ascii="宋体" w:hAnsi="宋体"/>
          <w:sz w:val="24"/>
        </w:rPr>
        <w:lastRenderedPageBreak/>
        <w:t>务，依法维护公司合法权益，评估并处理公司运营中发生的法律、内控合规及信息披露相关问题，及时向公司管理层及全体员工传达法规及监管要求。</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采取数量化、技术化的风险控制手段，建立数量化的风险管理模型，用以提示指数趋势、行业及个券的风险，以便公司及时采取有效的措施，对风险进行分散、控制和规避，尽可能地减少损失。</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w:t>
      </w:r>
      <w:r>
        <w:rPr>
          <w:rFonts w:ascii="宋体" w:hAnsi="宋体"/>
          <w:sz w:val="24"/>
        </w:rPr>
        <w:lastRenderedPageBreak/>
        <w:t>责所在，控制风险。</w:t>
      </w:r>
    </w:p>
    <w:p w:rsidR="00B439CC" w:rsidRDefault="004226F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737B3" w:rsidRDefault="004226F9">
      <w:pPr>
        <w:pStyle w:val="1"/>
        <w:snapToGrid w:val="0"/>
        <w:spacing w:beforeLines="0" w:before="240" w:after="240"/>
        <w:rPr>
          <w:rFonts w:ascii="宋体" w:hAnsi="宋体"/>
          <w:szCs w:val="30"/>
        </w:rPr>
      </w:pPr>
      <w:bookmarkStart w:id="10" w:name="_Toc244528788"/>
      <w:r>
        <w:rPr>
          <w:rFonts w:ascii="Times New Roman" w:hAnsi="Times New Roman"/>
          <w:sz w:val="30"/>
        </w:rPr>
        <w:lastRenderedPageBreak/>
        <w:t>七、境外投资顾问</w:t>
      </w:r>
      <w:bookmarkEnd w:id="10"/>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本基金暂不设境外投资顾问。</w:t>
      </w:r>
    </w:p>
    <w:p w:rsidR="00B439CC" w:rsidRDefault="004226F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737B3" w:rsidRDefault="004226F9">
      <w:pPr>
        <w:pStyle w:val="1"/>
        <w:snapToGrid w:val="0"/>
        <w:spacing w:beforeLines="0" w:before="240" w:after="240"/>
        <w:rPr>
          <w:rFonts w:ascii="宋体" w:hAnsi="宋体"/>
          <w:szCs w:val="30"/>
        </w:rPr>
      </w:pPr>
      <w:bookmarkStart w:id="11" w:name="_Toc244528789"/>
      <w:r>
        <w:rPr>
          <w:rFonts w:ascii="Times New Roman" w:hAnsi="Times New Roman"/>
          <w:sz w:val="30"/>
        </w:rPr>
        <w:lastRenderedPageBreak/>
        <w:t>八、基金的历史沿革</w:t>
      </w:r>
      <w:bookmarkEnd w:id="11"/>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2008年5月5日中国证券监督管理委员会证监许可【2008】635号文批准募集发售。基金管理人为交银施罗德基金管理有限公司，基金托管人为中国建设银行股份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本基金自2015年8月8日起由契约型开放式股票型基金变更为契约型开放式混合型基金。基金存续期间为不定期。</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本基金于2008年7月15日进行发售。本基金设立募集期共募集508,425,627.85份基金份额，有效认购户数为13,842户。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关于实施&lt;公开募集证券投资基金运作管理办法&gt;有关问题的规定》等相关法律法规及基金合同的约定，经基金管理人与基金托管人协商一致，报中国证监会备案并公告，自2015年8月8日起，本基金类型变更为混合型基金，相应修改基金合同和托管协议相关表述，无需召开基金份额持有人大会，修改后的基金合同自同日起生效。</w:t>
      </w:r>
    </w:p>
    <w:p w:rsidR="00B439CC" w:rsidRDefault="004226F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737B3" w:rsidRDefault="004226F9">
      <w:pPr>
        <w:pStyle w:val="1"/>
        <w:snapToGrid w:val="0"/>
        <w:spacing w:beforeLines="0" w:before="240" w:after="240"/>
        <w:rPr>
          <w:rFonts w:ascii="宋体" w:hAnsi="宋体"/>
          <w:szCs w:val="30"/>
        </w:rPr>
      </w:pPr>
      <w:bookmarkStart w:id="12" w:name="_Toc244528790"/>
      <w:r>
        <w:rPr>
          <w:rFonts w:ascii="Times New Roman" w:hAnsi="Times New Roman"/>
          <w:sz w:val="30"/>
        </w:rPr>
        <w:lastRenderedPageBreak/>
        <w:t>九、基金的存续</w:t>
      </w:r>
      <w:bookmarkEnd w:id="12"/>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合同生效后，基金份额持有人数量不满两百人或者基金资产净值低于五千万元的，基金管理人应当及时报告中国证监会；连续20个工作日出现上述情形的，基金管理人应向中国证监会说明原因并报送解决方案。</w:t>
      </w:r>
    </w:p>
    <w:p w:rsidR="00B439CC" w:rsidRDefault="004226F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737B3" w:rsidRDefault="004226F9">
      <w:pPr>
        <w:pStyle w:val="1"/>
        <w:snapToGrid w:val="0"/>
        <w:spacing w:beforeLines="0" w:before="240" w:after="240"/>
        <w:rPr>
          <w:rFonts w:ascii="宋体" w:hAnsi="宋体"/>
          <w:szCs w:val="30"/>
        </w:rPr>
      </w:pPr>
      <w:bookmarkStart w:id="13" w:name="_Toc244528791"/>
      <w:r>
        <w:rPr>
          <w:rFonts w:ascii="Times New Roman" w:hAnsi="Times New Roman"/>
          <w:sz w:val="30"/>
        </w:rPr>
        <w:lastRenderedPageBreak/>
        <w:t>十、基金份额的申购与赎回</w:t>
      </w:r>
      <w:bookmarkEnd w:id="13"/>
    </w:p>
    <w:p w:rsidR="002737B3" w:rsidRDefault="004226F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本基金直销机构为本公司以及本公司的网上直销交易平台。</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客户服务热线：400-700-5000（免长途话费），（021）61055000</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个人投资者可以通过本公司网上直销交易平台办理开户、本基金的申购、赎回及定期定额投资等业务，具体交易细则请参阅本公司网站。网上直销交易平台网址：www.fund001.com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2、代销机构</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本基金的代销机构的代销网点请见本招募说明书“二十、相关服务机构”章节或拨打本公司客户服务电话进行咨询。</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投资人可通过上述场所按照规定的方式进行申购或赎回。本基金管理人可根据情况变更或增减基金代销机构，并在管理人网站公示。</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若基金管理人或其指定的代销机构开通电话、传真或网上等交易方式，投资人可以通过上述方式进行申购与赎回。</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（二）申购和赎回的开放日及时间</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开放日是指为投资人办理基金申购、赎回等业务的证券交易所交易日（基金管理人根据法律法规或基金合同的规定公告暂停申购、赎回时除外）。代销网点在开放日的具体业务办理时间为上海证券交易所、深圳证券交易所交易日的交易时间。如遇下列情况则开放日顺延：</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1）国内的节假日；</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基金所投资的主要市场暂停交易。一般情况下，如由于一个或多个市场暂停交易，致使本基金资产净值20%以上的资产无法交易或估值（资产净值比例以本基金在决定暂停申购或赎回前一个估值日的投资组合为基础），本基金将决定是否暂停申购或赎回。</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若出现新的证券交易市场、证券交易所交易时间变更或其他特殊情况，基金管理人将视情况对前述开放日及开放时间进行相应的调整，但应在实施日前依照《信息披露办法》的有关规定在指定媒介上公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2、申购的开始日及业务办理时间</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本基金A类基金份额已于2008年11月21日开放日常申购业务。</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本基金C类基金份额于2026年4月15日起开放日常申购业务。</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3、赎回的开始日及业务办理时间</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本基金A类基金份额已于2008年11月5日开放日常赎回业务。</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本基金C类基金份额于2026年4月15日起开放日常赎回业务。</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（三）申购和赎回的原则</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1、“未知价”原则，即申购、赎回价格以申请当日收市后计算的该类基金份额净值为基准进行计算；</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3、投资人申购基金份额时，必须全额交付申购款项，投资人交付款项后，申购申请方为有效；</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4、赎回遵循“先进先出”原则，即按照投资人认购、申购的先后次序进行顺序赎回；</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5、当日的申购与赎回申请可以在基金管理人规定的时间以内撤销。</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基金管理人可根据基金运作的实际情况依法对上述原则进行调整。基金管理人必须在新规则开始实施前依照《信息披露办法》的有关规定在指定媒介上公告。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代销网点每个账户申购最低金额为单笔1元，如果代销机构业务规则规定的最低单笔申购金额高于1元，以代销机构的规定为准。</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直销网点每个账户首次申购的最低金额为单笔100万元，追加申购的最低金额</w:t>
      </w:r>
      <w:r>
        <w:rPr>
          <w:rFonts w:ascii="宋体" w:hAnsi="宋体"/>
          <w:sz w:val="24"/>
        </w:rPr>
        <w:lastRenderedPageBreak/>
        <w:t>为单笔10万元；已在直销网点有认购或申购过本基金管理人管理的任一基金（包括本基金）记录的投资人不受首次申购最低金额的限制。通过本公司网上直销交易平台办理基金申购业务的不受直销网点单笔申购最低金额的限制，申购最低金额为单笔1元。本基金直销网点单笔申购最低金额可由基金管理人酌情调整。</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3、最低保留余额的限制</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本基金暂无最低保留余额限制。</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根据市场情况，在法律法规允许的情况下，调整申购的金额、赎回的份额以及最低保留余额的数量限制，基金管理人必须在调整前依照《信息披露办法》的有关规定在指定的媒体上刊登公告并报中国证监会备案。</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（五）申购和赎回的程序</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投资人必须根据基金销售机构规定的程序，在开放日的业务办理时间向基金销售机构提出申购或赎回的申请。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投资人在申购本基金时须按销售机构规定的方式备足申购资金，否则所提交的申购申请无效而不予成交。</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投资人在提交赎回申请时，必须持有足够的基金份额余额，否则所提交的赎回申请无效而不予成交。</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2、申购和赎回申请的确认</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结算机构应以交易时间结束前受理申购和赎回申请的当天作为申购或赎回申请日(T日)，正常情况下，本基金登记结算机构在T+2日内对该交易的有效性进行确认。T日提交的有效申请，投资人可在T+3日后（包括该日）到销售网点柜台或以销售机构规定的其他方式查询申请的确认情况。</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3、申购和赎回的款项支付</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申购采用全额缴款方式，若申购资金在规定时间内未全额到账，则申购不成功，若申购不成功或无效，基金管理人或基金管理人指定的代销机构将投资人已缴付的申购款项本金退还给投资人。</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赎回申请成功后，基金管理人将指示基金托管人在T＋10个工作日（包括该日）内从托管账户将赎回款项划出，经销售机构划往基金份额持有人银行账户；在发生巨额赎回时，款项的支付办法参照基金合同的有关条款处理。</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4、申购和赎回基金份额的份额注册登记</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投资人申购基金成功后，登记结算机构在T+2日为投资人登记权益并办理份额注册登记手续，投资人自T+3日（含该日）后有权赎回该部分基金份额。</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投资人赎回基金成功后，登记结算机构在T+2日为投资人办理扣除权益的份额注册登记手续。</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基金管理人可以在法律法规允许的范围内，对上述份额注册登记办理时间进行调整，但不得影响投资人实质的合法权益，并依照《信息披露办法》的有关规定于开始实施前在指定媒介上公告。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（六）基金的申购费和赎回费</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本基金基金份额分为A类基金份额和C类基金份额。投资人申购A类基金份额在申购时支付申购费用；申购C类基金份额不支付申购费用。</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本基金A类基金份额的申购费用由申购A类基金份额的申购人承担，不列入基金财产，主要用于本基金的市场推广、销售、登记结算等各项费用。</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本基金A类基金份额（非养老金客户）的申购费率如下：</w:t>
      </w:r>
    </w:p>
    <w:tbl>
      <w:tblPr>
        <w:tblW w:w="5000" w:type="pct"/>
        <w:tblCellMar>
          <w:left w:w="0" w:type="dxa"/>
          <w:right w:w="0" w:type="dxa"/>
        </w:tblCellMar>
        <w:tblLook w:val="0000" w:firstRow="0" w:lastRow="0" w:firstColumn="0" w:lastColumn="0" w:noHBand="0" w:noVBand="0"/>
      </w:tblPr>
      <w:tblGrid>
        <w:gridCol w:w="2167"/>
        <w:gridCol w:w="6503"/>
      </w:tblGrid>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类基金份额申购费率</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1.2%</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持有A类基金份额的投资人因红利自动再投资而产生的A类基金份额，不收取相</w:t>
      </w:r>
      <w:r>
        <w:rPr>
          <w:rFonts w:ascii="宋体" w:hAnsi="宋体"/>
          <w:sz w:val="24"/>
        </w:rPr>
        <w:lastRenderedPageBreak/>
        <w:t>应的申购费用。</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本基金自2013年4月11日起，对通过本公司直销柜台申购本基金A类基金份额的养老金客户实施特定申购费率。</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全国社会保障基金、可以投资基金的地方社会保障基金、企业年金单一计划以及集合计划。如将来出现经养老基金监管部门认可的新的养老基金类型，本公司将发布临时公告将其纳入养老金客户范围，并按规定向中国证监会备案。</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通过本公司直销柜台申购本基金A类基金份额的养老金客户特定申购费率如下表：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1238"/>
        <w:gridCol w:w="3716"/>
        <w:gridCol w:w="3716"/>
      </w:tblGrid>
      <w:tr w:rsidR="002737B3">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类基金份额特定申购费率</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类基金份额特定申购费率</w:t>
            </w:r>
          </w:p>
        </w:tc>
      </w:tr>
      <w:tr w:rsidR="002737B3">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737B3" w:rsidRDefault="002737B3">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0.60%</w:t>
            </w:r>
          </w:p>
        </w:tc>
      </w:tr>
      <w:tr w:rsidR="002737B3">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737B3" w:rsidRDefault="002737B3">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0.48%</w:t>
            </w:r>
          </w:p>
        </w:tc>
      </w:tr>
      <w:tr w:rsidR="002737B3">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737B3" w:rsidRDefault="002737B3">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0.32%</w:t>
            </w:r>
          </w:p>
        </w:tc>
      </w:tr>
      <w:tr w:rsidR="002737B3">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737B3" w:rsidRDefault="002737B3">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0.20%</w:t>
            </w:r>
          </w:p>
        </w:tc>
      </w:tr>
      <w:tr w:rsidR="002737B3">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737B3" w:rsidRDefault="002737B3">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有关养老金客户实施特定申购费率的具体规定以及活动时间如有变化，敬请投资人留意本公司发布的相关公告。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（1）本基金A类基金份额的赎回费率</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用由赎回A类基金份额的基金份额持有人承担，赎回费用的25%归基金财产，其余用于支付登记结算费和其他必要的手续费。其中，对持续持有期少于7日的基金份额持有人收取不低于1.5%的赎回费并全额计入基金财产。</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2737B3">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类基金份额赎回费率</w:t>
            </w:r>
          </w:p>
        </w:tc>
      </w:tr>
      <w:tr w:rsidR="002737B3">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737B3" w:rsidRDefault="002737B3">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2737B3">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737B3" w:rsidRDefault="002737B3">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—1</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2737B3">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737B3" w:rsidRDefault="002737B3">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r>
              <w:rPr>
                <w:rFonts w:ascii="Times New Roman" w:hAnsi="Times New Roman"/>
                <w:color w:val="000000"/>
                <w:kern w:val="0"/>
                <w:sz w:val="25"/>
                <w:szCs w:val="24"/>
              </w:rPr>
              <w:t>年</w:t>
            </w:r>
            <w:r>
              <w:rPr>
                <w:rFonts w:ascii="Times New Roman" w:hAnsi="Times New Roman"/>
                <w:color w:val="000000"/>
                <w:kern w:val="0"/>
                <w:sz w:val="25"/>
                <w:szCs w:val="24"/>
              </w:rPr>
              <w:t>—2</w:t>
            </w:r>
            <w:r>
              <w:rPr>
                <w:rFonts w:ascii="Times New Roman" w:hAnsi="Times New Roman"/>
                <w:color w:val="000000"/>
                <w:kern w:val="0"/>
                <w:sz w:val="25"/>
                <w:szCs w:val="24"/>
              </w:rPr>
              <w:t>年（含）</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0.2%</w:t>
            </w:r>
          </w:p>
        </w:tc>
      </w:tr>
      <w:tr w:rsidR="002737B3">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737B3" w:rsidRDefault="002737B3">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超过</w:t>
            </w:r>
            <w:r>
              <w:rPr>
                <w:rFonts w:ascii="Times New Roman" w:hAnsi="Times New Roman"/>
                <w:color w:val="000000"/>
                <w:kern w:val="0"/>
                <w:sz w:val="25"/>
                <w:szCs w:val="24"/>
              </w:rPr>
              <w:t>2</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（2）本基金C类基金份额的赎回费率如下：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2737B3">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类基金份额赎回费率</w:t>
            </w:r>
          </w:p>
        </w:tc>
      </w:tr>
      <w:tr w:rsidR="002737B3">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737B3" w:rsidRDefault="002737B3">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2737B3">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737B3" w:rsidRDefault="002737B3">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r>
      <w:tr w:rsidR="002737B3">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737B3" w:rsidRDefault="002737B3">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日（含）</w:t>
            </w:r>
            <w:r>
              <w:rPr>
                <w:rFonts w:ascii="Times New Roman" w:hAnsi="Times New Roman"/>
                <w:color w:val="000000"/>
                <w:kern w:val="0"/>
                <w:sz w:val="25"/>
                <w:szCs w:val="24"/>
              </w:rPr>
              <w:t>—180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2737B3">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2737B3" w:rsidRDefault="002737B3">
            <w:pPr>
              <w:widowControl/>
              <w:snapToGrid w:val="0"/>
              <w:jc w:val="left"/>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180</w:t>
            </w:r>
            <w:r>
              <w:rPr>
                <w:rFonts w:ascii="Times New Roman" w:hAnsi="Times New Roman"/>
                <w:color w:val="000000"/>
                <w:kern w:val="0"/>
                <w:sz w:val="25"/>
                <w:szCs w:val="24"/>
              </w:rPr>
              <w:t>日以上（含）</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本基金C类基金份额的赎回费用由赎回C类基金份额的基金份额持有人承担，在基金份额持有人赎回C类基金份额时收取，对C类基金份额持有人收取的赎回费用全额计入基金财产。</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根据法律法规及基金合同的规定调整申购费率和赎回费率，最新的申购费率和赎回费率在更新的招募说明书中列示。费率如发生变更，基金管理人最迟应于新的费率开始实施日前依照《信息披露办法》的有关规定在指定媒介上公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4、本基金申购、赎回的币种为人民币，基金管理人可以在不违反法律法规规定的情况下，接受其它币种的申购、赎回，并提前公告。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（七）申购和赎回的数额和价格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份额余额的处理方式：申购A类基金份额或C类基金份额的有效份额为按实际确认的申购金额在扣除相应的费用后，以申请当日该类基金份额的基金份额净值为基准计算，四舍五入保留到小数点后两位，由此误差产生的收益或损失由基金财产承担。</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的处理方式：赎回金额为按实际确认的A类基金份额或C类基金份额有效赎回份额乘以申请当日该类基金份额的基金份额净值并扣除或加上相应的费用（如有），四舍五入保留到小数点后两位，由此误差产生的收益或损失由基金财产承担。</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申购费用=申购总金额-净申购金额</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 T日A类基金份额净值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例一：某投资人投资40,000元申购本基金A类基金份额，申购费率为1.5%，假设申购当日A类基金份额净值为1.0400元，则其可得到的申购份额为：</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申购总金额＝40,000元</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净申购金额=40,000/（1+1.5%）=39,408.87元</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申购费用=40,000-39,408.87=591.13元</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申购份额=（40,000-591.13）/1.0400=37,893.14份</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即：投资人投资40,000元申购本基金A类基金份额，假设申购当日A类基金份额净值为1.0400元,则其可得到37,893.14份基金份额。</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（2）C类基金份额的申购</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如果投资人选择申购C类基金份额，则申购份额的计算方法如下：</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例二：某投资人投资100,000元申购本基金的C类基金份额，假设申购当日C类基金份额净值为1.0400元，则其可得到的申购份额为：</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即：投资人投资100,000元申购本基金的C类基金份额，假设申购当日C类基金份额净值为1.0400元，则其可得到96,153.85份C类基金份额。</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赎回金额为按实际确认的A类基金份额或C类基金份额有效赎回份额乘以申请当日该类基金份额净值并扣除或加上相应的费用（如有），赎回金额单位为元，计算结果保留到小数点后两位，第三位四舍五入。</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赎回费用=赎回份额×T日该类基金份额净值×赎回费率</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赎回金额=赎回份额×T日该类基金份额净值-赎回费用+该笔赎回确认应返还投资者的销售服务费（如有）</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投资人通过直销机构申购的C类基金份额所计提的销售服务费，或者通过其他销售机构申购的C类基金份额持续持有超过一年后所计提的销售服务费，将在投资者赎回相应基金份额时随赎回款一并返还给投资人。</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例三：某投资人赎回10,000份A类基金份额，持有期限为30日，对应的赎回费率为0.5%，假设赎回当日A类基金份额净值是1.016元，则其可得到的赎回金额为：</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 = 10,000×1.0160×0.5% ＝ 50.80元</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 = 10,000×1.0160-50.80 ＝ 10,109.20元</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即：投资人赎回本基金10,000份A类基金份额，持有期限为30日，假设赎回当日A类基金份额净值是1.0160元，则其可得到的赎回金额为10,109.20元。</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人赎回持有的10,000.00份C类基金份额（通过直销机构申购获得），持有期限为30日，对应的赎回费率为0.5%，假设赎回当日C类基金份额净值是1.0160元，且假设该笔赎回确认应返还的销售服务费为5.00元（即通过直销机构申购的C类基金份额所计提的销售服务费，在投资人赎回相应基金份额时随赎回款一并返还），则其可得到的赎回金额为：</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赎回费用=10,000.00×1.0160×0.5%＝50.80元</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赎回金额=10,000.00×1.0160-50.80+5.00＝10,114.20元</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投资人赎回本基金10,000.00份C类基金份额（通过直销机构申购获得），持有期限为30日，对应的赎回费率为0.5%，假设赎回当日C类基金份额净值是1.0160元，且假设该笔赎回确认应返还的销售服务费为5.00元，则其可得到的赎回金额为10,114.20元。</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人赎回持有的10,000.00份C类基金份额（通过其他销售机构申购获得），持有期限为450日，对应的赎回费率为0，假设赎回当日C类基金份额净值是1.0160元，且假设该笔赎回确认应返还的销售服务费为10.00元（即通过其他销售机构申购的C类基金份额持续持有超过一年后所计提的销售服务费，在投资人赎回相应基金份额时随赎回款一并返还），则其可得到的赎回金额为：</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赎回费用=10,000.00×1.0160×0＝0.00元</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赎回金额=10,000.00×1.0160-0.00+10.00＝10,170.00元</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投资人赎回本基金10,000.00份C类基金份额（通过其他销售机构申购获得），持有期限为450日，对应的赎回费率为0，假设赎回当日C类基金份额净值是1.0160元，且假设该笔赎回确认应返还的销售服务费为10.00元，则其可得到的赎回金额为10,170.00元。</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w:t>
      </w:r>
      <w:r>
        <w:rPr>
          <w:rFonts w:ascii="宋体" w:hAnsi="宋体"/>
          <w:sz w:val="24"/>
        </w:rPr>
        <w:lastRenderedPageBreak/>
        <w:t>总数</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（八）拒绝或暂停申购的情形及处理方式</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2、证券交易场所在交易时间非正常停市，导致基金管理人无法计算当日的基金资产净值；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3、发生基金合同规定的暂停基金资产估值情况；</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4、基金管理人认为接受某笔或某些申购申请可能会影响或损害现有基金份额持有人利益时；</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5、因基金收益分配、或基金投资组合内某个或某些证券进行权益分派等原因，使基金管理人认为短期内继续接受申购可能会影响或损害现有基金份额持有人利益的；</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6、个别投资人的申购、赎回过于频繁，导致基金的交易费用和变现成本增加，或使得基金管理人无法顺利实施投资策略，继续接受其申购可能对其他基金份额持有人的利益产生损害；</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7、基金财产规模过大，使基金管理人无法找到合适的投资品种，或其他可能对基金业绩产生负面影响，从而损害现有基金份额持有人的利益；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8、基金投资所处的主要市场休市时或本基金的资产组合中的重要部分发生暂停交易或其他重大事件，继续接受申购可能会影响或损害其他基金份额持有人利益时；</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9、当基金管理人继续接受申购申请会使基金资产规模超出国家外汇局的审批额度时；</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10、基金管理人接受某笔或者某些申购申请有可能导致单一投资者持有基金份额的比例超过50%，或者变相规避50%集中度的情形。出现上述情形时，基金管理人有权将上述申购申请全部或部分确认失败；</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11、当前一估值日基金资产净值50%以上的资产出现无可参考的活跃市场价格且采用估值技术仍导致公允价值存在重大不确定性时，经与基金托管人协商确认后，基金管理人应当暂停接受基金申购申请；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12、法律法规规定或中国证监会认定的其他可暂停申购的情形。</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10项以外的暂停申购情形时，除拒绝或暂停接受特定申购申请外，基金管理人应当根据《信息披露办法》的有关规定在指定媒介上刊登暂停申购公告。如果投资人的申购申请被拒绝，被拒绝的申购款项将全额退还投资人。在暂停申购的情况消除时，基金管理人应及时恢复申购业务的办理。</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（九）暂停赎回或者延缓支付赎回款项的情形及处理方式</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2、证券交易场所交易时间非正常停市，导致基金管理人无法计算当日基金资产净值；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3、连续两个或两个以上开放日发生巨额赎回；</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4、发生基金合同规定的暂停基金资产估值情况；</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5、基金投资所处的主要市场休市时或本基金的资产组合中的重要部分发生暂停交易或其他重大事件，继续接受赎回可能会影响或损害其他基金份额持有人利益时；</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7、法律法规规定或中国证监会认定的其他情形。</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时，基金管理人应在当日报中国证监会备案，已接受的赎回申请，基金管理人应足额支付；如暂时不能足额支付，应将可支付部分按单个账户申请量占申请总量的比例分配给赎回申请人，未支付部分可延期支付，并以后续开放日的基金份额净值为依据计算赎回金额，若连续两个或两个以上开放日发生巨额赎回，延期支付最长不得超过20个工作日，并在指定媒介上公告。投资人在申请赎回时可事先选择将当日可能未获受理部分予以撤销。在暂停赎回的情况消除时，基金管理人应及时恢复赎回业务的办理并予以公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（十）巨额赎回的情形及处理方式</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本基金单个开放日内的基金净赎回申请份额（赎回申请份额总数加上基金转换</w:t>
      </w:r>
      <w:r>
        <w:rPr>
          <w:rFonts w:ascii="宋体" w:hAnsi="宋体"/>
          <w:sz w:val="24"/>
        </w:rPr>
        <w:lastRenderedPageBreak/>
        <w:t>中转出申请份额总数扣除申购申请份额总数及基金转换中转入申请份额总数后的余额）超过上一日基金总份额的10%时，即认为发生了巨额赎回。</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当基金出现巨额赎回时，基金管理人可以根据本基金当时的资产组合状况决定全额赎回或部分延期赎回。</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基金份额持有人当日超过20%的赎回申请，可以对其赎回申请延期办理；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（3）当出现巨额赎回时，基金转换中转出份额的申请的处理方式遵照相关的业务规则及届时开展转换业务的公告。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（4）暂停赎回：连续2日以上(含本数)发生巨额赎回，如基金管理人认为有必要，可暂停接受基金的赎回申请；已经接受的赎回申请可以延缓支付赎回款项，但不得超过20个工作日，并应当在指定媒介上进行公告。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3、巨额赎回的公告：当发生巨额赎回并延期赎回时，基金管理人应通过邮</w:t>
      </w:r>
      <w:r>
        <w:rPr>
          <w:rFonts w:ascii="宋体" w:hAnsi="宋体"/>
          <w:sz w:val="24"/>
        </w:rPr>
        <w:lastRenderedPageBreak/>
        <w:t>寄、传真、刊登公告或者通知代销机构代为告知等方式，在3个交易日内通知基金份额持有人，说明有关处理方法，并在2日内在指定媒介上刊登公告。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（十一）重新开放申购或赎回的公告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基金重新开放申购或赎回时，基金管理人应依照《信息披露办法》的有关规定在指定媒介上刊登基金重新开放申购或赎回公告，并在重新开放申购或赎回日公告最近一个开放日各类基金份额的基金份额净值。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（十二）基金转换</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以根据相关法律法规以及本基金合同的规定决定开办本基金的转换业务，基金转换可以收取一定的转换费。基金转换的数额限制、转换费率、转换业务规则等具体规定请参见基金管理人届时公告。基金转换业务开始前，基金管理人应依照《信息披露办法》的有关规定在指定媒介上公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（十三）转托管</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本基金目前实行份额托管的交易制度。基金份额持有人可办理已持有基金份额在不同销售机构之间的转托管。</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进行份额转托管时，基金份额持有人可以将其某个交易账户下的基金份额全部或部分转托管。办理转托管业务的基金份额持有人需在转出方办理基金份额转出手续，在转入方办理基金账户注册手续。</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（十四）定期定额投资计划</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本基金2010年3月16日刊登公告自2010年3月16日起开通A类基金份额的定期定额投资计划业务，本基金2026年4月14日刊登公告自2026年4月15日起增设C类基金份额并开通C类基金份额的定期定额投资计划业务，具体开通销售机构名单和业务规则参见相关公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（十五）基金的非交易过户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结算机构受理继承、捐赠和司法强制执行而产生的非交易过户以及登记结算机构认可、符合法律法规的其它非交易过户。无论在上述何种情况下，接受划转的主体必须是合格的投资人。</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继承是指基金份额持有人死亡，其持有的基金份额由其合法的继承人继承；捐赠是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结算机构要求提供的相关资料，对于符合条件的非交易过户申请按基金登记结算机构的规定办理，并按基金登记结算机构规定的标准收费。</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（十六）基金的冻结和解冻</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基金登记结算机构只受理国家有权机关依法要求的基金份额的冻结与解冻，以及登记结算机构、符合法律法规的其他情况下的基金份额的冻结与解冻。</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（十七）实施侧袋机制期间本基金的申购与赎回</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B439CC" w:rsidRDefault="004226F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737B3" w:rsidRDefault="004226F9">
      <w:pPr>
        <w:pStyle w:val="1"/>
        <w:snapToGrid w:val="0"/>
        <w:spacing w:beforeLines="0" w:before="240" w:after="240"/>
        <w:rPr>
          <w:rFonts w:ascii="宋体" w:hAnsi="宋体"/>
          <w:szCs w:val="30"/>
        </w:rPr>
      </w:pPr>
      <w:bookmarkStart w:id="14" w:name="_Toc244528792"/>
      <w:r>
        <w:rPr>
          <w:rFonts w:ascii="Times New Roman" w:hAnsi="Times New Roman"/>
          <w:sz w:val="30"/>
        </w:rPr>
        <w:lastRenderedPageBreak/>
        <w:t>十一、基金的费用与税收</w:t>
      </w:r>
      <w:bookmarkEnd w:id="14"/>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(一)基金费用的种类</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1、基金管理人的管理费，含境外投资顾问收取的费用；</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2、基金托管人的托管费，含境外资产托管人收取的费用；</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3、基金财产拨划支付的银行费用；</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4、基金合同生效后的基金信息披露费用；</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6、基金合同生效后与基金有关的会计师费和律师费；</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7、基金的证券交易费用（包括但不限于经手费、印花税、征管费、过户费、手续费、券商佣金及其他性质类似的费用等）；</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8、外汇兑换交易的相关费用；</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9、在中国证监会规定允许的前提下，本基金可以从基金财产中计提销售服务费，具体计提方法、计提标准在招募说明书或相关公告中载明；</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10、与基金缴纳税款有关的手续费、汇款费及顾问费；</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11、本基金从C类基金份额的基金财产中计提的销售服务费；</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12、依法和依基金合同可以在基金财产中列支的其他费用。</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上述基金费用由基金管理人在法律规定的范围内参照公允的市场价格确定，法律法规另有规定时从其规定。</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(二)基金费用计提方法、计提标准和支付方式</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在通常情况下，基金管理费按前一日基金资产净值的1.2%年费率计提。计算方法如下：</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H＝E×年管理费率÷当年天数</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E为前一日基金资产净值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按月支付。由基金管理人向基金托管人发送基金管理费划付指令，经基金托管人复核后于次月首日起3个工作日内从基金财产中一次性支付给基金管理人，若遇法定节假日、休息日，支付日期顺延。</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（2）基金托管人的托管费</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在通常情况下，基金托管费按前一日基金资产净值的0.2%年费率计提。计算方法如下：</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H＝E×年托管费率÷当年天数</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E为前一日基金资产净值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按月支付。由基金管理人向基金托管人发送基金托管费划付指令，经基金托管人复核后于次月首日起3个工作日内从基金财产中一次性支付给基金托管人，若遇法定节假日、休息日，支付日期顺延。</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本基金A类基金份额不收取销售服务费，C类基金份额的销售服务费按前一日C类基金资产净值的0.4%年费率计提。计算方法如下：</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H＝E×0.4%÷当年天数</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C类基金份额的销售服务费具体收取/返还方式：</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1）通过直销机构申购的C类基金份额</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对于C类基金份额计提的销售服务费，在投资人赎回基金份额或基金合同终止时随赎回款或清算款一并返还给投资人。</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2）通过其他销售机构申购的C类基金份额</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投资人持续持有期限未超过一年的C类基金份额，销售服务费每日计提，逐日累计至每月月末，按月支付。由基金管理人向基金托管人发送基金销售服务费划款指令，于次月首日起5个工作日内从基金财产中一次性支付给销售机构。若遇法定节假日、休息日或不可抗力致使无法按时支付的，顺延至最近可支付日支付。</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对于投资人持续持有期限超过一年的C类基金份额，持续持有超过一年后计提的销售服务费将在投资人赎回相应基金份额或基金合同终止时随赎回款或清算款一并返还给投资人。</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C类基金份额的销售服务费将专门用于本基金的推广、销售与基金份额持有人服务。</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（4）除管理费、托管费和销售服务费之外的基金费用，由基金托管人根据其</w:t>
      </w:r>
      <w:r>
        <w:rPr>
          <w:rFonts w:ascii="宋体" w:hAnsi="宋体"/>
          <w:sz w:val="24"/>
        </w:rPr>
        <w:lastRenderedPageBreak/>
        <w:t>他有关法规及相应协议的规定，按费用支出金额支付，列入或摊入当期基金费用。</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本基金申购费的费率水平、计算公式和收取方式详见“基金的申购与赎回”一章。</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本基金赎回费的费率水平、计算公式和收取方式详见“基金的申购与赎回”一章。</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(三)不列入基金费用的项目</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因未履行或未完全履行义务导致的费用支出或基金财产的损失，以及处理与基金运作无关的事项发生的费用等不列入基金费用。基金合同生效前所发生的信息披露费、律师费和会计师费以及其他费用不从基金财产中支付。</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(四)基金管理费、托管费和销售服务费的调整</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可根据基金发展情况调整基金管理费率、基金托管费率、销售服务费率等相关费率或改变收费模式。调低基金管理费率、基金托管费率、销售服务费率等相关费率或在不提高整体费率水平的情况下改变收费模式，此项调整不需要基金份额持有人大会通过。</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将来法律法规或监管机构许可本基金或本类型的基金采取持续性销售服务费模式，则本基金可依法引入持续性销售服务费收费模式；若引入该类收费模式，并没有增加现有基金份额持有人的费用负担，则无须召开基金份额持有人大会，法律法规或监管机构另有规定的除外。</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基金管理人必须最迟于新的费率或收费模式实施日前依照《信息披露办法》的有关规定在指定媒介上公告。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(五)实施侧袋机制期间的基金费用</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（六）基金税收</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基金根据国家法律法规和基金投资所在地的法律法规规定，履行纳税义务。</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基金份额持有人根据中国法律法规规定，履行纳税义务。</w:t>
      </w:r>
    </w:p>
    <w:p w:rsidR="00B439CC" w:rsidRDefault="004226F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737B3" w:rsidRDefault="004226F9">
      <w:pPr>
        <w:pStyle w:val="1"/>
        <w:snapToGrid w:val="0"/>
        <w:spacing w:beforeLines="0" w:before="240" w:after="240"/>
        <w:rPr>
          <w:rFonts w:ascii="宋体" w:hAnsi="宋体"/>
          <w:szCs w:val="30"/>
        </w:rPr>
      </w:pPr>
      <w:bookmarkStart w:id="15" w:name="_Toc244528793"/>
      <w:r>
        <w:rPr>
          <w:rFonts w:ascii="Times New Roman" w:hAnsi="Times New Roman"/>
          <w:sz w:val="30"/>
        </w:rPr>
        <w:lastRenderedPageBreak/>
        <w:t>十二、基金的财产</w:t>
      </w:r>
      <w:bookmarkEnd w:id="15"/>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（一）基金资产总值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基金资产总值是指基金拥有的各类有价证券、银行存款本息、基金应收申购款以及其他资产的价值总和。</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（二）基金资产净值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基金资产净值是指基金资产总值减去负债（含各项有关税收）后的价值。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（三）基金财产的账户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投资所在地规定及境外资产托管人的相关要求，基金托管人、境外资产托管人可以以基金名义或托管人名义开立证券账户和现金账户，并保证上述账户与托管人及境外资产托管人的财产独立，并与托管人及境外资产托管人的其他托管账户相独立。</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（四）基金财产的保管与处分</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独立于基金管理人、基金托管人固有财产，并由基金托管人和/或境外资产托管人保管。基金管理人、基金托管人因基金财产的管理、运用或者其他情形而取得的财产和收益归入基金财产。基金管理人、基金托管人可以按基金合同的约定收取管理费、托管费以及其他基金合同约定的费用。基金财产的债权、不得与基金管理人、基金托管人固有财产的债务相抵销，不同基金财产的债权债务，不得相互抵销。基金管理人、基金托管人以其自有资产承担法律责任，其债权人不得对基金财产行使请求冻结、扣押和其他权利。</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除依据《基金法》、《运作办法》、《试行办法》和基金合同及其他有关规定处分外，基金财产不得被处分。非因基金财产本身承担的债务，不得对基金财产强制执行。</w:t>
      </w:r>
    </w:p>
    <w:p w:rsidR="00B439CC" w:rsidRDefault="004226F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737B3" w:rsidRDefault="004226F9">
      <w:pPr>
        <w:pStyle w:val="1"/>
        <w:snapToGrid w:val="0"/>
        <w:spacing w:beforeLines="0" w:before="240" w:after="240"/>
        <w:rPr>
          <w:rFonts w:ascii="宋体" w:hAnsi="宋体"/>
          <w:szCs w:val="30"/>
        </w:rPr>
      </w:pPr>
      <w:bookmarkStart w:id="16" w:name="_Toc244528794"/>
      <w:r>
        <w:rPr>
          <w:rFonts w:ascii="Times New Roman" w:hAnsi="Times New Roman"/>
          <w:sz w:val="30"/>
        </w:rPr>
        <w:lastRenderedPageBreak/>
        <w:t>十三、基金资产的估值</w:t>
      </w:r>
      <w:bookmarkEnd w:id="16"/>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（一）估值目的</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基金资产估值的目的是客观、准确地反映基金财产是否保值、增值，依据经基金资产估值后确定的基金资产净值而计算出的基金份额净值，是计算基金申购与赎回价格的基础。</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（二）估值时间</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本基金合同生效后，每个开放日对基金资产进行估值。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（三）估值方法</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1、股票估值方法</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（1）上市流通股票按估值日其所在证券交易所的收盘价估值；估值日无交易的，以最近交易日的收盘价估值。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（2）未上市股票的估值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①送股、转增股、配股和增发等方式发行的股票，按估值日在交易所挂牌的同一股票的收盘价估值，该日无交易的，以最近交易日的收盘价估值；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②首次发行且未上市的股票，按成本价估值；首次发行且有明确锁定期的股票，同一股票在交易所上市后，按交易所上市的同一股票的市价估值。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2、债券估值方法</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易所市场上市交易或挂牌转让的固定收益品种（另有规定的除外），选取第三方估值机构提供的相应品种当日的估值净价进行估值。证券交易所市场未实行净价交易的债券按估值日收盘价减去债券收盘价中所含的债券应收利息得到的净价进行估值，估值日没有交易的，按最近交易日债券收盘价减去所含的最近交易日债券应收利息后得到的净价估值。未上市债券采用估值技术确定公允价值，在估值技术难以可靠计量公允价值的情况下，按成本进行后续计量。</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（2）在国内全国银行间债券市场交易的债券、资产支持证券等固定收益品种，采用估值技术确定公允价值。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3、衍生品估值方法</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（1）上市流通衍生品按估值日其所在证券交易所的收盘价估值；估值日无交易的，以最近交易日的收盘价估值。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（2）未上市衍生品按成本价估值，如成本价不能反映公允价值，则采用估值</w:t>
      </w:r>
      <w:r>
        <w:rPr>
          <w:rFonts w:ascii="宋体" w:hAnsi="宋体"/>
          <w:sz w:val="24"/>
        </w:rPr>
        <w:lastRenderedPageBreak/>
        <w:t>技术确定公允价值。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（3）衍生品的估值，可以参照国际会计准则进行。</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4、存托凭证估值方法</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公开挂牌的存托凭证按其所在证券交易所的最近交易日的收盘价估值。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5、基金估值方法</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（1）上市流通的基金按估值日其所在证券交易所的收盘价估值；估值日无交易的，以最近交易日的收盘价估值。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（2）其他基金按最近交易日的基金份额净值估值。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6、非流动性资产或暂停交易的证券估值方法</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未上市流通、或流通受限、或暂停交易的证券，应参照上述估值原则进行估值。如果上述估值方法不能客观反映公允价值的，基金管理人可根据具体情况，并与基金托管人商定后，按最能反映公允价值的价格估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对于流动性受限的证券估值可以参照国际会计准则进行。</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7、汇率</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外币资产价值计算中，所涉及人民币对美元的汇率应当以基金估值日中国人民银行或其授权机构公布的人民币汇率为准。涉及到其它币种与人民币之间的汇率，采用估值日伦敦时间下午四点（或能够取到的离下午四点最近时点）由彭博信息(Bloomberg)提供的其它币种对美元的汇率套算。基金管理人和托管人经协商可对所采用的汇率来源进行调整。</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若无法取得上述汇率价格信息时，以基金托管人或境外托管人所提供的合理公开外汇市场交易价格为准。</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8、税收</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按照中国法律法规和基金投资所在地的法律法规规定应交纳的各项税金，本基金将按权责发生制原则进行估值；对于因税收规定调整或其他原因导致基金实际交纳税金与估算的应交税金有差异的，基金将在相关税金调整日或实际支付日进行相应的估值调整。</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在任何情况下，基金管理人如采用本款第1－8项规定的方法对基金资产进行估值，均应被认为采用了适当的估值方法。但是，如果基金管理人认为按本款第1－8项规定的方法对基金资产进行估值不能客观反映其公允价值的，基金管理人可根据具体情况，并与基金托管人商定后，按最能反映公允价值的价格估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10、法律法规或监管部门有最新规定的，按其规定进行估值。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基金管理人或基金托管人按上述估值方法进行估值时，所造成的误差不作为基金资产估值错误处理。</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（四）估值对象</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本基金所拥有的股票、权证、债券和银行存款本息、应收款项、其它投资等资产。</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（五）估值程序</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日常估值由基金管理人进行。基金管理人完成估值后，将估值结果加盖业务公章以书面形式加密传真至基金托管人，基金托管人按法律法规、基金合同规定的估值方法、时间、程序进行复核，复核无误后在基金管理人传真的书面估值结果上加盖业务公章返回给基金管理人；月末、年中和年末估值复核与基金会计账目的核对同时进行。</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在法律法规和中国证监会允许的情况下，基金管理人与基金托管人可以各自委托第三方机构进行基金资产估值，但不改变基金管理人与基金托管人对基金资产估值各自承担的责任。</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（六）估值错误的处理</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1、差错类型</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运作过程中，如果由于基金管理人或基金托管人、或登记结算机构、或代销机构、或投资人自身的原因造成差错，导致其他当事人遭受损失的，过错的责任人应当对由于该差错遭受损失的当事人（“受损方”）按下述“差错处理原则”给予赔偿并承担相关责任。</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差错的主要类型包括但不限于：资料申报差错、数据传输差错、数据计算差错、系统故障差错、下达指令差错等；对于因技术原因引起的差错，若系同行业现有技术水平无法预见、无法避免、无法抗拒，则属不可抗力，按照下述规定执行。</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由于不可抗力原因造成投资人的交易资料灭失或被错误处理或造成其他差错，因不可抗力原因出现差错的当事人不对其他当事人承担赔偿责任，但因该差错取得不当得利的当事人仍应负有返还不当得利的义务。</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2、差错处理原则</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因基金估值错误给基金投资人造成的损失应由基金托管人和基金管理人协商共</w:t>
      </w:r>
      <w:r>
        <w:rPr>
          <w:rFonts w:ascii="宋体" w:hAnsi="宋体"/>
          <w:sz w:val="24"/>
        </w:rPr>
        <w:lastRenderedPageBreak/>
        <w:t>同承担，基金托管人和基金管理人对不应由其承担的责任，有权根据过错原则，向过错人追偿，基金合同的当事人应将按照以下约定处理。</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差错已发生，但尚未给当事人造成损失时，差错责任方应及时协调各方，及时进行更正，因更正差错发生的费用由差错责任方承担；由于差错责任方未及时更正已产生的差错，给当事人造成的损失由差错责任方承担；若差错责任方已经积极协调，并且有协助义务的当事人有足够的时间进行更正而未更正，则有协助义务的当事人应当承担相应赔偿责任。差错责任方应对更正的情况向有关当事人进行确认，确保差错已得到更正。</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（2）差错的责任方对可能导致有关当事人的直接损失负责，不对间接损失负责，并且仅对差错的有关直接当事人负责，不对第三方负责。</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差错而获得不当得利的当事人负有及时返还不当得利的义务。但差错责任方仍应对差错负责，如果由于获得不当得利的当事人不返还或不全部返还不当得利造成其他当事人的利益损失，则差错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差错责任方。</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（4）基金份额净值计算差错小于该类基金份额净值0.5%时，基金管理人与基金托管人应在发现日对账务进行更正调整，不做追溯处理。</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差错责任方拒绝进行赔偿时，如果因基金管理人原因造成基金资产损失时，基金托管人应为基金的利益向基金管理人追偿，如果因基金托管人原因造成基金资产损失时，基金管理人应为基金的利益向基金托管人追偿。除基金管理人和托管人之外的第三方造成基金资产的损失，并拒绝进行赔偿时，由基金托管人负责向差错方追偿。</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如果出现差错的当事人未按规定对受损方进行赔偿，并且依据法律法规、基金合同或其他规定，基金管理人自行或依据法院判决、仲裁裁决对受损方承担了赔偿责任，则基金管理人有权向出现差错的当事人进行追索，并有权要求其赔偿或补偿由此发生的费用和遭受的损失。</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（7）按法律法规规定的其他原则处理差错。</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3、差错处理程序</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差错被发现后，有关的当事人应当及时进行处理，处理的程序如下：</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（1）查明差错发生的原因，列明所有的当事人，并根据差错发生的原因确定差错的责任方；</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（2）根据差错处理原则或当事人协商的方法对因差错造成的损失进行评估；</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差错处理原则或当事人协商的方法由差错的责任方进行更正和赔偿损失；其中基金份额净值计算差错小于该类基金份额净值0.5%时，基金管理人与基金托管人应在发现日对账务进行更正调整，不做追溯处理；基金份额净值计算差错达到或超过该类基金份额净值0.5%时，基金管理人应当公告、通报基金托管人并报中国证监会备案；</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（4）根据差错处理的方法，需要修改基金登记结算机构的交易数据的，由基金登记结算机构进行更正，并就差错的更正向有关当事人进行确认。</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4、基金净值的确认</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用于基金信息披露的各类基金份额的基金资产净值和基金份额净值由基金管理人负责计算，基金托管人负责进行复核。基金管理人应于每个工作日计算基金净值并发送给基金托管人。基金托管人对净值计算结果复核确认后发送给基金管理人，由基金管理人对基金净值予以公布。</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5、特殊情况的处理</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（1）对于因税收规定调整或其他原因导致基金实际交纳税金与基金按照权责发生制进行估值的应交税金有差异的，相关估值调整不作为基金资产估值错误处理。</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各家数据服务机构发送的数据错误，本基金管理人和本基金托管人虽然已经采取必要、适当、合理的措施进行检查，但未能发现错误的，由此造成的基金资产估值错误，本基金管理人和本基金托管人可以免除赔偿责任。但基金托管人应当积极采取必要的措施消除由此造成的影响。</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（七）暂停估值与公告基金份额净值的情形</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1、基金投资涉及的主要证券交易市场遇法定节假日或因其他原因停市时；</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2、因不可抗力或其它情形致使基金管理人、基金托管人无法准确评估基金资产价值时；</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3、占基金相当比例的投资品种的估值出现重大转变，而基金管理人为保障投资人的利益，已决定延迟估值；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4、如出现基金管理人认为属于紧急事故的任何情况，会导致基金管理人不能出售或无法评估基金资产的；</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5、当特定资产占前一估值日基金资产净值50%以上的，经与基金托管人协商确认后，基金管理人应当暂停估值；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6、中国证监会和基金合同认定的其它情形。</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（八）实施侧袋机制期间的基金资产估值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4226F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737B3" w:rsidRDefault="004226F9">
      <w:pPr>
        <w:pStyle w:val="1"/>
        <w:snapToGrid w:val="0"/>
        <w:spacing w:beforeLines="0" w:before="240" w:after="240"/>
        <w:rPr>
          <w:rFonts w:ascii="宋体" w:hAnsi="宋体"/>
          <w:szCs w:val="30"/>
        </w:rPr>
      </w:pPr>
      <w:bookmarkStart w:id="17" w:name="_Toc244528795"/>
      <w:r>
        <w:rPr>
          <w:rFonts w:ascii="Times New Roman" w:hAnsi="Times New Roman"/>
          <w:sz w:val="30"/>
        </w:rPr>
        <w:lastRenderedPageBreak/>
        <w:t>十四、基金的收益与分配</w:t>
      </w:r>
      <w:bookmarkEnd w:id="17"/>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(一)基金收益的构成</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1、买卖证券差价；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2、基金投资所得红利、股息、债券利息；</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3、银行存款利息；</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4、外汇兑换损益；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5、其他合法收入。</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因运用基金财产带来的成本或费用的节约应计入收益。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(二)基金净收益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基金净收益为基金收益扣除按国家有关规定应在基金收益中扣除的费用后的余额。</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(三)收益分配原则</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本基金收益分配应遵循下列原则：</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1、由于本基金A类基金份额不收取销售服务费，C类基金份额收取销售服务费，各基金份额类别对应的可供分配利润将有所不同；本基金同一基金份额类别的每份基金份额享有同等分配权；</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收益分配时所发生的银行转账或其他手续费用由投资人自行承担。当投资人的现金红利小于一定金额，不足以支付银行转账或其他手续费用时，基金登记结算机构可将投资人的现金红利按红利划款日的基金份额净值自动转为相应类别的基金份额。</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3、本基金收益每年最多分配10次，任一类基金份额年度基金收益分配比例不低于该类基金份额年度可分配收益的10%；</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4、在符合有关基金分红条件的前提下，本基金收益每年至少分配一次，但若基金合同生效不满3个月则可不进行收益分配；</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收益分配方式分为两种：现金分红与红利再投资，投资人可选择现金红利或将现金红利按红利再投日的基金份额净值自动转为相应类别的基金份额进行再投资；若投资人不选择，本基金默认的收益分配方式是现金分红；基金份额持有人可对其持有的A类基金份额和C类基金份额分别选择不同的收益分配方式；</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6、基金任一类基金份额投资当期出现净亏损，则该类基金份额不进行收益分</w:t>
      </w:r>
      <w:r>
        <w:rPr>
          <w:rFonts w:ascii="宋体" w:hAnsi="宋体"/>
          <w:sz w:val="24"/>
        </w:rPr>
        <w:lastRenderedPageBreak/>
        <w:t>配；</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7、基金任一类基金份额当期收益应先弥补上期亏损后，方可进行该类基金份额当期收益分配；</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8、法律法规或监管机构另有规定的从其规定。</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(四)收益分配方案</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基金收益分配方案中应载明基金收益分配对象、分配原则、分配时间、分配数额及比例、分配方式、支付方式等内容。</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(五)收益分配的确定、公告与实施</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1.基金收益分配方案由基金管理人拟订，由基金托管人复核，依照《信息披露办法》的有关规定在指定媒介上公告；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2.在收益分配方案公布后，基金管理人依据具体方案的规定就支付的现金红利向基金托管人发送划款指令，基金托管人按照基金管理人的指令及时进行分红资金的划付。</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（六）收益分配方式的修改</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不同的交易账户可设置不同的收益分配方式。投资者同一日多次申报分红方式变更的，按照《业务规则》执行，最终确认的分红方式以登记结算机构记录为准。</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（七）实施侧袋机制期间的收益分配</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本基金实施侧袋机制的，侧袋账户不进行收益分配，详见招募说明书的规定。</w:t>
      </w:r>
    </w:p>
    <w:p w:rsidR="00B439CC" w:rsidRDefault="004226F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737B3" w:rsidRDefault="004226F9">
      <w:pPr>
        <w:pStyle w:val="1"/>
        <w:snapToGrid w:val="0"/>
        <w:spacing w:beforeLines="0" w:before="240" w:after="240"/>
        <w:rPr>
          <w:rFonts w:ascii="宋体" w:hAnsi="宋体"/>
          <w:szCs w:val="30"/>
        </w:rPr>
      </w:pPr>
      <w:bookmarkStart w:id="18" w:name="_Toc244528796"/>
      <w:r>
        <w:rPr>
          <w:rFonts w:ascii="Times New Roman" w:hAnsi="Times New Roman"/>
          <w:sz w:val="30"/>
        </w:rPr>
        <w:lastRenderedPageBreak/>
        <w:t>十五、基金的会计与审计</w:t>
      </w:r>
      <w:bookmarkEnd w:id="18"/>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（一）基金会计政策</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3、本基金的会计核算以人民币为记账本位币，以人民币元为记账单位；</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4、会计制度执行国家有关会计制度，并可参考国际会计准则；</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6、基金管理人保留完整的会计账目、凭证并进行日常的会计核算，按照有关规定编制基金会计报表；</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7、基金托管人定期与基金管理人就基金的会计核算、报表编制等进行核对并书面确认。</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（二）基金的审计</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1、基金管理人聘请具有证券、期货相关从业资格的会计师事务所及其注册会计师对本基金的年度财务报表及其他规定事项进行审计。会计师事务所及其注册会计师与基金管理人、基金托管人相互独立。</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2、会计师事务所更换经办注册会计师时，应事先征得基金管理人同意。</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3、基金管理人（或基金托管人）认为有充足理由更换会计师事务所，经基金托管人（或基金管理人）同意后可以更换。更换会计师事务所，基金管理人应当依照《信息披露办法》的有关规定在指定媒介上公告。</w:t>
      </w:r>
    </w:p>
    <w:p w:rsidR="00B439CC" w:rsidRDefault="004226F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737B3" w:rsidRDefault="004226F9">
      <w:pPr>
        <w:pStyle w:val="1"/>
        <w:snapToGrid w:val="0"/>
        <w:spacing w:beforeLines="0" w:before="240" w:after="240"/>
        <w:rPr>
          <w:rFonts w:ascii="宋体" w:hAnsi="宋体"/>
          <w:szCs w:val="30"/>
        </w:rPr>
      </w:pPr>
      <w:bookmarkStart w:id="19" w:name="_Toc244528797"/>
      <w:r>
        <w:rPr>
          <w:rFonts w:ascii="Times New Roman" w:hAnsi="Times New Roman"/>
          <w:sz w:val="30"/>
        </w:rPr>
        <w:lastRenderedPageBreak/>
        <w:t>十六、基金的信息披露</w:t>
      </w:r>
      <w:bookmarkEnd w:id="19"/>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的信息披露应符合《基金法》、《运作办法》、《信息披露办法》、《流动性规定》、基金合同及其他有关规定。基金管理人、基金托管人和其他基金信息披露义务人应当以保护基金份额持有人利益为根本出发点，按照法律法规和中国证监会的规定披露基金信息，并保证所披露信息的真实性、准确性、完整性、及时性、简明性和易得性。</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（二）信息披露义务人</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（三）本基金信息披露义务人承诺公开披露的基金信息，不得有下列行为：</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（四）本基金公开披露的信息应采用中文文本。同时采用外文文本的，基金信息披露义务人应保证不同文本的内容一致。不同文本之间发生歧义的，以中文文本为准。</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以人民币、美元等主要外汇币种计算并披露净值及相关信息。涉及币种之间转换的，应当披露汇率数据来源，并保持一致性。如果出现改变，应当予以披露并说明改变的理由。人民币对主要外汇的汇率应当以报告期末最后一个估值日中国人民银行或其授权机构公布的人民币汇率中间价为准。</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（五）公开披露的基金信息</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1、招募说明书</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招募说明书是基金向社会公开销售时对基金情况进行说明的法律文件。</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2、基金合同、托管协议</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基金管理人应在基金份额发售的3日前，将基金合同摘要登载在指定报刊和网站上；基金管理人、基金托管人应将基金合同、托管协议登载在各自网站上。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3、基金产品资料概要</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4、基金份额发售公告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基金管理人将按照《基金法》、《信息披露办法》的有关规定，就基金份额发售的具体事宜编制基金份额发售公告，并在披露招募说明书的当日登载于指定报刊和网站上。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5、基金合同生效公告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基金管理人将在基金合同生效的次日在指定报刊和网站上登载基金合同生效公告。基金合同生效公告中将说明基金募集情况。</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6、基金净值信息</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1）《基金合同》生效后，在开始办理基金份额申购或者赎回前，基金管理人应当至少每周在指定网站披露一次基金份额净值和基金份额累计净值；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开始办理基金份额申购或者赎回后，基金管理人应当在不晚于每个开放日后的2个工作日内，通过指定网站、基金销售机构网站或者营业网点分别披露开放日A类基金份额和C类基金份额所对应的基金份额净值和基金份额累计净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3）基金管理人应当在不晚于半年度和年度最后一日后的2个工作日内，在指定网站披露半年度和年度最后一日A类基金份额和C类基金份额所对应的基金份额净值</w:t>
      </w:r>
      <w:r>
        <w:rPr>
          <w:rFonts w:ascii="宋体" w:hAnsi="宋体"/>
          <w:sz w:val="24"/>
        </w:rPr>
        <w:lastRenderedPageBreak/>
        <w:t>和基金份额累计净值。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7、基金份额申购、赎回价格公告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8、基金年度报告、基金中期报告、基金季度报告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2）基金管理人应当在上半年结束之日起两个月内，编制完成基金中期报告，将中期报告登载在指定网站上，并将中期报告提示性公告登载在指定报刊上；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3）基金管理人应当在季度结束之日起15个工作日内，编制完成基金季度报告，将季度报告登载在指定网站上，并将季度报告提示性公告登载在指定报刊上；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4）《基金合同》生效不足2个月的，基金管理人可以不编制当期季度报告、中期报告或者年度报告。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6）基金管理人应当在基金年度报告和中期报告中披露基金组合资产情况及其流动性风险分析等。</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7）法律法规或中国证监会另有规定的，从其规定。</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9、临时报告与公告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在基金运作过程中发生如下可能对基金份额持有人权益或者基金份额的价格产生重大影响的事件时，有关信息披露义务人应当在2日内编制临时报告书，登载在指定报刊和指定网站上：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4）更换基金管理人、基金托管人、基金份额登记机构，基金改聘会计师事务所；</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12）更换或撤销境外投资顾问；更换境外资产托管人；</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13）基金管理人、基金托管人、境外资产托管人或境外投资顾问受到监管部门的调查；</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14）基金管理人或其高级管理人员、基金经理因基金管理业务相关行为受到重大行政处罚、刑事处罚，基金托管人或其专门基金托管部门负责人因基金托管业务相关行为受到重大行政处罚、刑事处罚；</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16）基金收益分配事项；</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17）管理费、托管费、销售服务费、申购费、赎回费等费用计提标准、计提方式和费率发生变更；</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18）任一类基金份额净值计价错误达该类基金份额净值百分之零点五；</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19）本基金开始办理申购、赎回；</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20）本基金发生巨额赎回并延期办理；</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21）本基金连续发生巨额赎回并暂停接受赎回申请或延缓支付赎回款项；</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22）本基金暂停接受申购、赎回申请或重新接受申购、赎回申请；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23）基金份额的拆分；</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24）本基金接受其它币种的申购、赎回；</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25）基金推出新业务或服务；</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26）发生涉及基金申购、赎回事项调整或潜在影响投资者赎回等重大事项时；</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27）本基金增加或调整基金份额类别；</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28）基金信息披露义务人认为可能对基金份额持有人权益或者基金份额的价格产生重大影响的其他事项或中国证监会规定的其他事项。</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10、澄清公告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11、基金份额持有人大会决议</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12、实施侧袋机制期间的信息披露</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本基金实施侧袋机制的，相关信息披露义务人应当根据法律法规、基金合同和招募说明书的规定进行信息披露，详见招募说明书的规定。</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13、信息披露事务管理</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基金信息披露义务人公开披露基金信息，应当符合中国证监会相关基金信息披露内容与格式准则等法规规定。</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各类基金份额净值、基金份额申购赎回价格、基金定期报告、更新的招募说明书、基金产品资料概要、基金清算报告等公开披露的相关基金信息进行复核、审查，并向基金管理人进行书面或电子确认。</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w:t>
      </w:r>
      <w:r>
        <w:rPr>
          <w:rFonts w:ascii="宋体" w:hAnsi="宋体"/>
          <w:sz w:val="24"/>
        </w:rPr>
        <w:lastRenderedPageBreak/>
        <w:t>同媒介上披露同一信息的内容应当一致。</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14、中国证监会规定的其他信息</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（六）信息披露文件的存放与查阅</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依法必须披露的信息发布后，基金管理人、基金托管人应当按照相关法律法规规定将信息置备于各自住所，供社会公众查阅、复制。</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本基金的信息披露将严格按照法律法规和基金合同的规定进行。</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（七）本基金信息披露事项以法律法规规定及本章节约定的内容为准。</w:t>
      </w:r>
    </w:p>
    <w:p w:rsidR="00B439CC" w:rsidRDefault="004226F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737B3" w:rsidRDefault="004226F9">
      <w:pPr>
        <w:pStyle w:val="1"/>
        <w:snapToGrid w:val="0"/>
        <w:spacing w:beforeLines="0" w:before="240" w:after="240"/>
        <w:rPr>
          <w:rFonts w:ascii="宋体" w:hAnsi="宋体"/>
          <w:szCs w:val="30"/>
        </w:rPr>
      </w:pPr>
      <w:bookmarkStart w:id="20" w:name="_Toc244528798"/>
      <w:r>
        <w:rPr>
          <w:rFonts w:ascii="Times New Roman" w:hAnsi="Times New Roman"/>
          <w:sz w:val="30"/>
        </w:rPr>
        <w:lastRenderedPageBreak/>
        <w:t>十七、侧袋机制</w:t>
      </w:r>
      <w:bookmarkEnd w:id="20"/>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（一）侧袋机制的实施条件</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（二）实施侧袋机制期间基金份额的申购与赎回</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（三）实施侧袋机制期间的基金投资</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（四）实施侧袋机制期间的基金估值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（五）实施侧袋账户期间的基金费用</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1、本基金实施侧袋机制的，管理费和托管费按主袋账户基金资产净值作为基数计提。</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（六）侧袋账户中特定资产的处置变现和支付</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（七）侧袋机制的信息披露</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4226F9"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2737B3" w:rsidRDefault="004226F9">
      <w:pPr>
        <w:pStyle w:val="1"/>
        <w:snapToGrid w:val="0"/>
        <w:spacing w:beforeLines="0" w:before="240" w:after="240"/>
        <w:rPr>
          <w:rFonts w:ascii="宋体" w:hAnsi="宋体"/>
          <w:szCs w:val="30"/>
        </w:rPr>
      </w:pPr>
      <w:bookmarkStart w:id="21" w:name="_Toc244528799"/>
      <w:r>
        <w:rPr>
          <w:rFonts w:ascii="Times New Roman" w:hAnsi="Times New Roman"/>
          <w:sz w:val="30"/>
        </w:rPr>
        <w:lastRenderedPageBreak/>
        <w:t>十八、基金合同的终止与基金财产的清算</w:t>
      </w:r>
      <w:bookmarkEnd w:id="21"/>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（一）基金合同的终止</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有下列情形之一的，基金合同经中国证监会核准后将终止：</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2、基金管理人因解散、破产、撤销等事由，不能继续担任基金管理人的职务，而在6个月内无其他适当的基金管理公司承接其原有权利义务；</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3、基金托管人因解散、破产、撤销等事由，不能继续担任基金托管人的职务，而在6个月内无其他适当的托管机构承接其原有权利义务；</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4、中国证监会规定的其他情况。</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基金合同终止时，基金管理人应予公告并组织清算小组对基金财产进行清算。</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（二）基金财产的清算</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1、基金财产清算小组：自出现基金合同终止事由之日起30个工作日内成立清算小组，基金财产清算小组在中国证监会的监督下进行基金清算。</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3、基金财产清算小组职责：基金财产清算小组负责基金财产的保管、清理、估价、变现和分配。基金财产清算小组可以依法以基金的名义进行必要的民事活动。</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基金合同终止，应当按法律法规和本基金合同的有关规定对基金财产进行清算。基金财产清算程序主要包括：</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（1）基金合同终止后，发布基金财产清算公告；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（2）基金合同终止时，由基金清算小组统一接管基金财产；</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（3）对基金财产进行清理和确认；</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（4）对基金财产进行估价和变现；</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（5）聘请会计师事务所对清算报告进行审计；</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（6）聘请律师事务所出具法律意见书；</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（7）将基金清算结果报告中国证监会；</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（8）参加与基金财产有关的民事诉讼；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（9）公布基金财产清算结果；</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（10）对基金剩余财产进行分配。</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（四）清算费用</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（五）基金财产的清偿、分配顺序</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基金财产按照下列顺序清偿和分配：</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1、支付清算费用；</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2、交纳所欠税款；</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3、清偿基金债务；</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4、按基金份额持有人持有的基金份额比例进行分配。</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基金财产未按前款1、2、3项规定清偿前，不分配给基金份额持有人。</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投资人通过直销机构申购的C类基金份额所计提的销售服务费，或者通过其他销售机构申购的C类基金份额持续持有超过一年后所计提的销售服务费，将在基金合同终止时随剩余资产分配款项一并返还给投资人。</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（六）基金财产清算的公告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公告于基金合同终止并报中国证监会备案后5个工作日内由基金财产清算组公告；清算过程中的有关重大事项须及时公告；基金财产清算报告经会计师事务所审计，律师事务所出具法律意见书后，由基金财产清算组报中国证监会备案并公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（七）基金财产清算账册及文件的保存</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4226F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737B3" w:rsidRDefault="004226F9">
      <w:pPr>
        <w:pStyle w:val="1"/>
        <w:snapToGrid w:val="0"/>
        <w:spacing w:beforeLines="0" w:before="240" w:after="240"/>
        <w:rPr>
          <w:rFonts w:ascii="宋体" w:hAnsi="宋体"/>
          <w:szCs w:val="30"/>
        </w:rPr>
      </w:pPr>
      <w:bookmarkStart w:id="22" w:name="_Toc244528800"/>
      <w:r>
        <w:rPr>
          <w:rFonts w:ascii="Times New Roman" w:hAnsi="Times New Roman"/>
          <w:sz w:val="30"/>
        </w:rPr>
        <w:lastRenderedPageBreak/>
        <w:t>十九、基金托管人</w:t>
      </w:r>
      <w:bookmarkEnd w:id="22"/>
    </w:p>
    <w:p w:rsidR="002737B3" w:rsidRDefault="004226F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（一）基金托管人情况</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名称：中国建设银行股份有限公司(简称：中国建设银行)</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住所：北京市西城区金融大街25号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办公地址：北京市西城区闹市口大街1号院1号楼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法定代表人：张金良</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成立时间：2004年09月17日</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注册资本：贰仟陆佰壹拾陆亿零叁拾捌万壹仟肆佰伍拾玖元整</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基金托管资格批文及文号：中国证监会证监基字[1998]12号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联系人：王小飞</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联系电话：(021)6063 7103</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2、主要人员情况</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建设银行总行设资产托管业务部，下设综合处、基金业务处、证券保险业务处、理财信托业务处、全球业务处、养老金业务处、新兴业务处、客户服务与业务协同处、运营管理处、跨境与外包管理处、托管应用系统支持处、内控合规处等12个职能处室，在北京、上海、合肥设有托管运营中心，共有员工300余人。自2007年起，托管部连续聘请外部会计师事务所对托管业务进行内部控制审计，并已经成为常规化的内控工作手段。</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3、基金托管业务经营情况</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国内首批开办证券投资基金托管业务的商业银行，中国建设银行一直秉持“以客户为中心”的经营理念，不断加强风险管理和内部控制，严格履行托管人的各项职责，切实维护资产持有人的合法权益，为资产委托人提供高质量的托管服务。经过多年稳步发展，中国建设银行托管资产规模不断扩大，托管业务品种不断增加，已形成包括证券投资基金、社保基金、保险资金、基本养老个人账户、(R)QFII、(R)QDII、企业年金、存托业务等产品在内的托管业务体系，是目前国内托管业务品种最齐全的商业银行之一。截至2025年末，中国建设银行已托管1,536</w:t>
      </w:r>
      <w:r>
        <w:rPr>
          <w:rFonts w:ascii="宋体" w:hAnsi="宋体"/>
          <w:sz w:val="24"/>
        </w:rPr>
        <w:lastRenderedPageBreak/>
        <w:t>只证券投资基金。中国建设银行专业高效的托管服务能力和业务水平，赢得了业内的高度认同。中国建设银行多次被《全球托管人》、 《财资》、《环球金融》杂志及《中国基金报》评选为“最佳托管银行”、连续多年荣获中央国债登记结算有限责任公司（中债）“优秀资产托管机构”、银行间市场清算所股份有限公司（上清所）“优秀托管银行”奖项、并先后荣获《亚洲银行家》颁发的2017年度“最佳托管系统实施奖”、2019年度“中国年度托管业务科技实施奖”、2021年度“中国最佳数字化资产托管银行”、以及 2020年度、2022年度“中国年度托管银行（大型银行）”奖项。2023年度，荣获《中国基金报》“公募基金25年最佳基金托管银行”奖项。2024年度，荣获《中国基金报》“优秀ETF托管人”、《中国证券报》“ETF金牛生态圈卓越托管机构（银行）”、《环球金融》“中国最佳次托管人”奖项。2025年度，荣获《中国基金报》“指数生态圈英华奖”、《环球金融》“中国最佳次托管人”等奖项。</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（二）基金托管人的内部控制制度</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基金托管人，中国建设银行严格遵守国家有关托管业务的法律法规、行业监管规章和本行内有关管理规定，守法经营、规范运作、严格检查，确保业务的稳健运行，保证基金财产的安全完整，确保有关信息的真实、准确、完整、及时，保护基金份额持有人的合法权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2、内部控制组织结构</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建设银行设有风险内控管理委员会，负责全行风险管理与内部控制工作，对托管业务风险管理和内部控制的有效性进行指导。资产托管业务部配备了专职内控合规人员负责托管业务的内控合规工作，具有独立行使内控合规工作职权和能力。</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3、内部控制制度及措施</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业务部具备系统、完善的制度控制体系，建立了管理制度、控制制度、岗位职责、业务操作流程，可以保证托管业务的规范操作和顺利进行；业务人员具备从业资格；业务管理严格实行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w:t>
      </w:r>
      <w:r>
        <w:rPr>
          <w:rFonts w:ascii="宋体" w:hAnsi="宋体"/>
          <w:sz w:val="24"/>
        </w:rPr>
        <w:lastRenderedPageBreak/>
        <w:t>立。</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（三）基金托管人对基金管理人运作基金进行监督的方法和程序</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1、监督方法</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照《基金法》及其配套法规和基金合同的约定，监督所托管基金的投资运作。利用自行开发的“新一代托管应用监督子系统”，严格按照现行法律法规以及基金合同规定，对基金管理人运作基金的投资比例、投资范围、投资组合等情况进行监督。在日常为基金投资运作所提供的基金清算和核算服务环节中，对基金管理人发送的投资指令、基金管理人对各基金费用的提取与开支情况进行检查监督。</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2、监督流程</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工作日按时通过新一代托管应用监督子系统，对各基金投资运作比例控制等情况进行监控，如发现投资异常情况，向基金管理人进行风险提示，与基金管理人进行情况核实，督促其纠正，如有重大异常事项及时报告中国证监会。</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(2)收到基金管理人的划款指令后，对指令要素等内容进行核查。</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(3)通过技术或非技术手段发现基金涉嫌违规交易，电话或书面要求基金管理人进行解释或举证，如有必要将及时报告中国证监会。</w:t>
      </w:r>
    </w:p>
    <w:p w:rsidR="00B439CC" w:rsidRDefault="004226F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737B3" w:rsidRDefault="004226F9">
      <w:pPr>
        <w:pStyle w:val="1"/>
        <w:snapToGrid w:val="0"/>
        <w:spacing w:beforeLines="0" w:before="240" w:after="240"/>
        <w:rPr>
          <w:rFonts w:ascii="宋体" w:hAnsi="宋体"/>
          <w:szCs w:val="30"/>
        </w:rPr>
      </w:pPr>
      <w:bookmarkStart w:id="23" w:name="_Toc244528801"/>
      <w:r>
        <w:rPr>
          <w:rFonts w:ascii="Times New Roman" w:hAnsi="Times New Roman"/>
          <w:sz w:val="30"/>
        </w:rPr>
        <w:lastRenderedPageBreak/>
        <w:t>二十、境外资产托管人</w:t>
      </w:r>
      <w:bookmarkEnd w:id="23"/>
    </w:p>
    <w:p w:rsidR="002737B3" w:rsidRDefault="004226F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（一）境外资产托管人基本情况</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名称：摩根大通银行（JPMorgan Chase Bank, National Association）</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注册地址：1111 Polaris Parkway, Columbus, Ohio 43240, U.S.A.</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办公地址：383 Madison Avenue, New York, NY 10179-0001</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法定代表人：James Dimon</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成立时间：1799年</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总资产（截止2025年12月31日）：4.4万亿美元</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实收资本（截止2025年12月31日）：1,214亿美元</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托管资产规模（截止2025年12月31日）：41.2万亿美元</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信用等级：穆迪评级Aa2（高级信用债券）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作为全球领先的金融服务公司，摩根大通拥有4.4万亿美元资产，在超过60 个国家经营。在投资银行业务、消费者金融服务、小企业和商业银行业务、金融交易处理、资产管理和私募股权投资基金等方面，摩根大通均为业界领导者。</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摩根大通自1946 年开始为其美国客户提供托管服务。之后为响应客户投资海外的要求，摩根大通在1974 年率先开展了一种综合性的服务-全球托管。此后，摩根大通继续扩展服务，以满足不断变化的客户需要。通过提供优质服务和创新的产品，摩根大通始终保持其领先地位。</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今，作为全球托管行业的领先者，摩根大通托管资产达41.2万亿美元，为全世界最大的机构投资者提供创新的托管、基金会计和服务以及证券服务。摩根大通是一家真正的全球机构，在超过60个国家有实体运作。与很多竞争对手不同之处在于，我们还可为客户提供市场领先的投资银行服务，包括外汇交易、全球期货与期权清算、股权及股权挂钩产品以及固定收益投资的交易与研究。同时，在资产负债表内和表外的现金和流动性方面，摩根大通也有很强的解决方案能力。</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此外，摩根大通还是亚太地区全球托管的先行者之一，其历史可以追溯到1974 年，在亚太地区17个国家/地区均有客户：日本、澳大利亚、文莱、中国大陆、中国香港、印度、马来西亚、新西兰、新加坡、韩国、中国台湾、菲律宾、泰国、印度尼西亚、蒙古、东帝汶和越南。</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 境外资产托管人的职责</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1、安全保管基金的境外资产，及时办理清算、交割事宜；</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2、准时将公司行为信息通知基金管理人和/或基金托管人，确保基金及时收取所有应得收入；</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3、其他由基金托管人委托其履行的职责。</w:t>
      </w:r>
    </w:p>
    <w:p w:rsidR="00B439CC" w:rsidRDefault="004226F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737B3" w:rsidRDefault="004226F9">
      <w:pPr>
        <w:pStyle w:val="1"/>
        <w:snapToGrid w:val="0"/>
        <w:spacing w:beforeLines="0" w:before="240" w:after="240"/>
        <w:rPr>
          <w:rFonts w:ascii="宋体" w:hAnsi="宋体"/>
          <w:szCs w:val="30"/>
        </w:rPr>
      </w:pPr>
      <w:bookmarkStart w:id="24" w:name="_Toc244528802"/>
      <w:r>
        <w:rPr>
          <w:rFonts w:ascii="Times New Roman" w:hAnsi="Times New Roman"/>
          <w:sz w:val="30"/>
        </w:rPr>
        <w:lastRenderedPageBreak/>
        <w:t>二十一、相关服务机构</w:t>
      </w:r>
      <w:bookmarkEnd w:id="24"/>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个人投资者可以通过本公司网上直销交易平台办理开户、本基金的申购、赎回及定期定额投资等业务，具体交易细则请参阅本公司网站。</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2、代销机构</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（1）名称：江苏江南农村商业银行股份有限公司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住所：江苏省常州市和平中路413号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办公地址：江苏省常州市和平中路413号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法定代表人：陆向阳</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电话：0519-80585939</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传真：0519-89995170</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联系人：蒋姣</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客户服务电话：96005</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网址：http://www.jnbank.com.cn</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（2）名称：杭州银行股份有限公司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住所：杭州市庆春路46号杭州银行大厦</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办公地址：杭州市庆春路46号杭州银行大厦</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法定代表人：陈震山</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电话：（0571）85108195、85120696</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传真：（0571）86475527</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联系人：严峻、夏帆</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客户服务电话:96523</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网址：www.hzbank.com.cn</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（3）名称：华夏银行股份有限公司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住所：北京市东城区建国门内大街22号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办公地址：北京市东城区建国门内大街22号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法定代表人：李民吉</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客户服务电话：95577</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网址：www.hxb.com.cn</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（4）名称：江苏银行股份有限公司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住所：南京市中华路26号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办公地址：南京市中华路26号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法定代表人：夏平</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电话：（025）58587018</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传真：（025）58587038</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联系人：田春慧</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客户服务电话：95319</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网址：www.jsbchina.cn</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（5）名称：平安银行股份有限公司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注册地址：深圳市罗湖区深南东路5047号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办公地址：深圳市深南东路5047号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法定代表人：谢永林</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电话：0755-22166574</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传真：0755-82080406</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联系人：赵杨</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网址：bank.pingan.com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（6）名称：北京银行股份有限公司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住所：北京市西城区金融大街甲17号首层</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办公地址：北京市西城区金融大街甲17号首层</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法定代表人：张东宁</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传真：（010）66226045</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联系人：孔超</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客户服务电话：95526</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网址：www.bankofbeijing.com.cn</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（7）名称：宁波银行股份有限公司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（8）名称：中国光大银行股份有限公司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住所：北京市西城区太平桥大街25号、甲25号中国光大中心</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办公地址：北京市西城区太平桥大街25号、甲25号中国光大中心</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法定代表人：李晓鹏</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电话：（010）63639681</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传真：（010）63639709</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联系人：刘昭宇</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客户服务电话：95595</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网址：www.cebbank.com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（9）名称：中国民生银行股份有限公司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住所：北京市西城区复兴门内大街2号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法定代表人：洪崎</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电话：（010）58560666</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传真：（010）57092611</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联系人：许野</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95568</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网址：www.cmbc.com.cn</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（10）名称：广发银行股份有限公司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住所：广州市越秀区东风东路713号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法定代表人：杨明生</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联系人：李晓鹏</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客户服务电话：800-830-8003，400-830-8003</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网址：www.gdb.com.cn</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（11）名称：中国银行股份有限公司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住所：北京市北京市复兴门内大街1号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办公地址：北京市西城区复兴门内大街1号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法定代表人：陈四清</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传真：（010）66594853</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客户服务电话：95566</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网址：www.boc.cn</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（12）名称：中国农业银行股份有限公司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法定代表人：周慕冰</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联系人：贺倩</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客户服务电话：95599</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网址：www.abchina.com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（13）名称：东莞农村商业银行股份有限公司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住所：东莞市东城区鸿福东路2号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办公地址：东莞市东城区鸿福东路2号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法定代表人：王耀球</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电话：（0769）22866254</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传真：（0769）22866282</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联系人：林培珊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客户服务电话：（0769）961122</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网址：www.drcbank.com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（14）名称：江苏常熟农村商业银行股份有限公司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住所：江苏省常熟市新世纪大道58号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办公地址：江苏省常熟市新世纪大道58号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法定代表人：宋建明</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联系电话：（0512）52909128</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传真：（0512）52909122</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联系人：黄晓</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客户服务电话：962000</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网址：www.csrcbank.com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（15）名称：上海银行股份有限公司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住所：上海市银城中路168号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办公地址：上海市银城中路168号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法定代表人：金煜</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电话：（021）68475888</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传真：（021）68476111</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联系人：张萍</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客户服务电话：（021）962888</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网址：www.bankofshanghai.com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（16）名称：中国建设银行股份有限公司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住所：北京市西城区金融大街25号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办公地址：北京市西城区闹市口大街1号院1号楼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法定代表人：张金良</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电话：（010）66275654</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传真：（010）66275654</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客户服务电话：95533</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网址：www.ccb.com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（17）名称：交通银行股份有限公司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（18）名称：中国邮政储蓄银行股份有限公司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法定代表人：李国华</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传真：（010）68858117</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联系人：陈春林</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客户服务电话：95580</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网址：www.psbc.com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（19）名称：中信银行股份有限公司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（20）名称：招商银行股份有限公司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办公地址：深圳市福田区深南大道7088号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（21）名称：瑞银证券有限责任公司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住所：北京市西城区金融大街7号英蓝国际金融中心12层、15层</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办公地址：北京市西城区金融大街7号英蓝国际金融中心12层、15层</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法定代表人：程宜荪</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电话：（010）58328112</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传真：（010）58328740</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联系人：牟冲</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客户服务电话：400-887-8827</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网址：www.ubssecurities.com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（22）名称：光大证券股份有限公司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住所：上海市静安区新闸路1508号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办公地址：上海市静安区新闸路1508号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电话：（021）22169999</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传真：（021）22169134</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联系人：刘晨</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10108998</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网址：www.ebscn.com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（23）名称：华福证券股份有限公司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住所：福建省福州市鼓楼区鼓屏路27号1#楼3层、4层、5层</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办公地址：福建省福州市鼓楼区鼓屏路27号1#楼3层、4层、5层</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法定代表人：黄德良</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电话：（0591）87383623</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传真：（0591）87383610</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客户服务电话：（0591）95547</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网址：www.hfzq.com.cn</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（24）名称：东兴证券股份有限公司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住所：北京市西城区金融大街5号新盛大厦B座12-15层</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法定代表人：徐勇力</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电话：（010）66555316</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传真：（010）66555246</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联系人：汤漫川</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400-8888-993</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网址：www.dxzq.net</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（25）名称：东方证券股份有限公司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住所：上海市中山南路318号2号楼22层-29层</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法定代表人：王益民</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电话：（021）63325888</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传真：（021）63326173</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联系人：吴宇</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客户服务电话：95503</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网址：www.dfzq.com.cn</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（26）名称：方正证券股份有限公司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住所：湖南长沙芙蓉中路二段华侨国际大厦22-24层</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办公地址：湖南长沙芙蓉中路二段华侨国际大厦22-24层</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法定代表人：施华</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电话：（010）68546765</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传真：（010）68546792</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联系人：张达</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客户服务电话：95571</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网址：www.foundersc.com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（27）名称：中国民族证券有限责任公司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住所：北京市西城区金融街5号新盛大厦A座6-9层</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办公地址：北京市西城区金融街5号新盛大厦A座6-9层</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法定代表人：赵大建</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客户服务电话：400-889-5618</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网址：www.e5618.com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（28）名称：德邦证券股份有限公司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住所：上海市普陀区曹杨路510号南半幢9楼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办公地址：上海市福山路500号城建大厦26楼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法定代表人：姚文平</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电话：（021）68761616</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传真：（021）68767981</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客户服务电话：4008-888-128</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网址：www.tebon.com.cn</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（29）名称：国元证券股份有限公司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住所：中国安徽省合肥市梅山路18号安徽国际金融中心A座</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办公地址：中国安徽省合肥市梅山路18号安徽国际金融中心A座</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法定代表人：俞仕新</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联系电话：0551-62207400</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传真：0551-62207148</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联系人：汪先哲</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客户服务电话：95578</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网址：www.gyzq.com.cn</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（30）名称：财通证券股份有限公司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注册地址：杭州市杭大路15号嘉华国际商务中心201、501、502、1103、1601-1615、1701-1716</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办公地址：杭州市杭大路15号嘉华国际商务中心201、501、502、1103、1601-1615、1701-1716</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沈继宁</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电话：0571-87789160</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陶志华</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客户服务电话：95336,40086-96336</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网址：www.ctsec.com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（31）名称：民生证券股份有限公司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住所：北京市东城区建国门内大街28号民生金融中心A座16层--18层</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办公地址：北京市东城区建国门内大街28号民生金融中心A座16层--18层</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法定代表人：冯鹤年</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电话：（010）85127561</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传真：（010）85127641</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联系人：周照清</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客户服务电话：400-619-8888</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网址：www.mszq.com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（32）名称：中原证券股份有限公司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住所：郑州市郑东新区商务外环路10号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办公地址：郑州市郑东新区商务外环路10号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法定代表人：菅明军</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联系人：程月艳 李盼盼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电话：0371-69099881/2</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客户服务电话：95377</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网址：https://www.ccnew.com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（33）名称：金融街证券股份有限公司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注册地址：内蒙古自治区呼和浩特市新城区海拉尔东街满世尚都办公商业综合楼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办公地址：内蒙古自治区呼和浩特市新城区海拉尔东街满世尚都办公商业综合楼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法定代表人：祝艳辉</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联系人：熊丽、王捷勋</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联系电话：0471-4968480</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客户服务电话：956088</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网址：www.cnht.com.cn</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（34）名称：湘财证券股份有限公司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住所：湖南省长沙市黄兴中路63号中山国际大厦12楼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办公地址：湖南省长沙市天心区湘府中路198号标志商务中心11楼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法定代表人：林俊波</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电话：（021）68634518</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传真：（021）68865680</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联系人：钟康莺</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客户服务电话：400-888-1551</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网址：www.xcsc.com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（35）名称：广发证券股份有限公司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住所：广州市黄埔区中新广州知识城腾飞一街2号618室</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办公地址：广州市天河区马场路26号广发证券大厦</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法定代表人：林传辉</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电话：（020）66338888</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传真：（020）87553600</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联系人：任嘉鹏</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客户服务电话：95575</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网址：www.gf.com.cn</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（36）名称：华龙证券股份有限公司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住所：兰州市城关区东岗西路638号财富中心</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办公地址：兰州市城关区东岗西路638号财富中心</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法定代表人：李晓安</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电话：（0931）4890208</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传真：（0931）4890628</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联系人：李昕田</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客户服务电话：4006898888、（0931）4890208</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网址：www.hlzqgs.com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（37）名称：华宝证券股份有限公司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住所：中国上海市陆家嘴环路166号未来资产大厦27楼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办公地址：中国上海市浦东新区世纪大道100号上海环球金融中心57楼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陈林</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电话：（021）68777222</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传真：（021）68777822</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联系人：赵洁</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客户服务电话：400-820-9898</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网址：www.cnhbstock.com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（38）名称：长城国瑞证券有限公司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住所：厦门市思明区台北路1号海西金谷广场T2办公楼13-14层</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办公地址：厦门市思明区台北路1号海西金谷广场T2办公楼13-14层</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法定代表人：李鹏</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电话：0592-2079658</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传真：0592-5162590</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联系人：陈月月</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客户服务电话：400-0099-886</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网址：www.gwgsc.com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（39）名称：爱建证券有限责任公司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住所：上海市南京西路758号24楼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办公地址：上海市浦东新区世纪大道1600号32楼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法定代表人：张建华</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电话：（021）32229888</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传真：（021）68728703</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联系人：陈敏</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客户服务电话：（021）63340678</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网址：www.ajzq.com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（40）名称：第一创业证券股份有限公司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住所：深圳市罗湖区笋岗路12号中民时代广场 B 座25、26层</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办公地址：深圳市罗湖区笋岗路12号中民时代广场 B 座25、26层</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法定代表人：刘学民</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电话：（0755）25832852</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传真：（0755）25831718</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联系人：崔国良</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客户服务电话：4008881888</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网址：www.firstcapital.com.cn</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（41）名称：粤开证券股份有限公司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注册地址：广州市黄埔区科学大道60号开发区控股中心19、22、23层</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办公地址：广州市黄埔区科学大道60号开发区控股中心19、22、23层</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法定代表人：郭川舟</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客服电话：95564</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网址：www.ykzq.com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（42）名称：国新证券股份有限公司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住所：北京市西城区金融大街8号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办公地址：北京市西城区金融大街8号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法定代表人：宋德清</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电话：（010）58568235</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传真：（010）58568062</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联系人：黄恒</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客户服务电话：（010）58568118</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网址：www.crsec.com.cn</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（43）名称：西南证券股份有限公司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住所：重庆市江北区桥北苑8号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办公地址：重庆市江北区桥北苑8号西南证券大厦</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法定代表人：吴坚</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电话：（023）63786141</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传真：（023）63786212</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联系人：张煜</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客户服务电话：95355、400-809-6096</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网址：www.swsc.com.cn</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（44）名称：信达证券股份有限公司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住所：北京市西城区闹市口大街9号院1号楼信达金融中心</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办公地址：北京市西城区闹市口大街9号院1号楼信达金融中心</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法定代表人：张志刚</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电话：（010）63081000</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传真：（010）63081344</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联系人：尹旭航</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网址：www.cindasc.com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（45）名称：渤海证券股份有限公司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住所：天津经济技术开发区第二大街42号写字楼101室</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办公地址：天津市南开区宾水西道8号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法定代表人：安志勇</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电话：（022）28451991</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传真：（022）28451892</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联系人：蔡霆</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956066</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网址：www.ewww.com.cn</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（46）名称：长城证券有限责任公司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住所：深圳市福田区深南大道6008号特区报业大厦14、16、17层</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法定代表人：黄耀华</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电话：（0755）83516289</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传真：（0755）83516199</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联系人：匡婷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客户服务电话：（0755）33680000，400-6666-888</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网址：www.cc168.com.cn</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（47）名称：中国国际金融股份有限公司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住所：北京建国门外大街1号国贸大厦2座27层及28层</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办公地址：北京建国门外大街1号国贸大厦2座27层及28层</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法定代表人：毕明建</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电话：（010）65051166</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传真：（010）85679203</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联系人：杨涵宇</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网址：www.cicc.com.cn</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（48）名称：江海证券有限公司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住所：黑龙江省哈尔滨市香坊区赣水路56号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法定代表人：孙名扬</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电话：（0451）85863719</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传真：（0451）82287211</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联系人：刘爽</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客户服务电话：956007</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网址：www.jhzq.com.cn</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（49）名称：中泰证券股份有限公司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注册地址：济南市高新区经十路7000号汉峪金融商务中心五区3号楼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办公地址：济南市高新区经十路7000号汉峪金融商务中心五区3号楼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法定代表人：王洪</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电话：（0531）68889155</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传真：（0531）68889752</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联系人：许曼华</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客户服务电话：95538</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网址：www.zts.com.cn</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（50）名称：申万宏源西部证券有限公司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（51）名称：国都证券股份有限公司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住所：北京市东城区东直门南大街3号国华投资大厦9层10层</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办公地址：北京市东城区东直门南大街3号国华投资大厦9层10层</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法定代表人：王少华</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客户服务电话：400-818-8118</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网址：www.guodu.com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（52）名称：申万宏源证券有限公司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（53）名称：东方财富证券股份有限公司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（54）名称：中国银河证券股份有限公司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（55）名称：中信证券股份有限公司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电话：010-60838888</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（56）名称：中国中金财富证券有限公司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（57）名称：国投证券股份有限公司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法定代表人：王苏望</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（58）名称：中信建投证券股份有限公司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（59）名称：国信证券股份有限公司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办公地址：深圳市罗湖区红岭中路1012号国信证券大厦16-26楼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（60）名称：招商证券股份有限公司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（61）名称：国泰海通证券股份有限公司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（62）名称：中信证券华南股份有限公司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传真：020-88836984</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（63）名称：华西证券股份有限公司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（64）名称：国金证券股份有限公司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（65）名称：中信证券（山东）有限责任公司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网址：sd.citics.com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（66）名称：华泰证券股份有限公司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（67）名称：平安证券股份有限公司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（68）名称：长江证券股份有限公司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住所：武汉市新华路特8号长江证券大厦</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办公地址：武汉市新华路特8号长江证券大厦</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法定代表人：胡运钊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电话：（027）65799999</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传真：（027）85481900</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联系人：李良</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客户服务电话：95579或4008-888-999</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网址：www.95579.com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（69）名称：兴业证券股份有限公司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住所：福州市湖东路268号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办公地址：上海市浦东新区长柳路36号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（70）名称：上海中欧财富基金销售有限公司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（71）名称：大连网金基金销售有限公司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（72）名称：阳光人寿保险股份有限公司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联系人：王超</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（73）名称：玄元保险代理有限公司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（74）名称：上海大智慧基金销售有限公司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（75）名称：和耕传承基金销售有限公司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（76）名称：北京度小满基金销售有限公司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（77）名称：北京虹点基金销售有限公司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住所：北京市朝阳区工人体育场北路甲2号裙房2层222单元</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办公地址：北京市朝阳区工人体育场北路甲2号裙房2层222单元</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法定代表人：胡伟</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电话：（010）65951887</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传真：（010）65951887</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联系人：姜颖</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客户服务电话：400-618-0707</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网址：www.hongdianfund.com/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（78）名称：上海挖财基金销售有限公司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（79）名称：万家财富基金销售（天津）有限公司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办公地址：北京市西城区丰盛胡同28号太平洋保险大厦A座5层</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（80）名称：上海万得基金销售有限公司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（81）名称：深圳市金斧子基金销售有限公司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（82）名称：上海证达通基金销售有限公司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传真：（021）20538999</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（83）名称：奕丰基金销售有限公司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（84）名称：和讯信息科技有限公司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住所：北京市朝阳区朝外大街22号泛利大厦10层</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电话：（021）20835789</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联系人：周轶</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客户服务电话：4009200022</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网址：http://licaike.hexun.com/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（85）名称：诺亚正行基金销售有限公司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客户服务电话：4008215399</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（86）名称：深圳众禄基金销售股份有限公司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（87）名称：天相投资顾问有限公司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住所：北京市西城区金融街19号富凯大厦B座701</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办公地址：北京市西城区新街口外大街28号C座5层</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法定代表人：林义相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电话：（010）66045529</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传真：（010）66045518</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联系人：尹伶</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客户服务电话：（010）66045678</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网址：http://www.txsec.com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（88）名称：北京广源达信基金销售有限公司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注册地址：北京市西城区新街口外大街28号C座六层605室</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办公地址：北京市顺义区天祥路6号院北京东航中心T1A-304B室</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法定代表人：齐剑辉</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电话：400-616-7531</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联系人：赵明锦</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客户服务电话：400-616-7531</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网址：https://www.niuniufund.com/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（89）名称：深圳市新兰德证券投资咨询有限公司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住所：深圳市福田区华强北路赛格科技园4栋10层1006#</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（90）名称：北京展恒基金销售股份有限公司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（91）名称：泛华普益基金销售有限公司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（92）名称：中国人寿保险股份有限公司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住所：中国北京市西城区金融大街16号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办公地址：北京市西城区金融大街16号中国人寿广场A座</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法定代表人：王滨</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客户服务电话：95519</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www.e-chinalife.com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（93）名称：蚂蚁（杭州）基金销售有限公司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（94）名称：京东肯特瑞基金销售有限公司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（95）名称：腾安基金销售（深圳）有限公司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（96）名称：珠海盈米基金销售有限公司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（97）名称：上海天天基金销售有限公司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（98）名称：上海联泰基金销售有限公司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（99）名称：济安财富（北京）基金销售有限公司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法定代表人：杨健</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（100）名称：博时财富基金销售有限公司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（101）名称：上海华夏财富投资管理有限公司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住所：上海市虹口区东大名路687号1幢2楼268室</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（102）名称：嘉实财富管理有限公司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联系人：闫欢</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（103）名称：北京汇成基金销售有限公司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（104）名称：上海利得基金销售有限公司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（105）名称：北京雪球基金销售有限公司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（106）名称：北京新浪仓石基金销售有限公司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（107）名称：北京创金启富基金销售有限公司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（108）名称：上海好买基金销售有限公司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（109）名称：上海长量基金销售有限公司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法定代表人：张跃伟</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（110）名称：宜信普泽（北京）基金销售有限公司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（111）名称：浙江同花顺基金销售有限公司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（112）名称：上海基煜基金销售有限公司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传真：（021）55085991</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（113）名称：中信期货有限公司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（114）名称：上海陆金所基金销售有限公司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（115）名称：南京苏宁基金销售有限公司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联系人：冯鹏鹏</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（116）名称：易方达财富管理基金销售（广州）有限公司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住所：广州市南沙区横沥镇期航二街2号101房</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办公地址：广东省广州市天河区珠江东路30号广州银行大厦41楼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法定代表人：陈彤</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电话：020-85102688-7498</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联系人：吕晋</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客户服务电话：4001608888</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网址：www.efundcf.com.cn</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（117）名称：深圳前海微众银行股份有限公司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基金管理人可根据有关法律法规的要求，选择其它符合要求的机构销售本基金，并在管理人网站公示。</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（二）注册登记机构</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联系人：赵亦清</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名称：上海源泰律师事务所</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住所：上海浦东南路256号华夏银行大厦1405室</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办公地址：上海浦东南路256号华夏银行大厦1405室</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负责人：廖海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电话：（021）51150298</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传真：（021）51150398</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联系人：廖海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经办律师：梁丽金、刘佳</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名称：安永华明会计师事务所（特殊普通合伙）</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住所：北京市东城区东长安街1号东方广场安永大楼17层</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办公地址：北京市东城区东长安街1号东方广场安永大楼17层</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执行事务合伙人：毛鞍宁</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电话：（010）58153000</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传真：（010）85188298</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联系人：蒋燕华</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经办注册会计师：蒋燕华、费泽旭</w:t>
      </w:r>
    </w:p>
    <w:p w:rsidR="00B439CC" w:rsidRDefault="004226F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737B3" w:rsidRDefault="004226F9">
      <w:pPr>
        <w:pStyle w:val="1"/>
        <w:snapToGrid w:val="0"/>
        <w:spacing w:beforeLines="0" w:before="240" w:after="240"/>
        <w:rPr>
          <w:rFonts w:ascii="宋体" w:hAnsi="宋体"/>
          <w:szCs w:val="30"/>
        </w:rPr>
      </w:pPr>
      <w:bookmarkStart w:id="25" w:name="_Toc244528803"/>
      <w:r>
        <w:rPr>
          <w:rFonts w:ascii="Times New Roman" w:hAnsi="Times New Roman"/>
          <w:sz w:val="30"/>
        </w:rPr>
        <w:lastRenderedPageBreak/>
        <w:t>二十二、基金合同内容摘要</w:t>
      </w:r>
      <w:bookmarkEnd w:id="25"/>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（一）基金合同当事人及权利义务</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（1）自本基金合同生效之日起，依照有关法律法规和本基金合同的规定独立运用基金财产；</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（2）依照基金合同获得基金管理费以及法律法规规定或监管部门批准的其他收入；</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（3）发售基金份额；</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（4）依照有关规定行使因基金财产投资于证券所产生的权利；</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符合有关法律法规的前提下，制订和调整有关基金认购、申购、赎回、转换、非交易过户、转托管等业务的规则，在法律法规和本基金合同规定的范围内决定和调整基金的除调高托管费率和管理费率之外的相关费率结构和收费方式；</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（6）根据有关规定，选择、更换或撤销境外投资顾问、证券经纪代理商以及证券登记机构，并对其行为进行必要的监督；</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根据本基金合同及有关规定监督基金托管人，对于基金托管人违反了本基金合同或有关法律法规规定的行为，对基金财产、其他当事人的利益造成重大损失的情形，应及时呈报中国证监会，并采取必要措施保护基金及相关当事人的利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（8）在基金合同约定的范围内，拒绝或暂停受理申购和赎回申请；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（9）在法律法规允许的前提下，为基金的利益依法为基金进行融资、融券；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（10）自行担任或选择、更换登记结算机构，获取基金份额持有人名册，并对登记结算机构的代理行为进行必要的监督和检查；</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（11）选择、更换代销机构，并依据销售代理协议和有关法律法规，对其行为进行必要的监督和检查；</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（12）选择、更换律师、审计师、证券经纪商或其他为基金提供服务的外部机构；</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（13）在基金托管人更换时，提名新的基金托管人；</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（14）依法召集基金份额持有人大会；</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（15）法律法规和基金合同规定的其他权利。</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2、基金管理人的义务</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（1）依法募集基金，办理或者委托经中国证监会认定的其他机构代为办理基金份额的发售、申购、赎回和登记事宜；</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（3）自基金合同生效之日起，以诚实信用、勤勉尽责的原则管理和运用基金财产，基于谨慎的原则，控制基金资产的流动性风险；</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（5）确保管理人或其委托的境外投资顾问依照相关法规或协议规定发送的交易数据真实、准确、完整，因数据错误造成基金资产或基金托管人的财产损失，由基金管理人承担赔偿责任；</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（6）委托境外投资顾问进行境外证券投资的，境外投资顾问应符合《试行办法》规定的有关条件；</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（7）承担受信责任，在挑选、委托投资顾问过程中，履行尽职调查义务；</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严格遵守境内有关法律法规、基金合同的规定，始终将基金持有人的利益置于首位，以合理的依据提出投资建议，寻求基金的最佳交易执行，公平客观对待所有客户，始终按照基金的投资目标、策略、政策、指引和限制实施投资决定，充分披露一切涉及利益冲突的重要事实，尊重客户信息的机密性。</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（9）建立健全内部风险控制、监察与稽核、财务管理及人事管理等制度，保证所管理的基金财产和管理人的财产相互独立，对所管理的不同基金分别管理，分别记账，进行证券投资；</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确保基金投资于中国证监会规定的金融产品或工具；严格按照《基金法》、《试行办法》、《通知》、基金合同及有关法律法规有关投资范围和比例限制的规定，确定清晰、可执行的投资范围和投资比例，并在规定时间内，对超范围、超比例的投资进行调整；</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（11）确保基金管理人依照相关法规或协议规定向基金托管人发送的基金认购、申购和赎回数据的真实、准确和完整；</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（12）委托境外证券服务机构代理买卖证券的，应当严格履行受信责任，并按照有关规定对投资交易的流程、信息披露、记录保存进行管理；</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（13）与境外证券服务机构之间的证券交易和研究服务安排，应当符合相关法律法规的规定；</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（14）进行境外证券投资，应当遵守当地监管机构、交易所的有关法律法规规定；</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（15）如需在托管人选择的机构之外保管、登记基金财产，应严格审查，保证基金财产的安全，以及相关资产收益准确、按时归入基金财产；</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（16）应当按照全球投资表现标准(GIPS)选取投资业绩标准；</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（17）除依据《基金法》、《试行办法》、基金合同及其他有关规定外，不得为自己及任何第三人谋取利益，不得委托第三人运作基金财产；</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（18）依法接受基金托管人的监督；</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（19）计算并公告基金净值信息，确定基金份额申购、赎回价格；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（20）采取适当合理的措施使计算基金份额认购、申购、赎回和注销价格的方法符合基金合同等法律文件的规定；</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（21）按规定受理申购和赎回申请，严格控制基金投资产品的流动性风险，确保及时、足额支付赎回款项；</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（22）进行基金会计核算并编制基金财务会计报告；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（23）编制季度报告、中期报告和年度报告；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（24）严格按照《基金法》、《试行办法》、《信息披露办法》、基金合同及其他有关规定，履行信息披露及报告义务；</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（25）保守基金商业秘密，不得泄露基金投资计划、投资意向等，除《基金法》、《试行办法》、《信息披露办法》和基金合同及其他有关规定另有规定外，在基金信息公开披露前应予保密，不得向他人泄露；</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（26）按照基金合同的约定确定基金收益分配方案，及时向基金份额持有人分配收益；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（27）依据《基金法》、《运作办法》、基金合同及其他有关规定召集基金份额持有人大会或配合基金托管人、基金份额持有人依法召集基金份额持有人大会；</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（28）保存基金财产管理业务活动的记录、账册、报表和其他相关资料；</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（29）以基金管理人名义，代表基金份额持有人利益行使诉讼权利或者实施其他法律行为；</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（30）组织并参加基金财产清算小组，参与基金财产的保管、清理、估价、变</w:t>
      </w:r>
      <w:r>
        <w:rPr>
          <w:rFonts w:ascii="宋体" w:hAnsi="宋体"/>
          <w:sz w:val="24"/>
        </w:rPr>
        <w:lastRenderedPageBreak/>
        <w:t>现和分配；</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（31）授权投资顾问负责投资决策的，应当在协议中明确投资顾问由于本身差错、疏忽、未履行职责等原因而导致财产受损时应当承担相应责任。</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 因违反基金合同导致基金财产的损失或损害基金份额持有人合法权益，应当承担赔偿责任，其赔偿责任不因其退任而免除；</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（33）基金托管人违反基金合同造成基金财产损失时，应为基金份额持有人利益向基金托管人追偿；</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（34）按规定向基金托管人提供基金份额持有人名册资料；</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（35）面临解散、依法被撤销或者被依法宣告破产时，及时报告中国证监会并通知基金托管人；</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（36）执行生效的基金份额持有人大会决议；</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（37）不从事任何有损基金及其他基金当事人利益的活动；</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（38）依照法律法规为基金的利益对被投资公司行使股东权利，为基金的利益行使因基金财产投资于证券所产生的权利，不谋求对上市公司的控股和直接管理；</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（39）法律法规、中国证监会和基金合同规定的其他义务。</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3、基金托管人的权利</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依基金合同约定获得基金托管费以及法律法规规定或监管部门批准的其他收入；</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（2）选择、更换境外资产托管人负责境外资产托管业务；</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（4）自本基金合同生效之日起，依法保管基金资产；</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（5）在基金管理人更换时，提名新任基金管理人；</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根据本基金合同及有关规定监督基金管理人，对于基金管理人违反本基金合同或有关法律法规规定的行为，对基金资产、其他当事人的利益造成重大损失的情形，应及时呈报中国证监会，并采取必要措施保护基金及相关当事人的利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（7）依法召集基金份额持有人大会；</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（8）按规定取得基金份额持有人名册资料；</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（9）法律法规和基金合同规定的其他权利。</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4、基金托管人的义务</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（1）设立专门的基金托管部，具有符合要求的营业场所，配备足够的、合格</w:t>
      </w:r>
      <w:r>
        <w:rPr>
          <w:rFonts w:ascii="宋体" w:hAnsi="宋体"/>
          <w:sz w:val="24"/>
        </w:rPr>
        <w:lastRenderedPageBreak/>
        <w:t>的熟悉基金托管业务的专职人员，负责基金财产托管事宜；</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（2）对所托管的不同基金财产分别设置账户，确保基金财产的完整与独立；</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（3）除依据《基金法》、《试行办法》、基金合同及其他有关规定外，不得为自己及任何第三人谋取利益；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（4）保护持有人利益，按照规定对基金日常投资行为和资金汇出入情况实施监督，如发现投资指令或资金汇出入违法、违规，应当及时向中国证监会、国家外汇局报告； 　　</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（5）安全保护基金财产，准时将公司行为信息通知基金管理人，确保基金及时收取所有应得收入；</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（6）确保基金按照有关法律法规和基金合同约定的投资目标和限制进行管理，按照规定监督基金管理人的投资运作；</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（7）按照有关法律法规和基金合同的约定执行基金管理人、境外投资顾问的指令，及时办理清算、交割事宜； 　　</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（8） 确保基金的各类基金份额净值按照有关法律法规和基金合同规定的方法进行计算； 　</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（9）确保基金按照有关法律法规和基金合同的规定进行申购、认购、赎回等日常交易；</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（10）确保基金根据有关法律法规和基金合同确定并实施收益分配方案；</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（11）按照有关法律法规和基金合同的规定，基金托管人对由基金托管人或其委托的境外资产托管人实际有效控制的证券承担安全保管责任； 　</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（12）每月结束后7个工作日内，向中国证监会和国家外汇局报告基金管理人境外投资情况，并按相关规定进行国际收支申报； 　</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（13）安全保管基金资产，开设或委托开设资金账户和证券账户；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（14）保存基金管理人的资金汇出、汇入、兑换、收汇、付汇、资金往来、委托及成交记录等相关资料，其保存的时间应当不少于20年；</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（15）保管由基金管理人代表基金签订的与基金有关的重大合同及有关凭证；</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（16）保守基金商业秘密，除《基金法》、《试行办法》、基金合同及其他有关规定另有规定外，在基金信息公开披露前应予保密，不得向他人泄露；</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（17）对基金财务会计报告、季度报告、中期报告和年度报告出具意见，说明基金管理人在各重要方面的运作是否严格按照基金合同的规定进行；如果基金管理</w:t>
      </w:r>
      <w:r>
        <w:rPr>
          <w:rFonts w:ascii="宋体" w:hAnsi="宋体"/>
          <w:sz w:val="24"/>
        </w:rPr>
        <w:lastRenderedPageBreak/>
        <w:t>人有未执行基金合同规定的行为，还应当说明基金托管人是否采取了适当的措施；</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（18）保存基金托管业务活动的记录、账册、报表和其他相关资料；</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（19）办理与基金托管业务活动有关的信息披露事项；</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（20）复核、审查基金管理人计算的基金资产净值、各类基金份额净值、基金份额申购、赎回价格；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（21）按规定制作相关账册并与基金管理人核对；</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（22）依据基金管理人的指令或有关规定向基金份额持有人支付基金收益和赎回款项；</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（23）按照规定召集基金份额持有人大会或配合基金份额持有人依法自行召集基金份额持有人大会；</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（24）因违反基金合同导致基金财产损失，应承担赔偿责任，其赔偿责任不因其退任而免除；</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（25）选择的境外托管代理人，应符合《试行办法》第十九条的规定；</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（26）对基金的境外财产，可授权境外资产托管人代为履行其承担的受托人职责；境外资产托管人在履行职责过程中，因本身过错、疏忽等原因而导致基金财产受损的，托管人应当承担相应责任；</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（27）基金管理人因违反基金合同造成基金财产损失时，应为基金向基金管理人追偿；</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（28）参加基金财产清算小组，参与基金财产的保管、清理、估价、变现和分配；</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（29）面临解散、依法被撤销或者被依法宣告破产时，及时报告中国证监会和银行业监督管理机构，并通知基金管理人；</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（30）执行生效的基金份额持有人大会决议；</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（31）不从事任何有损基金及其他基金当事人利益的活动；</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（32）保存与基金托管人职责相关的基金份额持有人名册；</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（33）法律法规、中国证监会和国家外汇局根据审慎监管原则规定的其他职责以及基金合同规定的其他义务。</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因基金管理人原因造成基金托管人无法正常履行上述义务且基金托管人无任何过错的，由基金管理人承担责任，并对造成的基金财产损失承担相关赔偿责任。</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5、基金份额持有人的权利</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（1）分享基金财产收益；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（3）依法申请赎回其持有的基金份额；</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（8）对基金管理人、基金托管人、基金份额发售机构损害其合法权益的行为依法提起诉讼；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（9）法律法规和基金合同规定的其他权利。</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同一类别的每份基金份额具有同等的合法权益。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6、基金份额持有人的义务</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（1）遵守法律法规、基金合同及其他有关规定；</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（2）遵守基金管理人、基金托管人、代销机构和登记结算机构关于开放式基金业务的相关规则及规定；</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（3）交纳基金认购、申购款项及法律法规和基金合同所规定的费用；</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 在持有的基金份额范围内，承担基金亏损或者基金合同终止的有限责任；</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（5）不从事任何有损基金及其他基金份额持有人合法权益的活动；</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（6）执行生效的基金份额持有人大会决议；</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（7）返还在基金交易过程中因任何原因，自基金管理人及基金管理人的代理人、基金托管人、代销机构、其他基金份额持有人处获得的不当得利；</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（8）法律法规和基金合同规定的其他义务。</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本基金合同当事各方的权利义务以本基金合同为依据，不因基金财产账户名称而有所改变。</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若基金合同当事人上述各项权利义务与不时修订或新颁布实施的法律法规或中国证监会规定冲突的，以修订后或届时有效的法律法规或中国证监会规定为准。</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（二）基金份额持有人大会</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1、基金份额持有人大会由基金份额持有人组成。基金份额持有人持有的每一</w:t>
      </w:r>
      <w:r>
        <w:rPr>
          <w:rFonts w:ascii="宋体" w:hAnsi="宋体"/>
          <w:sz w:val="24"/>
        </w:rPr>
        <w:lastRenderedPageBreak/>
        <w:t>基金份额具有同等的投票权。</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2、召开事由</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当出现或需要决定下列事由之一的，经基金管理人、基金托管人或持有基金份额10%以上(含10%，下同)的基金份额持有人(以基金管理人收到提议当日的基金份额计算，下同)提议时，应当召开基金份额持有人大会：</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(1)提前终止基金合同；</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(2)转换基金运作方式；</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(3)变更基金类别；</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(4)变更基金投资目标、投资范围或投资策略；</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(5)变更基金份额持有人大会程序；</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(6)更换基金管理人、基金托管人；</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(7)提高基金管理人、基金托管人的报酬标准或提高销售服务费率，但法律法规要求提高该等报酬标准的除外；</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(8)本基金与其他基金的合并；</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(9)对基金合同当事人权利、义务产生重大影响的其他事项；</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(10)法律法规、基金合同或中国证监会规定的其他情形。</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出现以下情形之一的，可由基金管理人和基金托管人协商后修改基金合同，不需召开基金份额持有人大会：</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（1）调低基金管理费、基金托管费、销售服务费和其他应由基金承担的费用；</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（2）在法律法规和本基金合同规定的范围内变更基金的申购费率、赎回费率或收费方式；</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（3）调整基金份额类别设置、对基金份额分类办法及规则进行调整；</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（4）经中国证监会允许，基金推出新业务或服务；</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（5）经中国证监会允许，基金管理人、登记结算机构、代销机构在法律法规规定的范围内调整有关基金认购、申购、赎回、转换、非交易过户、转托管等业务的规则；</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（6）在不违反法律法规规定的情况下，接受其它币种的申购、赎回；</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（7）因相应的法律法规发生变动必须对基金合同进行修改；</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（8）对基金合同的修改不涉及本基金合同当事人权利义务关系发生变化；</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（9）基金合同的修改对基金份额持有人利益无实质性不利影响；</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（10）按照法律法规或本基金合同规定不需召开基金份额持有人大会的其他情形。</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3、召集人及召集方式</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（1）除法律法规或本基金合同另有约定外，基金份额持有人大会由基金管理人召集。基金管理人未按规定召集或者不能召集时，由基金托管人召集。</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自行召集。</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代表基金份额10%以上的基金份额持有人认为有必要召开基金份额持有人大会的，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的基金份额持有人就同一事项要求召开基金份额持有人大会，而基金管理人、基金托管人都不召集的，代表基金份额10%以上的基金份额持有人有权自行召集基金份额持有人大会，但应当至少提前30日向中国证监会备案。</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（5）基金份额持有人依法自行召集基金份额持有人大会的，基金管理人、基金托管人应当配合，不得阻碍、干扰。</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4、召开基金份额持有人大会的通知时间、通知内容、通知方式</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以下简称“召集人”)负责选择确定开会时间、地点、方式和权益登记日。召开基金份额持有人大会，召集人必须于会议召开日前30日在指定媒介公告。基金份额持有人大会通知须至少载明以下内容：</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(1)会议召开的时间、地点和出席方式；</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(2)会议拟审议的主要事项；</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(3)会议形式；</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(4)议事程序；</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(5)有权出席基金份额持有人大会的基金份额持有人权益登记日；</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(6)代理投票的授权委托书的内容要求、送达时间和地点；</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(7)表决方式；</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(8)会务常设联系人姓名、电话；</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(9)出席会议者必须准备的文件和必须履行的手续；</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(10)召集人需要通知的其他事项。</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用通讯方式开会并进行表决的情况下，由召集人决定通讯方式和书面表决方式，并在会议通知中说明本次基金份额持有人大会所采取的具体通讯方式、委托的公证机关及其联系方式和联系人、书面表决意见寄交的截止时间和收取方式。</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召集人为基金管理人，还应另行书面通知基金托管人到指定地点对书面表决意见的计票进行监督；如召集人为基金托管人，则应另行书面通知基金管理人到指定地点对书面表决意见的计票进行监督；如召集人为基金份额持有人，则应另行书面通知基金管理人和基金托管人到指定地点对书面表决意见的计票进行监督。基金管理人或基金托管人拒不派代表对书面表决意见的计票进行监督的，不影响计票和表决结果。</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5、基金份额持有人出席会议的方式</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（1）会议方式</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1)基金份额持有人大会的召开方式包括现场开会和通讯方式开会。</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2)现场开会由基金份额持有人本人出席或通过授权委托书委派其代理人出席，现场开会时基金管理人和基金托管人的授权代表应当出席，如基金管理人或基金托管人拒不派代表出席的，不影响表决效力。</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3)通讯方式开会指按照本基金合同的相关规定以通讯的书面方式进行表决。</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4)会议的召开方式由召集人确定，但决定转换基金运作方式、基金管理人更换或基金托管人更换、提前终止基金合同的事宜必须以现场开会方式召开基金份额持有人大会。</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（2）召开基金份额持有人大会的条件</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1)现场开会方式</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在同时符合以下条件时，现场会议方可举行：</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①对到会者在权益登记日持有基金份额的统计显示，全部有效凭证所对应的基金份额应占权益登记日基金总份额的50%以上(含50%，下同)；</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到会的基金份额持有人身份证明及持有基金份额的凭证、代理人身份证明、委托人持有基金份额的凭证及授权委托代理手续完备，到会者出具的相关文件符合有关法律法规和基金合同及会议通知的规定，并且持有基金份额的凭证与基金管理人持有的注册登记资料相符。</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2）通讯开会方式</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在同时符合以下条件时，通讯会议方可举行：</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①召集人按本基金合同规定公布会议通知后，在2个工作日内连续公布相关提示性公告；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②召集人按基金合同规定通知基金托管人或/和基金管理人(分别或共同称为“监督人”)到指定地点对书面表决意见的计票进行监督；</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③召集人在监督人和公证机关的监督下按照会议通知规定的方式收取和统计基金份额持有人的书面表决意见，如基金管理人或基金托管人经通知拒不到场监督的，不影响表决效力；</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④本人直接出具书面意见和授权他人代表出具书面意见的基金份额持有人所代表的基金份额占权益登记日基金总份额的50%以上；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⑤直接出具书面意见的基金份额持有人或受托代表他人出具书面意见的代理人提交的持有基金份额的凭证、授权委托书等文件符合法律法规、基金合同和会议通知的规定，并与登记结算机构记录相符。</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如果开会条件达不到上述的条件，则召集人可另行确定并公告重新表决的时间，且确定有权出席会议的基金份额持有人资格的权益登记日应保持不变。</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6、议事内容与程序</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1)议事内容为本基金合同规定的召开基金份额持有人大会事由所涉及的内容。</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2)基金管理人、基金托管人、单独或合并持有权益登记日本基金总份额10%以上的基金份额持有人可以在大会召集人发出会议通知前就召开事由向大会召集人提交需由基金份额持有人大会审议表决的提案。</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3)对于基金份额持有人提交的提案，大会召集人应当按照以下原则对提案进行审核：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关联性。大会召集人对于基金份额持有人提案涉及事项与基金有直接关系，并且不超出法律法规和基金合同规定的基金份额持有人大会职权范围的，应提交大会审议；对于不符合上述要求的，不提交基金份额持有人大会审议。如果召集人决定不将基金份额持有人提案提交大会表决，应当在该次基金份额持有人大会上进行解释和说明。</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程序性。大会召集人可以对基金份额持有人的提案涉及的程序性问题做出决定。如将其提案进行分拆或合并表决，需征得原提案人同意；原提案人不同意变更的，大会主持人可以就程序性问题提请基金份额持有人大会做出决定，并按照基金份额持有人大会决定的程序进行审议。</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单独或合并持有权益登记日基金总份额10%以上的基金份额持有人提交基金份额持有人大会审议表决的提案，基金管理人或基金托管人提交基金份额持有人大会审议表决的提案，未获基金份额持有人大会审议通过，就同一提案再次提请基金份额持有人大会审议，其时间间隔不少于6个月。法律法规另有规定的除外。</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5)基金份额持有人大会的召集人发出召开会议的通知后，如果需要对原有提案进行修改，应当在基金份额持有人大会召开前30日及时公告。否则，会议的召开日期应当顺延并保证至少与公告日期有30日的间隔期。</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在现场开会的方式下，首先由大会主持人按照规定程序宣布会议议事程序及注意事项，确定和公布监票人，然后由大会主持人宣读提案，经讨论后进行表决，经合法执业的律师见证后形成大会决议。</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大会由召集人授权代表主持。基金管理人为召集人的，其授权代表未能主持大会的情况下，由基金托管人授权代表主持；如果基金管理人和基金托管人授权代表均未能主持大会，则由出席大会的基金份额持有人和代理人以所代表的基金份额50%以上多数选举产生一名代表作为该次基金份额持有人大会的主持人。</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召集人应当制作出席会议人员的签名册。签名册载明参加会议人员姓名(或单位名称)、身份证号码、持有或代表有表决权的基金份额数量、委托人姓名(或单位名称)等事项。</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2）通讯方式开会</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在通讯表决开会的方式下，首先由召集人提前30日公布提案，在所通知的表决</w:t>
      </w:r>
      <w:r>
        <w:rPr>
          <w:rFonts w:ascii="宋体" w:hAnsi="宋体"/>
          <w:sz w:val="24"/>
        </w:rPr>
        <w:lastRenderedPageBreak/>
        <w:t>截止日期后第2个工作日在公证机关及监督人的监督下由召集人统计全部有效表决并形成决议。如监督人经通知但拒绝到场监督，则在公证机关监督下形成的决议有效。</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（3）基金份额持有人大会不得对未事先公告的议事内容进行表决。</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7、决议形成的条件、表决方式、程序</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（1）基金份额持有人所持每一基金份额享有平等的表决权。</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（2）基金份额持有人大会决议分为一般决议和特别决议：</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一般决议须经出席会议的基金份额持有人（或其代理人）所持表决权的50%以上通过方为有效，除下列2）所规定的须以特别决议通过事项以外的其他事项均以一般决议的方式通过；</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别决议须经出席会议的基金份额持有人(或其代理人)所持表决权的三分之二以上(含三分之二)通过方为有效；涉及更换基金管理人、更换基金托管人、转换基金运作方式、提前终止基金合同必须以特别决议通过方为有效。</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（3）基金份额持有人大会决定的事项，应当依法报中国证监会核准或者备案，并予以公告。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采取通讯方式进行表决时，除非在计票时有充分的相反证据证明，否则表面符合法律法规和会议通知规定的书面表决意见即视为有效的表决，表决意见模糊不清或相互矛盾的视为弃权表决，但应当计入出具书面意见的基金份额持有人所代表的基金份额总数。</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（5）基金份额持有人大会采取记名方式进行投票表决。</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（6）基金份额持有人大会的各项提案或同一项提案内并列的各项议题应当分开审议、逐项表决。</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8、计票</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基金份额持有人大会由基金管理人或基金托管人召集，则基金份额持有人大会的主持人应当在会议开始后宣布在出席会议的基金份额持有人和代理人中推举两名基金份额持有人代表与大会召集人授权的一名监督员共同担任监票人；如大会由基金份额持有人自行召集，基金份额持有人大会的主持人应当在会议开始后宣</w:t>
      </w:r>
      <w:r>
        <w:rPr>
          <w:rFonts w:ascii="宋体" w:hAnsi="宋体"/>
          <w:sz w:val="24"/>
        </w:rPr>
        <w:lastRenderedPageBreak/>
        <w:t>布在出席会议的基金份额持有人和代理人中推举两名基金份额持有人代表与基金管理人、基金托管人授权的一名监督员共同担任监票人；但如果基金管理人和基金托管人的授权代表未出席，则大会主持人可自行选举三名基金份额持有人代表担任监票人。</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2）监票人应当在基金份额持有人表决后立即进行清点，由大会主持人当场公布计票结果。</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大会主持人对于提交的表决结果有异议，可以对投票数进行重新清点；如大会主持人未进行重新清点，而出席大会的基金份额持有人或代理人对大会主持人宣布的表决结果有异议，其有权在宣布表决结果后立即要求重新清点，大会主持人应当立即重新清点并公布重新清点结果。重新清点仅限一次。</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（2）通讯方式开会</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方式开会的情况下，计票方式为：由大会召集人授权的两名监票人在监督人派出的授权代表的监督下进行计票，并由公证机关对其计票过程予以公证；如监督人经通知但拒绝到场监督，则大会召集人可自行授权3名监票人进行计票，并由公证机关对其计票过程予以公证。</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9、基金份额持有人大会决议报中国证监会核准或备案后的公告时间、方式</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通过的一般决议和特别决议，召集人应当自通过之日起5日内报中国证监会核准或者备案。基金份额持有人大会决定的事项自中国证监会依法核准或者出具无异议意见之日起生效。关于本章第2条所规定的第（1）-（8）项召开事由的基金份额持有人大会决议经中国证监会核准生效后方可执行，关于本章第2条所规定的第（9）、（10）项召开事由的基金份额持有人大会决议经中国证监会核准或出具无异议意见后方可执行。</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（2）生效的基金份额持有人大会决议对全体基金份额持有人、基金管理人、基金托管人均有约束力。基金管理人、基金托管人和基金份额持有人应当执行生效的基金份额持有人大会决议。</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（3）基金份额持有人大会决议应自生效之日起2日内在指定媒介公告。如果采用通讯方式进行表决，在公告基金份额持有人大会决议时，必须将公证书全文、公证机构、公证员姓名等一同公告。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10、实施侧袋机制期间基金份额持有人大会的特殊约定</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w:t>
      </w:r>
      <w:r>
        <w:rPr>
          <w:rFonts w:ascii="宋体" w:hAnsi="宋体"/>
          <w:sz w:val="24"/>
        </w:rPr>
        <w:lastRenderedPageBreak/>
        <w:t>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（3）通讯开会的直接出具书面表决意见或授权他人代表出具书面表决意见的基金份额持有人所持有的基金份额不小于在权益登记日相关基金份额的二分之一（含二分之一）；</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11、法律法规或监管部门对基金份额持有人大会另有规定的，从其规定。</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（三）基金合同解除和终止的事由、程序</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（1）基金合同变更内容对基金合同当事人权利、义务产生重大影响的，应召开基金份额持有人大会，基金合同变更的内容应经基金份额持有人大会决议同意。</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1）转换基金运作方式；</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2）变更基金类别；</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3）变更基金投资目标、投资范围或投资策略；</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4）变更基金份额持有人大会程序；</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5）更换基金管理人、基金托管人；</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6）提高基金管理人、基金托管人的报酬标准或提高销售服务费率。但根据适用的相关规定提高该等报酬标准的除外；</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8）对基金份额持有人的权利和义务有重大影响而需要变更本基金合同的其他事项；</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9）法律法规、基金合同或中国证监会规定的其他情形。</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但出现下列情况时，可不经基金份额持有人大会决议，由基金管理人和基金托管人同意变更后公布，并报中国证监会备案：</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1）调低基金管理费、基金托管费、销售服务费和其他应由基金承担的费用；</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2）在法律法规和本基金合同规定的范围内变更基金的申购费率、赎回费率或收费方式；</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3）调整基金份额类别设置、对基金份额分类办法及规则进行调整；</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4）因相应的法律法规发生变动必须对基金合同进行修改；</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5）对基金合同的修改不涉及本基金合同当事人权利义务关系发生变化；</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6）基金合同的修改对基金份额持有人利益无实质性不利影响；</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7）按照法律法规或本基金合同规定不需召开基金份额持有人大会的其他情形。</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（2）关于变更基金合同的基金份额持有人大会决议应报中国证监会核准或备案，并于中国证监会核准或出具无异议意见后生效执行，并自生效之日起2日内在指定媒介公告。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有下列情形之一的，本基金合同经中国证监会核准后将终止：</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（2）基金管理人因解散、破产、撤销等事由，不能继续担任基金管理人的职务，而在6个月内无其他适当的基金管理公司承接其原有权利义务；</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（3）基金托管人因解散、破产、撤销等事由，不能继续担任基金托管人的职务，而在6个月内无其他适当的托管机构承接其原有权利义务；</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（4）中国证监会规定的其他情况。</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（1）基金财产清算组</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1)基金合同终止时，成立基金财产清算组，基金财产清算组在中国证监会的监督下进行基金清算。</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2)基金财产清算组成员由基金管理人、基金托管人、具有从事证券相关业务资格的注册会计师、律师以及中国证监会指定的人员组成。基金财产清算组可以聘用必要的工作人员。</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3)基金财产清算组负责基金财产的保管、清理、估价、变现和分配。基金财产清算组可以依法进行必要的民事活动。</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（2）基金财产清算程序</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基金合同终止，应当按法律法规和本基金合同的有关规定对基金财产进行清算。基金财产清算程序主要包括：</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1)基金合同终止后，发布基金财产清算公告；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2)基金合同终止时，由基金财产清算组统一接管基金财产；</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3)对基金财产进行清理和确认；</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4)对基金财产进行估价和变现；</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5)聘请律师事务所出具法律意见书；</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6)聘请会计师事务所对清算报告进行审计；</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7)将基金财产清算结果报告中国证监会；</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8)参加与基金财产有关的民事诉讼；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9)公布基金财产清算结果；</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10)对基金剩余财产进行分配。</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（3）清算费用</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清算费用是指基金财产清算组在进行基金财产清算过程中发生的所有合理费用，清算费用由基金财产清算组优先从基金财产中支付。</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（4）基金财产按下列顺序清偿：</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1)支付清算费用；</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2)交纳所欠税款；</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3)清偿基金债务；</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4)按基金份额持有人持有的基金份额比例进行分配。</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基金财产未按前款1)－3)项规定清偿前，不分配给基金份额持有人。</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投资人通过直销机构申购的C类基金份额所计提的销售服务费，或者通过其他销售机构申购的C类基金份额持续持有超过一年后所计提的销售服务费，将在基金合同终止时随剩余资产分配款项一并返还给投资人。</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（5）基金财产清算的公告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公告于基金合同终止并报中国证监会备案后5个工作日内由基金财产清算组公告；清算过程中的有关重大事项须及时公告；基金财产清算结果经会计师事务所审计，律师事务所出具法律意见书后，由基金财产清算组报中国证监会备案并公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（6）基金财产清算账册及文件的保存</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（四）争议解决方式</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对于因基金合同的订立、内容、履行和解释或与基金合同有关的争议，基金合同当事人应尽量通过协商、调解途径解决。不愿或者不能通过协商、调解解决的，任何一方均有权将争议提交中国国际经济贸易仲裁委员会，按照中国国际经济贸易仲裁委员会届时有效的仲裁规则进行仲裁。仲裁地点为北京市。仲裁裁决是终局的，对各方当事人均有约束力，仲裁费用由败诉方承担。</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争议处理期间，基金合同当事人应恪守各自的职责，继续忠实、勤勉、尽责地履行基金合同规定的义务，维护基金份额持有人的合法权益。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本基金合同受中国法律管辖。</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（五）基金合同存放地和投资者取得基金合同的方式</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本基金合同正本一式八份，除中国证监会和银行业监督管理机构各持两份外，基金管理人和基金托管人各持有两份。每份均具有同等的法律效力。</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本基金合同可印制成册，供投资人在基金管理人、基金托管人、代销机构和登记结算机构办公场所查阅，但其效力应以基金合同正本为准。</w:t>
      </w:r>
    </w:p>
    <w:p w:rsidR="00B439CC" w:rsidRDefault="004226F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737B3" w:rsidRDefault="004226F9">
      <w:pPr>
        <w:pStyle w:val="1"/>
        <w:snapToGrid w:val="0"/>
        <w:spacing w:beforeLines="0" w:before="240" w:after="240"/>
        <w:rPr>
          <w:rFonts w:ascii="宋体" w:hAnsi="宋体"/>
          <w:szCs w:val="30"/>
        </w:rPr>
      </w:pPr>
      <w:bookmarkStart w:id="26" w:name="_Toc244528804"/>
      <w:r>
        <w:rPr>
          <w:rFonts w:ascii="Times New Roman" w:hAnsi="Times New Roman"/>
          <w:sz w:val="30"/>
        </w:rPr>
        <w:lastRenderedPageBreak/>
        <w:t>二十三、托管协议的内容摘要</w:t>
      </w:r>
      <w:bookmarkEnd w:id="26"/>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（一）托管协议当事人</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住所：中国（上海）自由贸易区银城中路188号交通银行大楼二层（裙）</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成立日期：2005年8月4日</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批准设立机关及批准设立文号：中国证监会证监基金字【2005】128号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注册资本：贰亿元</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名称：中国建设银行股份有限公司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住所：北京市西城区金融大街25号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办公地址：北京市西城区闹市口大街1号院1号楼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邮政编码：100033</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法定代表人：张金良</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成立日期：2004年09月17日</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基金托管业务批准文号：中国证监会证监基字[1998]12号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注册资本：贰仟伍佰亿壹仟零玖拾柒万柒仟肆佰捌拾陆元整</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长期贷款；办理国内外结算；办理票据承兑与贴现；发行金融债券；代理发行、代理兑付、承销政府债券；买卖政府债券、金融债券；从事同业拆借；买卖、代理买卖外汇；从事银行卡业务；提供信用证服务及担保；代理收付款项及代理保险业务；提供保管箱服务；经中国银行</w:t>
      </w:r>
      <w:r>
        <w:rPr>
          <w:rFonts w:ascii="宋体" w:hAnsi="宋体"/>
          <w:sz w:val="24"/>
        </w:rPr>
        <w:lastRenderedPageBreak/>
        <w:t>业监督管理机构等监管部门批准的其他业务。</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（二）基金托管人对基金管理人的业务监督和核查</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1、基金托管人根据有关法律法规的规定及基金合同的约定，对基金投资范围、投资对象进行监督。</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于已与中国证监会签署双边监管合作谅解备忘录的国家或地区证券市场挂牌交易的股票，在已与中国证监会签署双边监管合作谅解备忘录的国家或地区证券监管机构登记注册的公募基金，债券，货币市场工具以及中国证监会允许本基金投资的其他金融工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本基金的投资组合为：股票资产占基金资产的60%-100%，债券、货币市场工具以及中国证监会允许本基金投资的其他金融工具占基金资产的0%-40%。</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本基金的基金资产将投资于全球主要证券市场，其中投资于与中国证监会签订了双边监管合作谅解备忘录国家或地区以外的其他国家或地区证券市场挂牌交易的证券资产的比例不超过基金资产净值的10%。</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如与中国证监会签订双边监管合作谅解备忘录的国家或地区增加、减少或变更，本基金投资的主要证券市场将相应调整。</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如法律法规或监管机构以后允许本基金投资其他品种，基金管理人在履行适当程序后，可以将其纳入投资范围。</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2、基金托管人根据有关法律法规的规定及基金合同的约定，对基金投资、融资比例进行监督。基金托管人按下述比例和调整期限进行监督：</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持有同一家银行的存款不得超过基金资产净值的20%，银行应当是中资商业银行在境外设立的分行或在最近一个会计年度达到中国证监会认可的信用评级机构评级的境外银行，但在基金托管账户的存款不受此限制。</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（2）本基金持有同一机构(政府、国际金融组织除外)发行的证券市值不得超过基金资产净值的10%。</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与中国证监会签署双边监管合作谅解备忘录国家或地区以外的其他国家或地区证券市场挂牌交易的证券资产不得超过基金资产净值的10%，其中持有任一国家或地区市场的证券资产不得超过基金资产净值的3%。</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（4）基金不得购买证券用于控制或影响发行该证券的机构或其管理层。</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（5）本基金持有非流动性资产市值不得超过基金资产净值的10%。前项非流动性资产是指法律或基金合同规定的流通受限证券以及中国证监会认定的其他资产。</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（6）本基金持有境外基金的市值合计不得超过基金资产净值的10%，但持有货币市场基金不受此限制。</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（7）为应付赎回、交易清算等临时用途，借入现金的比例不得超过基金资产净值的10%。</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（8）本基金投资衍生品应当仅限于投资组合避险或有效管理，不得用于投机或放大交易，同时应当严格遵守下列规定：</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1)本基金的金融衍生品全部敞口不得高于基金资产净值的100%。</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2)本基金投资期货支付的初始保证金、投资期权支付或收取的期权费、投资柜台交易衍生品支付的初始费用的总额不得高于基金资产净值的10%。</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3)本基金投资于远期合约、互换等柜台交易金融衍生品，应当符合以下要求：</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 所有参与交易的对手方（中资商业银行除外）应当具有不低于中国证监会认可的信用评级机构评级；</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b.交易对手方应当至少每个工作日对交易进行估值，并且基金可在任何时候以公允价值终止交易；</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 任一交易对手方的市值计价敞口不得超过基金资产净值的20%。</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4)本基金不得直接投资与实物商品相关的衍生品。</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（9）本基金可以参与证券借贷交易，并且应当遵守下列规定：</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1)所有参与正回购交易的对手方(中资商业银行除外)应当具有中国证监会认可的信用评级机构信用评级。</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2)参与正回购交易,应当采取市值计价制度对卖出收益进行调整以确保现金不低于已售出证券市值的102%。</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借方应当在交易期内及时向本基金支付已借出证券产生的所有股息、利息和分红。一旦借方违约，本基金根据协议和有关法律有权保留和处置担保物以满足索赔需要。</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 除中国证监会另有规定外，担保物可以是以下金融工具或品种：</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 现金；</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b.存款证明；</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c.商业票据；</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d.政府债券；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e.中资商业银行或由不低于中国证监会认可的信用评级机构评级的境外金融机</w:t>
      </w:r>
      <w:r>
        <w:rPr>
          <w:rFonts w:ascii="宋体" w:hAnsi="宋体"/>
          <w:sz w:val="24"/>
        </w:rPr>
        <w:lastRenderedPageBreak/>
        <w:t>构（作为交易对手方或其关联方的除外）出具的不可撤销信用证。</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5)本基金有权在任何时候终止证券借贷交易并在正常市场惯例的合理期限内要求归还任一或所有已借出的证券。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6)基金管理人应当对基金参与证券借贷交易中发生的任何损失负相应责任。</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7)基金参与证券借贷交易，所有已借出而未归还证券总市值不得超过基金总资产的50%。</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上述比例限制计算，基金因参与证券借贷交易而持有的担保物不得计入基金总资产。</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（10）基金可以根据正常市场惯例参与正回购交易、逆回购交易，并且应当遵守下列规定：</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1)所有参与正回购交易的对手方（中资商业银行除外）应当具有中国证监会认可的信用评级机构信用评级。</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2)参与正回购交易，应当采取市值计价制度对卖出收益进行调整以确保现金不低于已售出证券市值的102%。一旦买方违约，本基金根据协议和有关法律有权保留或处置卖出收益以满足索赔需要。</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3)买方应当在正回购交易期内及时向本基金支付售出证券产生的所有股息、利息和分红。</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4)参与逆回购交易，应当对购入证券采取市值计价制度进行调整以确保已购入证券市值不低于支付现金的102%。一旦卖方违约，本基金根据协议和有关法律有权保留或处置已购入证券以满足索赔需要。</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5)基金参与正回购交易，所有已售出而未回购证券总市值均不得超过基金总资产的50%。</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上述比例限制计算，基金因参与正回购交易而持有的现金不得计入基金总资产。</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（12）本基金与私募类证券资管产品及中国证监会认定的其他主体为交易对手开展逆回购交易的，可接受质押品的资质要求应当与基金合同约定的投资范围保持</w:t>
      </w:r>
      <w:r>
        <w:rPr>
          <w:rFonts w:ascii="宋体" w:hAnsi="宋体"/>
          <w:sz w:val="24"/>
        </w:rPr>
        <w:lastRenderedPageBreak/>
        <w:t>一致。</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（13）法律法规和基金合同规定的其他限制。</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将来法律法规或中国证监会的相关规定发生修改、更新或废止，致使本款前述投资限制和禁止行为被修改、更新或取消的，基金管理人在履行适当程序后，本基金可相应调整投资限制和禁止行为规定，不需经基金份额持有人大会审议。</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后6个月内使基金的投资组合比例符合基金合同的约定。除第（11）、（12）项外，若基金超过上述投资比例限制，应当在超过比例后30个工作日内采用合理的商业措施减仓以符合投资比例限制要求。</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基金份额拆分、大比例分红等集中持续营销活动引起的基金净资产规模在10个工作日内增加10亿元以上的情形，而导致证券投资比例低于基金合同约定的，基金管理人同基金托管人协商一致并及时书面报告中国证监会后，可将调整时限从30个工作日延长到3个月。</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3、基金托管人根据有关法律法规的规定及基金合同的约定，对本托管协议第十七条第（九）款基金投资禁止行为进行监督。基金托管人通过事后监督方式对基金管理人基金投资禁止行为进行监督。</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发现基金管理人的上述事项及投资指令或实际投资运作违反法律法规、基金合同和本托管协议的规定，应及时以书面形式通知基金管理人限期纠正。基金管理人应积极配合和协助基金托管人的监督和核查。基金管理人收到通知后应在下一工作日前及时核对并以书面形式给基金托管人发出回函，就基金托管人的疑义进行解释或举证，说明违规原因及纠正期限，并保证在规定期限内及时改正。在上述规定期限内, 基金托管人有权随时对通知事项进行复查, 督促基金管理人改正。基金管理人对基金托管人通知的违规事项未能在限期内纠正的，基金托管人应报告中国证监会。</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w:t>
      </w:r>
      <w:r>
        <w:rPr>
          <w:rFonts w:ascii="宋体" w:hAnsi="宋体"/>
          <w:sz w:val="24"/>
        </w:rPr>
        <w:lastRenderedPageBreak/>
        <w:t>律法规、基金合同和本托管协议的要求需向中国证监会报送基金监督报告的事项，基金管理人应积极配合提供相关数据资料和制度等。</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7、若基金托管人发现基金管理人依据交易程序已经生效的指令违反法律、行政法规和其他有关规定，或者违反基金合同约定的，应当立即通知基金管理人，由此造成的损失由基金管理人承担。</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发现基金管理人有重大违规行为，应及时报告中国证监会，同时通知基金管理人限期纠正，并将纠正结果报告中国证监会。基金管理人无正当理由，拒绝、阻挠对方根据本托管协议规定行使监督权，或采取拖延、欺诈等手段妨碍对方进行有效监督，情节严重或经基金托管人提出警告仍不改正的，基金托管人应报告中国证监会。</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（三）基金管理人对基金托管人的业务核查</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和证券账户、复核基金管理人计算的基金资产净值和各类基金份额净值、根据基金管理人指令办理清算交收、相关信息披露和监督基金投资运作等行为。</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能准时将公司行为信息通知基金管理人、未执行或无故延迟执行基金管理人资金划拨指令、泄露基金投资信息等违反《基金法》、《试行办法》、基金合同、本协议及其他有关规定时，应及时以书面形式通知基金托管人限期纠正。基金托管人收到通知后应在下一工作日前及时核对并以书面形式给基金管理人发出回函，说明违规原因及纠正期限，并保证在规定期限内及时改正。在上述规定期限内，基金管理人有权随时对通知事项进行复查, 督促基金托管人改正。基金托管人应积极配合基金管理人的核查行为，包括但不限于：提交相关资料以供基金管理人核查托管财产的完整性和真实性，在规定时间内答复基金管理人并改正。</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（四）基金财产的保管</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1、基金财产保管的原则</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（1）基金财产应保管于基金托管人或基金托管人委托的机构处。</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（2）基金财产应独立于基金管理人、基金托管人的固有财产。</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（3）基金托管人应安全保管基金财产。</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（4）基金托管人按照规定开设基金财产的资金账户和证券账户。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（5）基金托管人对所托管的不同基金财产分别设置账户，确保基金财产的完整与独立。</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（6）基金托管人根据基金管理人的指令，按照基金合同和本协议的约定保管基金财产，并按指令进行结算。</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2、基金募集期间及募集资金的验资</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（1）基金募集期间募集的资金应存于中国证券登记结算有限责任公司的“基金募集专户”。该账户由基金管理人委托的登记结算机构开立并管理。</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停止募集时，募集的基金份额总额、基金募集金额、基金份额持有人人数符合《基金法》、《运作办法》、《试行办法》等有关规定后，基金管理人应将属于基金财产的全部资金划入基金托管人开立的基金银行账户，同时在规定时间内，聘请具有从事证券相关业务资格的会计师事务所进行验资，出具验资报告。出具的验资报告由参加验资的2名或2名以上中国注册会计师签字方为有效。</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（3）若基金募集期限届满，未能达到基金合同生效的条件，由基金管理人按规定办理退款等事宜。</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（4）资产保管内容和约定事项</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非投资当地的法律法规和市场惯例另有规定，基金托管人和其境外资产托管人应在收到基金管理人或其委托的境外投资顾问的指令后，按下述方式支付现金、售出或交付证券：(a)按照交易发生的司法管辖区或市场的有关惯常和既定惯例和程序作出；或(b)就通过证券系统进行的买卖而言，按照管辖该系统运营的规则、条例和条件作出；(c)在不违反基金合同、托管协议和招募说明书等法律文件约定的情况下，依基金管理人或其投资顾问根据指令程序发送的指令中的另有规定。基金托管人和其境外资产托管人应不时将该等有关惯例、程序、规则、条例和条件及时通知基金管理人。</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基金托管人自身，并应确保其境外资产托管人尽商业的合理努力建立安全的数</w:t>
      </w:r>
      <w:r>
        <w:rPr>
          <w:rFonts w:ascii="宋体" w:hAnsi="宋体"/>
          <w:sz w:val="24"/>
        </w:rPr>
        <w:lastRenderedPageBreak/>
        <w:t>据管理机制，安全完整地保存基金管理人与基金财产相关的业务数据和信息。</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在因依法解散、被依法撤销或者被依法宣告清盘或破产等原因进行终止清算时，不得将基金财产及其收益归入其清算财产；基金管理人和基金托管人理解现金于存入托管账户时构成基金托管人、境外资产托管人的等额债务，除非法律法规及撤销或清盘程序明文许可该等现金不归于清算财产外，该等现金归入清算财产并不构成基金托管人违反托管协议的规定。</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3、基金银行账户的开立和管理</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可以基金的名义在其营业机构开立基金的银行账户，并根据基金管理人合法合规的指令办理资金收付。本基金的银行预留印鉴由基金托管人保管并供境内资金划拨使用。基金托管人可委托境外资产托管人开立基金银行账户（境外），境外资产托管人根据基金托管人的指令办理境外资金收付。</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（2）基金银行账户的开立和使用，限于满足开展本基金业务的需要。基金托管人和基金管理人不得假借本基金的名义开立任何其他银行账户；亦不得使用基金的任何账户进行本基金业务以外的活动。</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4、基金证券账户的开立和管理</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基金托管人可委托境外资产托管人根据投资所在国家或地区市场法律法规规定，开立和管理证券账户。</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5、其他账户的开立和管理</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（1）因业务发展需要而开立的其他账户，可以根据投资所在国家或地区法律法规和基金合同的规定，由基金托管人或其委托机构负责开立。</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（2）投资所在国家或地区法律法规对相关账户的开立和管理另有规定的，从其规定办理。</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6、基金财产投资的有关有价凭证等的保管</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境外有关实物证券、银行存款定期存单等有价凭证由基金托管人委托境外托管代理人存放于其保管库。属于基金托管人及其境外资产托管人实际有效控制下的实物证券在基金托管人保管期间的损坏、灭失，由此产生的责任应由基金托管人承担。基金托管人对由基金托管人及其境外资产托管人以外机构实际有效控制的证券不承担保管责任。</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7、与基金财产有关的重大合同的保管</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与基金财产有关的重大合同的签署，由基金管理人负责。由基金管理人代表基</w:t>
      </w:r>
      <w:r>
        <w:rPr>
          <w:rFonts w:ascii="宋体" w:hAnsi="宋体"/>
          <w:sz w:val="24"/>
        </w:rPr>
        <w:lastRenderedPageBreak/>
        <w:t>金签署的、与基金财产有关的重大合同的原件分别由基金管理人、基金托管人保管。除本协议另有规定外，基金管理人代表基金签署的与基金财产有关的重大合同，基金管理人应保证基金管理人和基金托管人至少各持有一份正本的原件。上述重大合同的保管期限为基金合同终止后15年。</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（五）基金资产净值计算与复核</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基金资产净值是指基金资产总值减去负债（含各项有关税收）后的金额。</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各类基金份额的基金份额净值是指该类基金份额的基金资产净值除以该类基金份额总数，基金份额净值的计算精确到0.0001元，小数点后第五位四舍五入。国家另有规定的，从其规定。</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2、复核程序</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用于基金信息披露的各类基金份额的基金资产净值和基金份额净值由基金管理人负责计算，基金托管人负责进行复核。基金管理人应于每个工作日计算基金净值并发送给基金托管人。基金托管人对净值计算结果复核确认后发送给基金管理人，由基金管理人对基金净值予以公布。</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有关法律法规，基金资产净值计算和基金会计核算的义务由基金管理人承担。本基金的基金会计责任方由基金管理人担任，因此，就与本基金有关的会计问题，如经相关各方在平等基础上充分讨论后，仍无法达成一致意见的，按照基金管理人对基金资产净值的计算结果对外予以公布。</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（六）基金份额持有人名册的登记与保管</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至少应包括基金份额持有人的名称和持有的基金份额。基金份额持有人名册由基金登记结算机构根据基金管理人的指令编制和保管，基金管理人和基金托管人应分别保管基金份额持有人名册，保存期不少于15年。如不能妥善保管，则按相关法规承担责任。</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托管人要求或编制半年报和年报前，基金管理人应将有关资料送交基金托管人，不得无故拒绝或延误提供，并保证其的真实性、准确性和完整性。基金托管人不得将所保管的基金份额持有人名册用于基金托管业务以外的其他用途，并应遵守保密义务。</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（七）争议解决方式</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因本协议产生或与之相关的争议，双方当事人应通过协商、调解解决，协商、</w:t>
      </w:r>
      <w:r>
        <w:rPr>
          <w:rFonts w:ascii="宋体" w:hAnsi="宋体"/>
          <w:sz w:val="24"/>
        </w:rPr>
        <w:lastRenderedPageBreak/>
        <w:t>调解不能解决的，任何一方均有权将争议提交中国国际经济贸易仲裁委员会，仲裁地点为北京市，按照中国国际经济贸易仲裁委员会届时有效的仲裁规则进行仲裁。仲裁裁决是终局的，对当事人均有约束力，仲裁费用由败诉方承担。</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本协议受中国法律管辖。</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（八）托管协议的修改与终止</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本协议双方当事人经协商一致，可以对协议进行修改。修改后的新协议，其内容不得与基金合同的规定有任何冲突。基金托管协议的变更报中国证监会核准或备案后生效。</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2、基金托管协议终止出现的情形</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（4）发生法律法规或基金合同规定的终止事项。</w:t>
      </w:r>
    </w:p>
    <w:p w:rsidR="00B439CC" w:rsidRDefault="004226F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737B3" w:rsidRDefault="004226F9">
      <w:pPr>
        <w:pStyle w:val="1"/>
        <w:snapToGrid w:val="0"/>
        <w:spacing w:beforeLines="0" w:before="240" w:after="240"/>
        <w:rPr>
          <w:rFonts w:ascii="宋体" w:hAnsi="宋体"/>
          <w:szCs w:val="30"/>
        </w:rPr>
      </w:pPr>
      <w:bookmarkStart w:id="27" w:name="_Toc244528805"/>
      <w:r>
        <w:rPr>
          <w:rFonts w:ascii="Times New Roman" w:hAnsi="Times New Roman"/>
          <w:sz w:val="30"/>
        </w:rPr>
        <w:lastRenderedPageBreak/>
        <w:t>二十四、对基金份额持有人的服务</w:t>
      </w:r>
      <w:bookmarkEnd w:id="27"/>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本基金管理人承诺为基金份额持有人提供一系列的服务。本基金管理人根据基金份额持有人的需要和市场的变化，有权增加或变更服务项目。主要服务内容如下：</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（一）持有人交易资料的寄送服务</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1、每次交易结束后，可在T+3个工作日后通过销售机构的网点查询和打印确认单。</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（二）网上直销服务</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业务，个人投资者可以直接通过本基金管理人网站的网上直销交易平台办理开户和本基金A类基金份额的申购、赎回和定期定额投资等业务。通过网上直销交易平台办理本基金A类基金份额申购和定期定额投资业务的个人投资者将享受申购费率的优惠，其他费率标准不变。具体优惠费率请参见公司网站列示的网上直销交易平台申购及定期定额投资费率表或相关公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本公司基金网上直销业务已开通的银行卡及各银行卡交易金额限额请参阅本公司网站。</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在条件成熟的时候，本基金管理人将根据基金网上直销业务的发展状况，适时调整可用于基金网上直销交易平台的银行卡种类，敬请个人投资者留意相关公告。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（三）信息咨询、查询服务</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（四）基金红利再投资</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本基金收益分配时，投资人可以选择将当期分配所得的红利再投资于本基金，再投资红利按红利再投日（即除息日）除息后的基金份额净值自动转为相应类别的基金份额，并免收申购费用。</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（五）定期定额投资计划</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投资人也可登录本基金管理人网站，直接提出有关本基金的问题和建议。</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（六）如本招募说明书存在任何您/贵机构无法理解的内容，可通过上述方式联系基金管理人。请确保投资前，您/贵机构已经全面理解了本招募说明书。</w:t>
      </w:r>
    </w:p>
    <w:p w:rsidR="00B439CC" w:rsidRDefault="004226F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737B3" w:rsidRDefault="004226F9">
      <w:pPr>
        <w:pStyle w:val="1"/>
        <w:snapToGrid w:val="0"/>
        <w:spacing w:beforeLines="0" w:before="240" w:after="240"/>
        <w:rPr>
          <w:rFonts w:ascii="宋体" w:hAnsi="宋体"/>
          <w:szCs w:val="30"/>
        </w:rPr>
      </w:pPr>
      <w:bookmarkStart w:id="28" w:name="_Toc244528806"/>
      <w:r>
        <w:rPr>
          <w:rFonts w:ascii="Times New Roman" w:hAnsi="Times New Roman"/>
          <w:sz w:val="30"/>
        </w:rPr>
        <w:lastRenderedPageBreak/>
        <w:t>二十五、其他应披露事项</w:t>
      </w:r>
      <w:bookmarkEnd w:id="28"/>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本招募说明书更新期间基金披露的其他重要事项</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交银施罗德基金管理有限公司关于交银施罗德环球精选价值证券投资基金于境外主要市场节假日暂停及节后恢复基金申购、赎回和定期定额投资业务的公告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2025-06-27</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交银施罗德基金管理有限公司关于交银施罗德环球精选价值证券投资基金于境外主要市场节假日暂停及节后恢复基金申购、赎回和定期定额投资业务的公告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2025-07-02</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交银施罗德环球精选价值证券投资基金基金产品资料概要更新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交银施罗德环球精选价值证券投资基金招募说明书更新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交银施罗德环球精选价值证券投资基金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交银施罗德基金管理有限公司关于交银施罗德环球精选价值证券投资基金于境外主要市场节假日暂停及节后恢复基金申购、赎回和定期定额投资业务的公告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2025-08-28</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交银施罗德环球精选价值证券投资基金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交银施罗德基金管理有限公司关于交银施罗德环球精选价值证券投资基金于境外主要市场节假日暂停及节后恢复基金申购、赎回和定期定额投资业务的公告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2025-10-27</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9</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交银施罗德环球精选价值证券投资基金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交银施罗德基金管理有限公司关于交银施罗德环球精选价值证券投资基金于境外主要市场节假日暂停及节后恢复基金申购、赎回和定期定额投资业务的公告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2025-11-25</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交银施罗德基金管理有限公司关于暂停旗下基金在中国农业银行股份有限公司办理定期定额赎回业务的公告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2025-12-15</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交银施罗德基金管理有限公司关于交银施罗德环球精选价值证券投资基金于境外主要市场节假日暂停及节后恢复基金申购、赎回和定期定额投资业务的公告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2025-12-22</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交银施罗德基金管理有限公司关于交银施罗德环球精选价值证券投资基金暂停及恢复大额申购（定期定额投资）业务的公告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2026-01-09</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交银施罗德基金管理有限公司关于交银施罗德环球精选价值证券投资基金分红公告</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2026-01-13</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交银施罗德基金管理有限公司关于交银施罗德环球精选价值证券投资基金于境外主要市场节假日暂停及节后恢复基金申购、赎回和定期定额投资业务的公告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2026-01-16</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交银施罗德环球精选价值证券投资基金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交银施罗德基金管理有限公司关于交银施罗德环球精选价值证券投资基金基金经理变更公告</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2026-01-22</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19</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交银施罗德环球精选价值证券投资基金基金产品资料概要更新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2026-01-27</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交银施罗德环球精选价值证券投资基金招募说明书更新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2026-01-27</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21</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交银施罗德基金管理有限公司关于交银施罗德环球精选价值证券投资基金调整境外投资顾问安排的公告</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2026-03-21</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22</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交银施罗德环球精选价值证券投资基金基金产品资料概要更新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2026-03-24</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23</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交银施罗德环球精选价值证券投资基金招募说明书更新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2026-03-24</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24</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25</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交银施罗德环球精选价值证券投资基金</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26</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交银施罗德基金管理有限公司关于交银施罗德环球精选价值证券投资基金于境外主要市场节假日暂停及节后恢复基金申购、赎回和定期定额投资业务的公告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2026-03-31</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27</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交银施罗德基金管理有限公司关于交银施罗德环球精选价值证券投资基金增加</w:t>
            </w:r>
            <w:r>
              <w:rPr>
                <w:rFonts w:ascii="Times New Roman" w:hAnsi="Times New Roman"/>
                <w:color w:val="000000"/>
                <w:kern w:val="0"/>
                <w:sz w:val="25"/>
                <w:szCs w:val="24"/>
              </w:rPr>
              <w:t>C</w:t>
            </w:r>
            <w:r>
              <w:rPr>
                <w:rFonts w:ascii="Times New Roman" w:hAnsi="Times New Roman"/>
                <w:color w:val="000000"/>
                <w:kern w:val="0"/>
                <w:sz w:val="25"/>
                <w:szCs w:val="24"/>
              </w:rPr>
              <w:t>类基金份额、增加侧袋机制、调整基金份额净值计算小数点后保留位数并修改基金合同和托管协议的公告</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2026-04-14</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28</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交银施罗德环球精选价值证券投资基金基金合同更新</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2026-04-14</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29</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交银施罗德环球精选价值证券投资基金托管协议更新</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2026-04-14</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交银施罗德环球精选价值证券投资基金招募说明书更新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2026-04-14</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31</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交银施罗德环球精选价值证券投资基金（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2026-04-14</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32</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交银施罗德环球精选价值证券投资基金（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2026-04-14</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33</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交银施罗德环球精选价值证券投资基金</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34</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交银施罗德基金管理有限公司关于交银施罗德环球精选价值证券投资基金于境外主要市场节假日暂停及节后恢复基金申购、赎回和定期定额投资业务的公告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2026-05-21</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35</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交银施罗德基金管理有限公司关于终止中证金牛（北京）基金销售有限公司办理相关销售业务的公告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2026-06-06</w:t>
            </w:r>
          </w:p>
        </w:tc>
      </w:tr>
      <w:tr w:rsidR="002737B3">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36</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2737B3" w:rsidRDefault="004226F9">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2026-06-13</w:t>
            </w:r>
          </w:p>
        </w:tc>
      </w:tr>
    </w:tbl>
    <w:p w:rsidR="00B439CC" w:rsidRDefault="004226F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737B3" w:rsidRDefault="004226F9">
      <w:pPr>
        <w:pStyle w:val="1"/>
        <w:snapToGrid w:val="0"/>
        <w:spacing w:beforeLines="0" w:before="240" w:after="240"/>
        <w:rPr>
          <w:rFonts w:ascii="宋体" w:hAnsi="宋体"/>
          <w:szCs w:val="30"/>
        </w:rPr>
      </w:pPr>
      <w:bookmarkStart w:id="29" w:name="_Toc244528807"/>
      <w:r>
        <w:rPr>
          <w:rFonts w:ascii="Times New Roman" w:hAnsi="Times New Roman"/>
          <w:sz w:val="30"/>
        </w:rPr>
        <w:lastRenderedPageBreak/>
        <w:t>二十六、招募说明书的存放及查阅方式</w:t>
      </w:r>
      <w:bookmarkEnd w:id="29"/>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4226F9"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2737B3" w:rsidRDefault="004226F9">
      <w:pPr>
        <w:pStyle w:val="1"/>
        <w:snapToGrid w:val="0"/>
        <w:spacing w:beforeLines="0" w:before="240" w:after="240"/>
        <w:rPr>
          <w:rFonts w:ascii="宋体" w:hAnsi="宋体"/>
          <w:szCs w:val="30"/>
        </w:rPr>
      </w:pPr>
      <w:bookmarkStart w:id="30" w:name="_Toc244528808"/>
      <w:r>
        <w:rPr>
          <w:rFonts w:ascii="Times New Roman" w:hAnsi="Times New Roman"/>
          <w:sz w:val="30"/>
        </w:rPr>
        <w:lastRenderedPageBreak/>
        <w:t>二十七、备查文件</w:t>
      </w:r>
      <w:bookmarkEnd w:id="30"/>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（一）中国证监会批准交银施罗德环球精选价值证券投资基金募集的文件</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（二）《交银施罗德环球精选价值证券投资基金基金合同》</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（三）《交银施罗德环球精选价值证券投资基金托管协议》</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2737B3" w:rsidRDefault="004226F9">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（六）关于申请募集交银施罗德环球精选价值证券投资基金之法律意见书</w:t>
      </w:r>
    </w:p>
    <w:sectPr w:rsidR="002737B3">
      <w:footerReference w:type="default" r:id="rId16"/>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372B" w:rsidRDefault="004226F9">
      <w:r>
        <w:separator/>
      </w:r>
    </w:p>
  </w:endnote>
  <w:endnote w:type="continuationSeparator" w:id="0">
    <w:p w:rsidR="00FC372B" w:rsidRDefault="004226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37B3" w:rsidRDefault="002737B3">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37B3" w:rsidRDefault="00EF433C">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2737B3" w:rsidRDefault="004226F9">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EF433C">
                  <w:rPr>
                    <w:rFonts w:ascii="Times New Roman" w:hAnsi="Times New Roman"/>
                    <w:noProof/>
                    <w:kern w:val="0"/>
                    <w:sz w:val="18"/>
                    <w:szCs w:val="18"/>
                  </w:rPr>
                  <w:t>3</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37B3" w:rsidRDefault="002737B3">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37B3" w:rsidRDefault="00EF433C">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2737B3" w:rsidRDefault="004226F9">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EF433C">
                  <w:rPr>
                    <w:rFonts w:ascii="Times New Roman" w:hAnsi="Times New Roman"/>
                    <w:noProof/>
                    <w:kern w:val="0"/>
                    <w:sz w:val="18"/>
                    <w:szCs w:val="18"/>
                  </w:rPr>
                  <w:t>165</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372B" w:rsidRDefault="004226F9">
      <w:r>
        <w:separator/>
      </w:r>
    </w:p>
  </w:footnote>
  <w:footnote w:type="continuationSeparator" w:id="0">
    <w:p w:rsidR="00FC372B" w:rsidRDefault="004226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37B3" w:rsidRDefault="002737B3">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37B3" w:rsidRDefault="004226F9">
    <w:pPr>
      <w:pStyle w:val="a3"/>
      <w:jc w:val="right"/>
      <w:rPr>
        <w:rFonts w:ascii="宋体" w:hAnsi="宋体"/>
      </w:rPr>
    </w:pPr>
    <w:r>
      <w:rPr>
        <w:rFonts w:ascii="宋体" w:hAnsi="宋体" w:hint="eastAsia"/>
      </w:rPr>
      <w:t>交银施罗德环球精选价值证券投资基金招募说明书更新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37B3" w:rsidRDefault="002737B3">
    <w:pPr>
      <w:pStyle w:val="10"/>
      <w:jc w:val="right"/>
    </w:pPr>
  </w:p>
  <w:p w:rsidR="002737B3" w:rsidRDefault="002737B3">
    <w:pPr>
      <w:pStyle w:val="10"/>
      <w:jc w:val="right"/>
    </w:pPr>
  </w:p>
  <w:p w:rsidR="002737B3" w:rsidRDefault="002737B3">
    <w:pPr>
      <w:pStyle w:val="a3"/>
      <w:jc w:val="right"/>
    </w:pPr>
  </w:p>
  <w:p w:rsidR="002737B3" w:rsidRDefault="004226F9">
    <w:pPr>
      <w:pStyle w:val="a3"/>
      <w:jc w:val="right"/>
      <w:rPr>
        <w:rFonts w:ascii="宋体" w:hAnsi="宋体"/>
      </w:rPr>
    </w:pPr>
    <w:r>
      <w:rPr>
        <w:rFonts w:ascii="宋体" w:hAnsi="宋体" w:hint="eastAsia"/>
      </w:rPr>
      <w:t>交银施罗德环球精选价值证券投资基金招募说明书更新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737B3" w:rsidRDefault="002737B3">
    <w:pPr>
      <w:pStyle w:val="a3"/>
      <w:jc w:val="right"/>
    </w:pPr>
  </w:p>
  <w:p w:rsidR="002737B3" w:rsidRDefault="002737B3">
    <w:pPr>
      <w:pStyle w:val="a3"/>
      <w:jc w:val="right"/>
    </w:pPr>
  </w:p>
  <w:p w:rsidR="002737B3" w:rsidRDefault="002737B3">
    <w:pPr>
      <w:pStyle w:val="a3"/>
      <w:jc w:val="right"/>
    </w:pPr>
  </w:p>
  <w:p w:rsidR="002737B3" w:rsidRDefault="004226F9">
    <w:pPr>
      <w:pStyle w:val="a3"/>
      <w:jc w:val="right"/>
      <w:rPr>
        <w:rFonts w:ascii="宋体" w:hAnsi="宋体"/>
      </w:rPr>
    </w:pPr>
    <w:r>
      <w:rPr>
        <w:rFonts w:ascii="宋体" w:hAnsi="宋体" w:hint="eastAsia"/>
      </w:rPr>
      <w:t>交银施罗德环球精选价值证券投资基金招募说明书更新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5"/>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37B3"/>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26F9"/>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433C"/>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372B"/>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5"/>
    <o:shapelayout v:ext="edit">
      <o:idmap v:ext="edit" data="3"/>
    </o:shapelayout>
  </w:shapeDefaults>
  <w:decimalSymbol w:val="."/>
  <w:listSeparator w:val=","/>
  <w15:docId w15:val="{6165C3EA-7D93-435E-9D6A-0401B6179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166</Pages>
  <Words>16536</Words>
  <Characters>94259</Characters>
  <Application>Microsoft Office Word</Application>
  <DocSecurity>0</DocSecurity>
  <Lines>785</Lines>
  <Paragraphs>221</Paragraphs>
  <ScaleCrop>false</ScaleCrop>
  <Company>Microsoft</Company>
  <LinksUpToDate>false</LinksUpToDate>
  <CharactersWithSpaces>110574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2026-11-02T08:19:00Z</dcterms:created>
  <dcterms:modified xsi:type="dcterms:W3CDTF">2026-11-02T08:19:00Z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