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6A306A">
      <w:pPr>
        <w:tabs>
          <w:tab w:val="left" w:pos="6660"/>
        </w:tabs>
        <w:spacing w:line="360" w:lineRule="auto"/>
        <w:jc w:val="center"/>
        <w:rPr>
          <w:bCs/>
          <w:sz w:val="44"/>
        </w:rPr>
      </w:pPr>
    </w:p>
    <w:p w14:paraId="33D03AA9">
      <w:pPr>
        <w:tabs>
          <w:tab w:val="left" w:pos="7553"/>
        </w:tabs>
        <w:jc w:val="left"/>
        <w:rPr>
          <w:b/>
          <w:sz w:val="52"/>
        </w:rPr>
      </w:pPr>
      <w:r>
        <w:rPr>
          <w:b/>
          <w:sz w:val="52"/>
        </w:rPr>
        <w:tab/>
      </w:r>
    </w:p>
    <w:p w14:paraId="56672B74">
      <w:pPr>
        <w:jc w:val="center"/>
        <w:rPr>
          <w:b/>
          <w:sz w:val="52"/>
        </w:rPr>
      </w:pPr>
    </w:p>
    <w:p w14:paraId="4EFAD49C">
      <w:pPr>
        <w:jc w:val="center"/>
        <w:rPr>
          <w:b/>
        </w:rPr>
      </w:pPr>
    </w:p>
    <w:p w14:paraId="07BB4BDA">
      <w:pPr>
        <w:jc w:val="center"/>
        <w:rPr>
          <w:b/>
          <w:sz w:val="52"/>
        </w:rPr>
      </w:pPr>
    </w:p>
    <w:p w14:paraId="3759A23E">
      <w:pPr>
        <w:jc w:val="center"/>
        <w:rPr>
          <w:b/>
          <w:sz w:val="48"/>
        </w:rPr>
      </w:pPr>
      <w:bookmarkStart w:id="0" w:name="_Toc139991724"/>
      <w:bookmarkStart w:id="1" w:name="_Toc123701381"/>
      <w:bookmarkStart w:id="2" w:name="_Toc139992299"/>
      <w:bookmarkStart w:id="3" w:name="_Toc123112261"/>
      <w:bookmarkStart w:id="4" w:name="_Toc123112222"/>
      <w:r>
        <w:rPr>
          <w:rFonts w:hint="eastAsia"/>
          <w:b/>
          <w:sz w:val="48"/>
        </w:rPr>
        <w:t>交银施罗德股息优化混合型</w:t>
      </w:r>
    </w:p>
    <w:p w14:paraId="04B1F945">
      <w:pPr>
        <w:jc w:val="center"/>
        <w:rPr>
          <w:b/>
          <w:sz w:val="48"/>
        </w:rPr>
      </w:pPr>
      <w:r>
        <w:rPr>
          <w:b/>
          <w:sz w:val="48"/>
        </w:rPr>
        <w:t>证券投资基金</w:t>
      </w:r>
      <w:bookmarkEnd w:id="0"/>
      <w:bookmarkEnd w:id="1"/>
      <w:bookmarkEnd w:id="2"/>
      <w:bookmarkEnd w:id="3"/>
      <w:bookmarkEnd w:id="4"/>
      <w:bookmarkStart w:id="5" w:name="_Toc123112262"/>
      <w:bookmarkStart w:id="6" w:name="_Toc123112223"/>
      <w:bookmarkStart w:id="7" w:name="_Toc139992300"/>
      <w:bookmarkStart w:id="8" w:name="_Toc139991725"/>
      <w:bookmarkStart w:id="9" w:name="_Toc123701382"/>
      <w:r>
        <w:rPr>
          <w:b/>
          <w:sz w:val="48"/>
        </w:rPr>
        <w:t>基金合同</w:t>
      </w:r>
      <w:bookmarkEnd w:id="5"/>
      <w:bookmarkEnd w:id="6"/>
      <w:bookmarkEnd w:id="7"/>
      <w:bookmarkEnd w:id="8"/>
      <w:bookmarkEnd w:id="9"/>
    </w:p>
    <w:p w14:paraId="3AB49040">
      <w:pPr>
        <w:jc w:val="center"/>
        <w:rPr>
          <w:b/>
          <w:sz w:val="52"/>
        </w:rPr>
      </w:pPr>
    </w:p>
    <w:p w14:paraId="3C0ECC54">
      <w:pPr>
        <w:jc w:val="center"/>
        <w:rPr>
          <w:b/>
          <w:sz w:val="52"/>
        </w:rPr>
      </w:pPr>
    </w:p>
    <w:p w14:paraId="1EC18DA1">
      <w:pPr>
        <w:jc w:val="center"/>
        <w:rPr>
          <w:b/>
          <w:sz w:val="52"/>
        </w:rPr>
      </w:pPr>
    </w:p>
    <w:p w14:paraId="02632E89">
      <w:pPr>
        <w:jc w:val="center"/>
        <w:rPr>
          <w:b/>
          <w:sz w:val="52"/>
        </w:rPr>
      </w:pPr>
    </w:p>
    <w:p w14:paraId="31FCF777">
      <w:pPr>
        <w:jc w:val="center"/>
        <w:rPr>
          <w:b/>
          <w:sz w:val="52"/>
        </w:rPr>
      </w:pPr>
    </w:p>
    <w:p w14:paraId="50AE64D3">
      <w:pPr>
        <w:jc w:val="center"/>
        <w:rPr>
          <w:b/>
          <w:sz w:val="52"/>
        </w:rPr>
      </w:pPr>
    </w:p>
    <w:p w14:paraId="4D5EE644">
      <w:pPr>
        <w:jc w:val="center"/>
        <w:rPr>
          <w:b/>
          <w:sz w:val="52"/>
        </w:rPr>
      </w:pPr>
    </w:p>
    <w:p w14:paraId="4CB4A2F5">
      <w:pPr>
        <w:rPr>
          <w:b/>
          <w:sz w:val="52"/>
        </w:rPr>
      </w:pPr>
    </w:p>
    <w:p w14:paraId="48DC6C31">
      <w:pPr>
        <w:rPr>
          <w:b/>
        </w:rPr>
      </w:pPr>
    </w:p>
    <w:p w14:paraId="4B2F6FD0">
      <w:pPr>
        <w:jc w:val="center"/>
        <w:rPr>
          <w:b/>
          <w:sz w:val="36"/>
        </w:rPr>
      </w:pPr>
      <w:bookmarkStart w:id="10" w:name="_Toc123112263"/>
      <w:bookmarkStart w:id="11" w:name="_Toc123112224"/>
      <w:bookmarkStart w:id="12" w:name="_Toc123701383"/>
      <w:bookmarkStart w:id="13" w:name="_Toc139991726"/>
      <w:bookmarkStart w:id="14" w:name="_Toc139992301"/>
      <w:r>
        <w:rPr>
          <w:b/>
          <w:sz w:val="36"/>
        </w:rPr>
        <w:t>基金管理人：</w:t>
      </w:r>
      <w:bookmarkEnd w:id="10"/>
      <w:bookmarkEnd w:id="11"/>
      <w:bookmarkEnd w:id="12"/>
      <w:bookmarkEnd w:id="13"/>
      <w:bookmarkEnd w:id="14"/>
      <w:r>
        <w:rPr>
          <w:rFonts w:hint="eastAsia"/>
          <w:b/>
          <w:sz w:val="36"/>
        </w:rPr>
        <w:t>交银施罗德基金管理有限公司</w:t>
      </w:r>
    </w:p>
    <w:p w14:paraId="75E15A7F">
      <w:pPr>
        <w:jc w:val="center"/>
        <w:rPr>
          <w:b/>
          <w:sz w:val="36"/>
        </w:rPr>
      </w:pPr>
      <w:bookmarkStart w:id="15" w:name="_Toc123112225"/>
      <w:bookmarkStart w:id="16" w:name="_Toc123112264"/>
      <w:bookmarkStart w:id="17" w:name="_Toc139991727"/>
      <w:bookmarkStart w:id="18" w:name="_Toc139992302"/>
      <w:bookmarkStart w:id="19" w:name="_Toc123701384"/>
      <w:r>
        <w:rPr>
          <w:b/>
          <w:sz w:val="36"/>
        </w:rPr>
        <w:t>基金托管人：</w:t>
      </w:r>
      <w:r>
        <w:rPr>
          <w:rFonts w:hint="eastAsia"/>
          <w:b/>
          <w:sz w:val="36"/>
        </w:rPr>
        <w:t>中国建设银行股份有限公司</w:t>
      </w:r>
      <w:bookmarkEnd w:id="15"/>
      <w:bookmarkEnd w:id="16"/>
      <w:bookmarkEnd w:id="17"/>
      <w:bookmarkEnd w:id="18"/>
      <w:bookmarkEnd w:id="19"/>
    </w:p>
    <w:p w14:paraId="6159B578">
      <w:pPr>
        <w:rPr>
          <w:bCs/>
          <w:sz w:val="28"/>
        </w:rPr>
      </w:pPr>
      <w:bookmarkStart w:id="20" w:name="_Toc123112266"/>
      <w:bookmarkStart w:id="21" w:name="_Toc123112227"/>
      <w:bookmarkStart w:id="22" w:name="_Toc123701386"/>
      <w:bookmarkStart w:id="23" w:name="_Toc139991729"/>
    </w:p>
    <w:p w14:paraId="0BE5F093">
      <w:pPr>
        <w:jc w:val="center"/>
        <w:rPr>
          <w:bCs/>
          <w:sz w:val="28"/>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720" w:num="1"/>
          <w:titlePg/>
          <w:docGrid w:type="lines" w:linePitch="312" w:charSpace="0"/>
        </w:sectPr>
      </w:pP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p w14:paraId="3DE7F308">
      <w:pPr>
        <w:jc w:val="center"/>
        <w:rPr>
          <w:bCs/>
          <w:sz w:val="28"/>
        </w:rPr>
      </w:pPr>
      <w:r>
        <w:rPr>
          <w:bCs/>
          <w:sz w:val="28"/>
        </w:rPr>
        <w:t>目录</w:t>
      </w:r>
      <w:bookmarkEnd w:id="20"/>
      <w:bookmarkEnd w:id="21"/>
      <w:bookmarkEnd w:id="22"/>
      <w:bookmarkEnd w:id="23"/>
    </w:p>
    <w:p w14:paraId="06634DE8">
      <w:pPr>
        <w:pStyle w:val="15"/>
        <w:rPr>
          <w:rFonts w:asciiTheme="minorHAnsi" w:hAnsiTheme="minorHAnsi" w:eastAsiaTheme="minorEastAsia" w:cstheme="minorBidi"/>
          <w:szCs w:val="22"/>
        </w:rPr>
      </w:pPr>
      <w:r>
        <w:rPr>
          <w:bCs/>
          <w:sz w:val="24"/>
        </w:rPr>
        <w:fldChar w:fldCharType="begin"/>
      </w:r>
      <w:r>
        <w:rPr>
          <w:bCs/>
          <w:sz w:val="24"/>
        </w:rPr>
        <w:instrText xml:space="preserve"> TOC \o "1-1" \h \z \u </w:instrText>
      </w:r>
      <w:r>
        <w:rPr>
          <w:bCs/>
          <w:sz w:val="24"/>
        </w:rPr>
        <w:fldChar w:fldCharType="separate"/>
      </w:r>
      <w:r>
        <w:fldChar w:fldCharType="begin"/>
      </w:r>
      <w:r>
        <w:instrText xml:space="preserve"> HYPERLINK \l "_Toc425241703" </w:instrText>
      </w:r>
      <w:r>
        <w:fldChar w:fldCharType="separate"/>
      </w:r>
      <w:r>
        <w:rPr>
          <w:rStyle w:val="25"/>
          <w:rFonts w:hint="eastAsia"/>
          <w:color w:val="auto"/>
        </w:rPr>
        <w:t>第一部分前言</w:t>
      </w:r>
      <w:r>
        <w:tab/>
      </w:r>
      <w:r>
        <w:fldChar w:fldCharType="begin"/>
      </w:r>
      <w:r>
        <w:instrText xml:space="preserve"> PAGEREF _Toc425241703 \h </w:instrText>
      </w:r>
      <w:r>
        <w:fldChar w:fldCharType="separate"/>
      </w:r>
      <w:r>
        <w:t>1</w:t>
      </w:r>
      <w:r>
        <w:fldChar w:fldCharType="end"/>
      </w:r>
      <w:r>
        <w:fldChar w:fldCharType="end"/>
      </w:r>
    </w:p>
    <w:p w14:paraId="2AB06226">
      <w:pPr>
        <w:pStyle w:val="15"/>
        <w:rPr>
          <w:rFonts w:asciiTheme="minorHAnsi" w:hAnsiTheme="minorHAnsi" w:eastAsiaTheme="minorEastAsia" w:cstheme="minorBidi"/>
          <w:szCs w:val="22"/>
        </w:rPr>
      </w:pPr>
      <w:r>
        <w:fldChar w:fldCharType="begin"/>
      </w:r>
      <w:r>
        <w:instrText xml:space="preserve"> HYPERLINK \l "_Toc425241704" </w:instrText>
      </w:r>
      <w:r>
        <w:fldChar w:fldCharType="separate"/>
      </w:r>
      <w:r>
        <w:rPr>
          <w:rStyle w:val="25"/>
          <w:rFonts w:hint="eastAsia"/>
          <w:color w:val="auto"/>
        </w:rPr>
        <w:t>第二部分释义</w:t>
      </w:r>
      <w:r>
        <w:tab/>
      </w:r>
      <w:r>
        <w:fldChar w:fldCharType="begin"/>
      </w:r>
      <w:r>
        <w:instrText xml:space="preserve"> PAGEREF _Toc425241704 \h </w:instrText>
      </w:r>
      <w:r>
        <w:fldChar w:fldCharType="separate"/>
      </w:r>
      <w:r>
        <w:t>3</w:t>
      </w:r>
      <w:r>
        <w:fldChar w:fldCharType="end"/>
      </w:r>
      <w:r>
        <w:fldChar w:fldCharType="end"/>
      </w:r>
    </w:p>
    <w:p w14:paraId="4BB20D5E">
      <w:pPr>
        <w:pStyle w:val="15"/>
        <w:rPr>
          <w:rFonts w:asciiTheme="minorHAnsi" w:hAnsiTheme="minorHAnsi" w:eastAsiaTheme="minorEastAsia" w:cstheme="minorBidi"/>
          <w:szCs w:val="22"/>
        </w:rPr>
      </w:pPr>
      <w:r>
        <w:fldChar w:fldCharType="begin"/>
      </w:r>
      <w:r>
        <w:instrText xml:space="preserve"> HYPERLINK \l "_Toc425241705" </w:instrText>
      </w:r>
      <w:r>
        <w:fldChar w:fldCharType="separate"/>
      </w:r>
      <w:r>
        <w:rPr>
          <w:rStyle w:val="25"/>
          <w:rFonts w:hint="eastAsia"/>
          <w:color w:val="auto"/>
        </w:rPr>
        <w:t>第三部分基金的基本情况</w:t>
      </w:r>
      <w:r>
        <w:tab/>
      </w:r>
      <w:r>
        <w:fldChar w:fldCharType="begin"/>
      </w:r>
      <w:r>
        <w:instrText xml:space="preserve"> PAGEREF _Toc425241705 \h </w:instrText>
      </w:r>
      <w:r>
        <w:fldChar w:fldCharType="separate"/>
      </w:r>
      <w:r>
        <w:t>8</w:t>
      </w:r>
      <w:r>
        <w:fldChar w:fldCharType="end"/>
      </w:r>
      <w:r>
        <w:fldChar w:fldCharType="end"/>
      </w:r>
    </w:p>
    <w:p w14:paraId="08B7A685">
      <w:pPr>
        <w:pStyle w:val="15"/>
        <w:rPr>
          <w:rFonts w:asciiTheme="minorHAnsi" w:hAnsiTheme="minorHAnsi" w:eastAsiaTheme="minorEastAsia" w:cstheme="minorBidi"/>
          <w:szCs w:val="22"/>
        </w:rPr>
      </w:pPr>
      <w:r>
        <w:fldChar w:fldCharType="begin"/>
      </w:r>
      <w:r>
        <w:instrText xml:space="preserve"> HYPERLINK \l "_Toc425241706" </w:instrText>
      </w:r>
      <w:r>
        <w:fldChar w:fldCharType="separate"/>
      </w:r>
      <w:r>
        <w:rPr>
          <w:rStyle w:val="25"/>
          <w:rFonts w:hint="eastAsia"/>
          <w:color w:val="auto"/>
        </w:rPr>
        <w:t>第四部分基金份额的发售</w:t>
      </w:r>
      <w:r>
        <w:tab/>
      </w:r>
      <w:r>
        <w:fldChar w:fldCharType="begin"/>
      </w:r>
      <w:r>
        <w:instrText xml:space="preserve"> PAGEREF _Toc425241706 \h </w:instrText>
      </w:r>
      <w:r>
        <w:fldChar w:fldCharType="separate"/>
      </w:r>
      <w:r>
        <w:t>9</w:t>
      </w:r>
      <w:r>
        <w:fldChar w:fldCharType="end"/>
      </w:r>
      <w:r>
        <w:fldChar w:fldCharType="end"/>
      </w:r>
    </w:p>
    <w:p w14:paraId="087BE7DA">
      <w:pPr>
        <w:pStyle w:val="15"/>
        <w:rPr>
          <w:rFonts w:asciiTheme="minorHAnsi" w:hAnsiTheme="minorHAnsi" w:eastAsiaTheme="minorEastAsia" w:cstheme="minorBidi"/>
          <w:szCs w:val="22"/>
        </w:rPr>
      </w:pPr>
      <w:r>
        <w:fldChar w:fldCharType="begin"/>
      </w:r>
      <w:r>
        <w:instrText xml:space="preserve"> HYPERLINK \l "_Toc425241707" </w:instrText>
      </w:r>
      <w:r>
        <w:fldChar w:fldCharType="separate"/>
      </w:r>
      <w:r>
        <w:rPr>
          <w:rStyle w:val="25"/>
          <w:rFonts w:hint="eastAsia"/>
          <w:color w:val="auto"/>
        </w:rPr>
        <w:t>第五部分基金备案</w:t>
      </w:r>
      <w:r>
        <w:tab/>
      </w:r>
      <w:r>
        <w:fldChar w:fldCharType="begin"/>
      </w:r>
      <w:r>
        <w:instrText xml:space="preserve"> PAGEREF _Toc425241707 \h </w:instrText>
      </w:r>
      <w:r>
        <w:fldChar w:fldCharType="separate"/>
      </w:r>
      <w:r>
        <w:t>11</w:t>
      </w:r>
      <w:r>
        <w:fldChar w:fldCharType="end"/>
      </w:r>
      <w:r>
        <w:fldChar w:fldCharType="end"/>
      </w:r>
    </w:p>
    <w:p w14:paraId="147A5E21">
      <w:pPr>
        <w:pStyle w:val="15"/>
        <w:rPr>
          <w:rFonts w:asciiTheme="minorHAnsi" w:hAnsiTheme="minorHAnsi" w:eastAsiaTheme="minorEastAsia" w:cstheme="minorBidi"/>
          <w:szCs w:val="22"/>
        </w:rPr>
      </w:pPr>
      <w:r>
        <w:fldChar w:fldCharType="begin"/>
      </w:r>
      <w:r>
        <w:instrText xml:space="preserve"> HYPERLINK \l "_Toc425241708" </w:instrText>
      </w:r>
      <w:r>
        <w:fldChar w:fldCharType="separate"/>
      </w:r>
      <w:r>
        <w:rPr>
          <w:rStyle w:val="25"/>
          <w:rFonts w:hint="eastAsia"/>
          <w:color w:val="auto"/>
        </w:rPr>
        <w:t>第六部分基金份额的申购与赎回</w:t>
      </w:r>
      <w:r>
        <w:tab/>
      </w:r>
      <w:r>
        <w:fldChar w:fldCharType="begin"/>
      </w:r>
      <w:r>
        <w:instrText xml:space="preserve"> PAGEREF _Toc425241708 \h </w:instrText>
      </w:r>
      <w:r>
        <w:fldChar w:fldCharType="separate"/>
      </w:r>
      <w:r>
        <w:t>12</w:t>
      </w:r>
      <w:r>
        <w:fldChar w:fldCharType="end"/>
      </w:r>
      <w:r>
        <w:fldChar w:fldCharType="end"/>
      </w:r>
    </w:p>
    <w:p w14:paraId="3579D9DA">
      <w:pPr>
        <w:pStyle w:val="15"/>
        <w:rPr>
          <w:rFonts w:asciiTheme="minorHAnsi" w:hAnsiTheme="minorHAnsi" w:eastAsiaTheme="minorEastAsia" w:cstheme="minorBidi"/>
          <w:szCs w:val="22"/>
        </w:rPr>
      </w:pPr>
      <w:r>
        <w:fldChar w:fldCharType="begin"/>
      </w:r>
      <w:r>
        <w:instrText xml:space="preserve"> HYPERLINK \l "_Toc425241709" </w:instrText>
      </w:r>
      <w:r>
        <w:fldChar w:fldCharType="separate"/>
      </w:r>
      <w:r>
        <w:rPr>
          <w:rStyle w:val="25"/>
          <w:rFonts w:hint="eastAsia"/>
          <w:color w:val="auto"/>
        </w:rPr>
        <w:t>第七部分基金合同当事人及权利义务</w:t>
      </w:r>
      <w:r>
        <w:tab/>
      </w:r>
      <w:r>
        <w:fldChar w:fldCharType="begin"/>
      </w:r>
      <w:r>
        <w:instrText xml:space="preserve"> PAGEREF _Toc425241709 \h </w:instrText>
      </w:r>
      <w:r>
        <w:fldChar w:fldCharType="separate"/>
      </w:r>
      <w:r>
        <w:t>20</w:t>
      </w:r>
      <w:r>
        <w:fldChar w:fldCharType="end"/>
      </w:r>
      <w:r>
        <w:fldChar w:fldCharType="end"/>
      </w:r>
    </w:p>
    <w:p w14:paraId="1EA74D13">
      <w:pPr>
        <w:pStyle w:val="15"/>
        <w:rPr>
          <w:rFonts w:asciiTheme="minorHAnsi" w:hAnsiTheme="minorHAnsi" w:eastAsiaTheme="minorEastAsia" w:cstheme="minorBidi"/>
          <w:szCs w:val="22"/>
        </w:rPr>
      </w:pPr>
      <w:r>
        <w:fldChar w:fldCharType="begin"/>
      </w:r>
      <w:r>
        <w:instrText xml:space="preserve"> HYPERLINK \l "_Toc425241710" </w:instrText>
      </w:r>
      <w:r>
        <w:fldChar w:fldCharType="separate"/>
      </w:r>
      <w:r>
        <w:rPr>
          <w:rStyle w:val="25"/>
          <w:rFonts w:hint="eastAsia"/>
          <w:color w:val="auto"/>
        </w:rPr>
        <w:t>第八部分基金份额持有人大会</w:t>
      </w:r>
      <w:r>
        <w:tab/>
      </w:r>
      <w:r>
        <w:fldChar w:fldCharType="begin"/>
      </w:r>
      <w:r>
        <w:instrText xml:space="preserve"> PAGEREF _Toc425241710 \h </w:instrText>
      </w:r>
      <w:r>
        <w:fldChar w:fldCharType="separate"/>
      </w:r>
      <w:r>
        <w:t>27</w:t>
      </w:r>
      <w:r>
        <w:fldChar w:fldCharType="end"/>
      </w:r>
      <w:r>
        <w:fldChar w:fldCharType="end"/>
      </w:r>
    </w:p>
    <w:p w14:paraId="13449351">
      <w:pPr>
        <w:pStyle w:val="15"/>
        <w:rPr>
          <w:rFonts w:asciiTheme="minorHAnsi" w:hAnsiTheme="minorHAnsi" w:eastAsiaTheme="minorEastAsia" w:cstheme="minorBidi"/>
          <w:szCs w:val="22"/>
        </w:rPr>
      </w:pPr>
      <w:r>
        <w:fldChar w:fldCharType="begin"/>
      </w:r>
      <w:r>
        <w:instrText xml:space="preserve"> HYPERLINK \l "_Toc425241711" </w:instrText>
      </w:r>
      <w:r>
        <w:fldChar w:fldCharType="separate"/>
      </w:r>
      <w:r>
        <w:rPr>
          <w:rStyle w:val="25"/>
          <w:rFonts w:hint="eastAsia"/>
          <w:color w:val="auto"/>
        </w:rPr>
        <w:t>第九部分基金管理人、基金托管人的更换条件和程序</w:t>
      </w:r>
      <w:r>
        <w:tab/>
      </w:r>
      <w:r>
        <w:fldChar w:fldCharType="begin"/>
      </w:r>
      <w:r>
        <w:instrText xml:space="preserve"> PAGEREF _Toc425241711 \h </w:instrText>
      </w:r>
      <w:r>
        <w:fldChar w:fldCharType="separate"/>
      </w:r>
      <w:r>
        <w:t>35</w:t>
      </w:r>
      <w:r>
        <w:fldChar w:fldCharType="end"/>
      </w:r>
      <w:r>
        <w:fldChar w:fldCharType="end"/>
      </w:r>
    </w:p>
    <w:p w14:paraId="48D453DB">
      <w:pPr>
        <w:pStyle w:val="15"/>
        <w:rPr>
          <w:rFonts w:asciiTheme="minorHAnsi" w:hAnsiTheme="minorHAnsi" w:eastAsiaTheme="minorEastAsia" w:cstheme="minorBidi"/>
          <w:szCs w:val="22"/>
        </w:rPr>
      </w:pPr>
      <w:r>
        <w:fldChar w:fldCharType="begin"/>
      </w:r>
      <w:r>
        <w:instrText xml:space="preserve"> HYPERLINK \l "_Toc425241712" </w:instrText>
      </w:r>
      <w:r>
        <w:fldChar w:fldCharType="separate"/>
      </w:r>
      <w:r>
        <w:rPr>
          <w:rStyle w:val="25"/>
          <w:rFonts w:hint="eastAsia"/>
          <w:color w:val="auto"/>
        </w:rPr>
        <w:t>第十部分基金的托管</w:t>
      </w:r>
      <w:r>
        <w:tab/>
      </w:r>
      <w:r>
        <w:fldChar w:fldCharType="begin"/>
      </w:r>
      <w:r>
        <w:instrText xml:space="preserve"> PAGEREF _Toc425241712 \h </w:instrText>
      </w:r>
      <w:r>
        <w:fldChar w:fldCharType="separate"/>
      </w:r>
      <w:r>
        <w:t>38</w:t>
      </w:r>
      <w:r>
        <w:fldChar w:fldCharType="end"/>
      </w:r>
      <w:r>
        <w:fldChar w:fldCharType="end"/>
      </w:r>
    </w:p>
    <w:p w14:paraId="14A1D2B3">
      <w:pPr>
        <w:pStyle w:val="15"/>
        <w:rPr>
          <w:rFonts w:asciiTheme="minorHAnsi" w:hAnsiTheme="minorHAnsi" w:eastAsiaTheme="minorEastAsia" w:cstheme="minorBidi"/>
          <w:szCs w:val="22"/>
        </w:rPr>
      </w:pPr>
      <w:r>
        <w:fldChar w:fldCharType="begin"/>
      </w:r>
      <w:r>
        <w:instrText xml:space="preserve"> HYPERLINK \l "_Toc425241713" </w:instrText>
      </w:r>
      <w:r>
        <w:fldChar w:fldCharType="separate"/>
      </w:r>
      <w:r>
        <w:rPr>
          <w:rStyle w:val="25"/>
          <w:rFonts w:hint="eastAsia"/>
          <w:color w:val="auto"/>
        </w:rPr>
        <w:t>第十一部分基金份额的登记</w:t>
      </w:r>
      <w:r>
        <w:tab/>
      </w:r>
      <w:r>
        <w:fldChar w:fldCharType="begin"/>
      </w:r>
      <w:r>
        <w:instrText xml:space="preserve"> PAGEREF _Toc425241713 \h </w:instrText>
      </w:r>
      <w:r>
        <w:fldChar w:fldCharType="separate"/>
      </w:r>
      <w:r>
        <w:t>39</w:t>
      </w:r>
      <w:r>
        <w:fldChar w:fldCharType="end"/>
      </w:r>
      <w:r>
        <w:fldChar w:fldCharType="end"/>
      </w:r>
    </w:p>
    <w:p w14:paraId="1F1CE436">
      <w:pPr>
        <w:pStyle w:val="15"/>
        <w:rPr>
          <w:rFonts w:asciiTheme="minorHAnsi" w:hAnsiTheme="minorHAnsi" w:eastAsiaTheme="minorEastAsia" w:cstheme="minorBidi"/>
          <w:szCs w:val="22"/>
        </w:rPr>
      </w:pPr>
      <w:r>
        <w:fldChar w:fldCharType="begin"/>
      </w:r>
      <w:r>
        <w:instrText xml:space="preserve"> HYPERLINK \l "_Toc425241714" </w:instrText>
      </w:r>
      <w:r>
        <w:fldChar w:fldCharType="separate"/>
      </w:r>
      <w:r>
        <w:rPr>
          <w:rStyle w:val="25"/>
          <w:rFonts w:hint="eastAsia"/>
          <w:color w:val="auto"/>
        </w:rPr>
        <w:t>第十二部分基金的投资</w:t>
      </w:r>
      <w:r>
        <w:tab/>
      </w:r>
      <w:r>
        <w:fldChar w:fldCharType="begin"/>
      </w:r>
      <w:r>
        <w:instrText xml:space="preserve"> PAGEREF _Toc425241714 \h </w:instrText>
      </w:r>
      <w:r>
        <w:fldChar w:fldCharType="separate"/>
      </w:r>
      <w:r>
        <w:t>41</w:t>
      </w:r>
      <w:r>
        <w:fldChar w:fldCharType="end"/>
      </w:r>
      <w:r>
        <w:fldChar w:fldCharType="end"/>
      </w:r>
    </w:p>
    <w:p w14:paraId="326BB486">
      <w:pPr>
        <w:pStyle w:val="15"/>
        <w:rPr>
          <w:rFonts w:asciiTheme="minorHAnsi" w:hAnsiTheme="minorHAnsi" w:eastAsiaTheme="minorEastAsia" w:cstheme="minorBidi"/>
          <w:szCs w:val="22"/>
        </w:rPr>
      </w:pPr>
      <w:r>
        <w:fldChar w:fldCharType="begin"/>
      </w:r>
      <w:r>
        <w:instrText xml:space="preserve"> HYPERLINK \l "_Toc425241715" </w:instrText>
      </w:r>
      <w:r>
        <w:fldChar w:fldCharType="separate"/>
      </w:r>
      <w:r>
        <w:rPr>
          <w:rStyle w:val="25"/>
          <w:rFonts w:hint="eastAsia"/>
          <w:color w:val="auto"/>
        </w:rPr>
        <w:t>第十三部分基金的财产</w:t>
      </w:r>
      <w:r>
        <w:tab/>
      </w:r>
      <w:r>
        <w:fldChar w:fldCharType="begin"/>
      </w:r>
      <w:r>
        <w:instrText xml:space="preserve"> PAGEREF _Toc425241715 \h </w:instrText>
      </w:r>
      <w:r>
        <w:fldChar w:fldCharType="separate"/>
      </w:r>
      <w:r>
        <w:t>51</w:t>
      </w:r>
      <w:r>
        <w:fldChar w:fldCharType="end"/>
      </w:r>
      <w:r>
        <w:fldChar w:fldCharType="end"/>
      </w:r>
    </w:p>
    <w:p w14:paraId="68F94867">
      <w:pPr>
        <w:pStyle w:val="15"/>
        <w:rPr>
          <w:rFonts w:asciiTheme="minorHAnsi" w:hAnsiTheme="minorHAnsi" w:eastAsiaTheme="minorEastAsia" w:cstheme="minorBidi"/>
          <w:szCs w:val="22"/>
        </w:rPr>
      </w:pPr>
      <w:r>
        <w:fldChar w:fldCharType="begin"/>
      </w:r>
      <w:r>
        <w:instrText xml:space="preserve"> HYPERLINK \l "_Toc425241716" </w:instrText>
      </w:r>
      <w:r>
        <w:fldChar w:fldCharType="separate"/>
      </w:r>
      <w:r>
        <w:rPr>
          <w:rStyle w:val="25"/>
          <w:rFonts w:hint="eastAsia"/>
          <w:color w:val="auto"/>
        </w:rPr>
        <w:t>第十四部分基金资产估值</w:t>
      </w:r>
      <w:r>
        <w:tab/>
      </w:r>
      <w:r>
        <w:fldChar w:fldCharType="begin"/>
      </w:r>
      <w:r>
        <w:instrText xml:space="preserve"> PAGEREF _Toc425241716 \h </w:instrText>
      </w:r>
      <w:r>
        <w:fldChar w:fldCharType="separate"/>
      </w:r>
      <w:r>
        <w:t>52</w:t>
      </w:r>
      <w:r>
        <w:fldChar w:fldCharType="end"/>
      </w:r>
      <w:r>
        <w:fldChar w:fldCharType="end"/>
      </w:r>
    </w:p>
    <w:p w14:paraId="3E5B7B73">
      <w:pPr>
        <w:pStyle w:val="15"/>
        <w:rPr>
          <w:rFonts w:asciiTheme="minorHAnsi" w:hAnsiTheme="minorHAnsi" w:eastAsiaTheme="minorEastAsia" w:cstheme="minorBidi"/>
          <w:szCs w:val="22"/>
        </w:rPr>
      </w:pPr>
      <w:r>
        <w:fldChar w:fldCharType="begin"/>
      </w:r>
      <w:r>
        <w:instrText xml:space="preserve"> HYPERLINK \l "_Toc425241717" </w:instrText>
      </w:r>
      <w:r>
        <w:fldChar w:fldCharType="separate"/>
      </w:r>
      <w:r>
        <w:rPr>
          <w:rStyle w:val="25"/>
          <w:rFonts w:hint="eastAsia"/>
          <w:color w:val="auto"/>
        </w:rPr>
        <w:t>第十五部分基金费用与税收</w:t>
      </w:r>
      <w:r>
        <w:tab/>
      </w:r>
      <w:r>
        <w:fldChar w:fldCharType="begin"/>
      </w:r>
      <w:r>
        <w:instrText xml:space="preserve"> PAGEREF _Toc425241717 \h </w:instrText>
      </w:r>
      <w:r>
        <w:fldChar w:fldCharType="separate"/>
      </w:r>
      <w:r>
        <w:t>58</w:t>
      </w:r>
      <w:r>
        <w:fldChar w:fldCharType="end"/>
      </w:r>
      <w:r>
        <w:fldChar w:fldCharType="end"/>
      </w:r>
    </w:p>
    <w:p w14:paraId="569BB10F">
      <w:pPr>
        <w:pStyle w:val="15"/>
        <w:rPr>
          <w:rFonts w:asciiTheme="minorHAnsi" w:hAnsiTheme="minorHAnsi" w:eastAsiaTheme="minorEastAsia" w:cstheme="minorBidi"/>
          <w:szCs w:val="22"/>
        </w:rPr>
      </w:pPr>
      <w:r>
        <w:fldChar w:fldCharType="begin"/>
      </w:r>
      <w:r>
        <w:instrText xml:space="preserve"> HYPERLINK \l "_Toc425241718" </w:instrText>
      </w:r>
      <w:r>
        <w:fldChar w:fldCharType="separate"/>
      </w:r>
      <w:r>
        <w:rPr>
          <w:rStyle w:val="25"/>
          <w:rFonts w:hint="eastAsia"/>
          <w:color w:val="auto"/>
        </w:rPr>
        <w:t>第十六部分基金的收益与分配</w:t>
      </w:r>
      <w:r>
        <w:tab/>
      </w:r>
      <w:r>
        <w:fldChar w:fldCharType="begin"/>
      </w:r>
      <w:r>
        <w:instrText xml:space="preserve"> PAGEREF _Toc425241718 \h </w:instrText>
      </w:r>
      <w:r>
        <w:fldChar w:fldCharType="separate"/>
      </w:r>
      <w:r>
        <w:t>60</w:t>
      </w:r>
      <w:r>
        <w:fldChar w:fldCharType="end"/>
      </w:r>
      <w:r>
        <w:fldChar w:fldCharType="end"/>
      </w:r>
    </w:p>
    <w:p w14:paraId="2DE474D3">
      <w:pPr>
        <w:pStyle w:val="15"/>
        <w:rPr>
          <w:rFonts w:asciiTheme="minorHAnsi" w:hAnsiTheme="minorHAnsi" w:eastAsiaTheme="minorEastAsia" w:cstheme="minorBidi"/>
          <w:szCs w:val="22"/>
        </w:rPr>
      </w:pPr>
      <w:r>
        <w:fldChar w:fldCharType="begin"/>
      </w:r>
      <w:r>
        <w:instrText xml:space="preserve"> HYPERLINK \l "_Toc425241719" </w:instrText>
      </w:r>
      <w:r>
        <w:fldChar w:fldCharType="separate"/>
      </w:r>
      <w:r>
        <w:rPr>
          <w:rStyle w:val="25"/>
          <w:rFonts w:hint="eastAsia"/>
          <w:color w:val="auto"/>
        </w:rPr>
        <w:t>第十七部分基金的会计与审计</w:t>
      </w:r>
      <w:r>
        <w:tab/>
      </w:r>
      <w:r>
        <w:fldChar w:fldCharType="begin"/>
      </w:r>
      <w:r>
        <w:instrText xml:space="preserve"> PAGEREF _Toc425241719 \h </w:instrText>
      </w:r>
      <w:r>
        <w:fldChar w:fldCharType="separate"/>
      </w:r>
      <w:r>
        <w:t>62</w:t>
      </w:r>
      <w:r>
        <w:fldChar w:fldCharType="end"/>
      </w:r>
      <w:r>
        <w:fldChar w:fldCharType="end"/>
      </w:r>
    </w:p>
    <w:p w14:paraId="30629D77">
      <w:pPr>
        <w:pStyle w:val="15"/>
        <w:rPr>
          <w:rFonts w:asciiTheme="minorHAnsi" w:hAnsiTheme="minorHAnsi" w:eastAsiaTheme="minorEastAsia" w:cstheme="minorBidi"/>
          <w:szCs w:val="22"/>
        </w:rPr>
      </w:pPr>
      <w:r>
        <w:fldChar w:fldCharType="begin"/>
      </w:r>
      <w:r>
        <w:instrText xml:space="preserve"> HYPERLINK \l "_Toc425241720" </w:instrText>
      </w:r>
      <w:r>
        <w:fldChar w:fldCharType="separate"/>
      </w:r>
      <w:r>
        <w:rPr>
          <w:rStyle w:val="25"/>
          <w:rFonts w:hint="eastAsia"/>
          <w:color w:val="auto"/>
        </w:rPr>
        <w:t>第十八部分基金的信息披露</w:t>
      </w:r>
      <w:r>
        <w:tab/>
      </w:r>
      <w:r>
        <w:fldChar w:fldCharType="begin"/>
      </w:r>
      <w:r>
        <w:instrText xml:space="preserve"> PAGEREF _Toc425241720 \h </w:instrText>
      </w:r>
      <w:r>
        <w:fldChar w:fldCharType="separate"/>
      </w:r>
      <w:r>
        <w:t>63</w:t>
      </w:r>
      <w:r>
        <w:fldChar w:fldCharType="end"/>
      </w:r>
      <w:r>
        <w:fldChar w:fldCharType="end"/>
      </w:r>
    </w:p>
    <w:p w14:paraId="523FBDC3">
      <w:pPr>
        <w:pStyle w:val="15"/>
        <w:rPr>
          <w:rFonts w:asciiTheme="minorHAnsi" w:hAnsiTheme="minorHAnsi" w:eastAsiaTheme="minorEastAsia" w:cstheme="minorBidi"/>
          <w:szCs w:val="22"/>
        </w:rPr>
      </w:pPr>
      <w:r>
        <w:fldChar w:fldCharType="begin"/>
      </w:r>
      <w:r>
        <w:instrText xml:space="preserve"> HYPERLINK \l "_Toc425241721" </w:instrText>
      </w:r>
      <w:r>
        <w:fldChar w:fldCharType="separate"/>
      </w:r>
      <w:r>
        <w:rPr>
          <w:rStyle w:val="25"/>
          <w:rFonts w:hint="eastAsia"/>
          <w:color w:val="auto"/>
        </w:rPr>
        <w:t>第十九部分基金合同的变更、终止与基金财产的清算</w:t>
      </w:r>
      <w:r>
        <w:tab/>
      </w:r>
      <w:r>
        <w:fldChar w:fldCharType="begin"/>
      </w:r>
      <w:r>
        <w:instrText xml:space="preserve"> PAGEREF _Toc425241721 \h </w:instrText>
      </w:r>
      <w:r>
        <w:fldChar w:fldCharType="separate"/>
      </w:r>
      <w:r>
        <w:t>70</w:t>
      </w:r>
      <w:r>
        <w:fldChar w:fldCharType="end"/>
      </w:r>
      <w:r>
        <w:fldChar w:fldCharType="end"/>
      </w:r>
    </w:p>
    <w:p w14:paraId="725FD261">
      <w:pPr>
        <w:pStyle w:val="15"/>
        <w:rPr>
          <w:rFonts w:asciiTheme="minorHAnsi" w:hAnsiTheme="minorHAnsi" w:eastAsiaTheme="minorEastAsia" w:cstheme="minorBidi"/>
          <w:szCs w:val="22"/>
        </w:rPr>
      </w:pPr>
      <w:r>
        <w:fldChar w:fldCharType="begin"/>
      </w:r>
      <w:r>
        <w:instrText xml:space="preserve"> HYPERLINK \l "_Toc425241722" </w:instrText>
      </w:r>
      <w:r>
        <w:fldChar w:fldCharType="separate"/>
      </w:r>
      <w:r>
        <w:rPr>
          <w:rStyle w:val="25"/>
          <w:rFonts w:hint="eastAsia"/>
          <w:color w:val="auto"/>
        </w:rPr>
        <w:t>第二十部分违约责任</w:t>
      </w:r>
      <w:r>
        <w:tab/>
      </w:r>
      <w:r>
        <w:fldChar w:fldCharType="begin"/>
      </w:r>
      <w:r>
        <w:instrText xml:space="preserve"> PAGEREF _Toc425241722 \h </w:instrText>
      </w:r>
      <w:r>
        <w:fldChar w:fldCharType="separate"/>
      </w:r>
      <w:r>
        <w:t>72</w:t>
      </w:r>
      <w:r>
        <w:fldChar w:fldCharType="end"/>
      </w:r>
      <w:r>
        <w:fldChar w:fldCharType="end"/>
      </w:r>
    </w:p>
    <w:p w14:paraId="6116CCB2">
      <w:pPr>
        <w:pStyle w:val="15"/>
        <w:rPr>
          <w:rFonts w:asciiTheme="minorHAnsi" w:hAnsiTheme="minorHAnsi" w:eastAsiaTheme="minorEastAsia" w:cstheme="minorBidi"/>
          <w:szCs w:val="22"/>
        </w:rPr>
      </w:pPr>
      <w:r>
        <w:fldChar w:fldCharType="begin"/>
      </w:r>
      <w:r>
        <w:instrText xml:space="preserve"> HYPERLINK \l "_Toc425241723" </w:instrText>
      </w:r>
      <w:r>
        <w:fldChar w:fldCharType="separate"/>
      </w:r>
      <w:r>
        <w:rPr>
          <w:rStyle w:val="25"/>
          <w:rFonts w:hint="eastAsia"/>
          <w:color w:val="auto"/>
        </w:rPr>
        <w:t>第二十一部分争议的处理和适用的法律</w:t>
      </w:r>
      <w:r>
        <w:tab/>
      </w:r>
      <w:r>
        <w:fldChar w:fldCharType="begin"/>
      </w:r>
      <w:r>
        <w:instrText xml:space="preserve"> PAGEREF _Toc425241723 \h </w:instrText>
      </w:r>
      <w:r>
        <w:fldChar w:fldCharType="separate"/>
      </w:r>
      <w:r>
        <w:t>73</w:t>
      </w:r>
      <w:r>
        <w:fldChar w:fldCharType="end"/>
      </w:r>
      <w:r>
        <w:fldChar w:fldCharType="end"/>
      </w:r>
    </w:p>
    <w:p w14:paraId="42B7B370">
      <w:pPr>
        <w:pStyle w:val="15"/>
        <w:rPr>
          <w:rFonts w:asciiTheme="minorHAnsi" w:hAnsiTheme="minorHAnsi" w:eastAsiaTheme="minorEastAsia" w:cstheme="minorBidi"/>
          <w:szCs w:val="22"/>
        </w:rPr>
      </w:pPr>
      <w:r>
        <w:fldChar w:fldCharType="begin"/>
      </w:r>
      <w:r>
        <w:instrText xml:space="preserve"> HYPERLINK \l "_Toc425241724" </w:instrText>
      </w:r>
      <w:r>
        <w:fldChar w:fldCharType="separate"/>
      </w:r>
      <w:r>
        <w:rPr>
          <w:rStyle w:val="25"/>
          <w:rFonts w:hint="eastAsia"/>
          <w:color w:val="auto"/>
        </w:rPr>
        <w:t>第二十二部分基金合同的效力</w:t>
      </w:r>
      <w:r>
        <w:tab/>
      </w:r>
      <w:r>
        <w:fldChar w:fldCharType="begin"/>
      </w:r>
      <w:r>
        <w:instrText xml:space="preserve"> PAGEREF _Toc425241724 \h </w:instrText>
      </w:r>
      <w:r>
        <w:fldChar w:fldCharType="separate"/>
      </w:r>
      <w:r>
        <w:t>74</w:t>
      </w:r>
      <w:r>
        <w:fldChar w:fldCharType="end"/>
      </w:r>
      <w:r>
        <w:fldChar w:fldCharType="end"/>
      </w:r>
    </w:p>
    <w:p w14:paraId="1C6BA34F">
      <w:pPr>
        <w:pStyle w:val="15"/>
        <w:rPr>
          <w:rFonts w:asciiTheme="minorHAnsi" w:hAnsiTheme="minorHAnsi" w:eastAsiaTheme="minorEastAsia" w:cstheme="minorBidi"/>
          <w:szCs w:val="22"/>
        </w:rPr>
      </w:pPr>
      <w:r>
        <w:fldChar w:fldCharType="begin"/>
      </w:r>
      <w:r>
        <w:instrText xml:space="preserve"> HYPERLINK \l "_Toc425241725" </w:instrText>
      </w:r>
      <w:r>
        <w:fldChar w:fldCharType="separate"/>
      </w:r>
      <w:r>
        <w:rPr>
          <w:rStyle w:val="25"/>
          <w:rFonts w:hint="eastAsia"/>
          <w:color w:val="auto"/>
        </w:rPr>
        <w:t>第二十三部分其他事项</w:t>
      </w:r>
      <w:r>
        <w:tab/>
      </w:r>
      <w:r>
        <w:fldChar w:fldCharType="begin"/>
      </w:r>
      <w:r>
        <w:instrText xml:space="preserve"> PAGEREF _Toc425241725 \h </w:instrText>
      </w:r>
      <w:r>
        <w:fldChar w:fldCharType="separate"/>
      </w:r>
      <w:r>
        <w:t>75</w:t>
      </w:r>
      <w:r>
        <w:fldChar w:fldCharType="end"/>
      </w:r>
      <w:r>
        <w:fldChar w:fldCharType="end"/>
      </w:r>
    </w:p>
    <w:p w14:paraId="6864DC72">
      <w:pPr>
        <w:pStyle w:val="15"/>
        <w:rPr>
          <w:rFonts w:asciiTheme="minorHAnsi" w:hAnsiTheme="minorHAnsi" w:eastAsiaTheme="minorEastAsia" w:cstheme="minorBidi"/>
          <w:szCs w:val="22"/>
        </w:rPr>
      </w:pPr>
      <w:r>
        <w:fldChar w:fldCharType="begin"/>
      </w:r>
      <w:r>
        <w:instrText xml:space="preserve"> HYPERLINK \l "_Toc425241726" </w:instrText>
      </w:r>
      <w:r>
        <w:fldChar w:fldCharType="separate"/>
      </w:r>
      <w:r>
        <w:rPr>
          <w:rStyle w:val="25"/>
          <w:rFonts w:hint="eastAsia"/>
          <w:color w:val="auto"/>
        </w:rPr>
        <w:t>第二十四部分基金合同内容摘要</w:t>
      </w:r>
      <w:r>
        <w:tab/>
      </w:r>
      <w:r>
        <w:fldChar w:fldCharType="begin"/>
      </w:r>
      <w:r>
        <w:instrText xml:space="preserve"> PAGEREF _Toc425241726 \h </w:instrText>
      </w:r>
      <w:r>
        <w:fldChar w:fldCharType="separate"/>
      </w:r>
      <w:r>
        <w:t>76</w:t>
      </w:r>
      <w:r>
        <w:fldChar w:fldCharType="end"/>
      </w:r>
      <w:r>
        <w:fldChar w:fldCharType="end"/>
      </w:r>
    </w:p>
    <w:p w14:paraId="68270CE2">
      <w:pPr>
        <w:pStyle w:val="2"/>
        <w:spacing w:before="0" w:after="0"/>
        <w:jc w:val="left"/>
        <w:rPr>
          <w:rFonts w:ascii="Times New Roman"/>
          <w:b w:val="0"/>
          <w:bCs/>
          <w:color w:val="auto"/>
          <w:kern w:val="2"/>
        </w:rPr>
        <w:sectPr>
          <w:headerReference r:id="rId8"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kern w:val="2"/>
        </w:rPr>
        <w:fldChar w:fldCharType="end"/>
      </w:r>
      <w:bookmarkStart w:id="24" w:name="_Toc141703880"/>
      <w:bookmarkStart w:id="25" w:name="_Toc23386"/>
      <w:bookmarkStart w:id="26" w:name="_Toc6306"/>
      <w:bookmarkStart w:id="27" w:name="_Toc26897"/>
      <w:bookmarkStart w:id="28" w:name="_Toc4867"/>
      <w:bookmarkStart w:id="29" w:name="_Toc139991730"/>
      <w:bookmarkStart w:id="30" w:name="_Toc15517"/>
      <w:bookmarkStart w:id="31" w:name="_Toc29629"/>
      <w:bookmarkStart w:id="32" w:name="_Toc32639"/>
      <w:bookmarkStart w:id="33" w:name="_Toc8727"/>
      <w:bookmarkStart w:id="34" w:name="_Toc30935"/>
      <w:bookmarkStart w:id="35" w:name="_Toc4966"/>
      <w:bookmarkStart w:id="36" w:name="_Toc123112268"/>
      <w:bookmarkStart w:id="37" w:name="_Toc123112229"/>
      <w:bookmarkStart w:id="38" w:name="_Toc123701389"/>
      <w:bookmarkStart w:id="39" w:name="_Toc233456271"/>
    </w:p>
    <w:p w14:paraId="7D400267">
      <w:pPr>
        <w:pStyle w:val="2"/>
        <w:spacing w:before="0" w:after="0"/>
        <w:jc w:val="center"/>
        <w:rPr>
          <w:rFonts w:ascii="Times New Roman"/>
          <w:color w:val="auto"/>
          <w:sz w:val="30"/>
        </w:rPr>
      </w:pPr>
      <w:bookmarkStart w:id="40" w:name="_Toc425241703"/>
      <w:r>
        <w:rPr>
          <w:rFonts w:ascii="Times New Roman"/>
          <w:color w:val="auto"/>
          <w:sz w:val="30"/>
        </w:rPr>
        <w:t>第一部分前言</w:t>
      </w:r>
      <w:bookmarkEnd w:id="24"/>
      <w:bookmarkEnd w:id="25"/>
      <w:bookmarkEnd w:id="26"/>
      <w:bookmarkEnd w:id="27"/>
      <w:bookmarkEnd w:id="28"/>
      <w:bookmarkEnd w:id="29"/>
      <w:bookmarkEnd w:id="30"/>
      <w:bookmarkEnd w:id="31"/>
      <w:bookmarkEnd w:id="32"/>
      <w:bookmarkEnd w:id="33"/>
      <w:bookmarkEnd w:id="34"/>
      <w:bookmarkEnd w:id="35"/>
      <w:bookmarkEnd w:id="40"/>
    </w:p>
    <w:p w14:paraId="1BA9334A">
      <w:pPr>
        <w:rPr>
          <w:bCs/>
        </w:rPr>
      </w:pPr>
      <w:bookmarkStart w:id="41" w:name="_Toc139991731"/>
    </w:p>
    <w:bookmarkEnd w:id="36"/>
    <w:bookmarkEnd w:id="37"/>
    <w:bookmarkEnd w:id="38"/>
    <w:bookmarkEnd w:id="41"/>
    <w:p w14:paraId="45216823">
      <w:pPr>
        <w:spacing w:line="360" w:lineRule="auto"/>
        <w:ind w:firstLine="480" w:firstLineChars="200"/>
        <w:rPr>
          <w:bCs/>
          <w:sz w:val="24"/>
        </w:rPr>
      </w:pPr>
      <w:bookmarkStart w:id="42" w:name="_Toc258829399"/>
      <w:r>
        <w:rPr>
          <w:rFonts w:hint="eastAsia"/>
          <w:bCs/>
          <w:sz w:val="24"/>
        </w:rPr>
        <w:t>一、</w:t>
      </w:r>
      <w:r>
        <w:rPr>
          <w:bCs/>
          <w:sz w:val="24"/>
        </w:rPr>
        <w:t>订立本基金合同的目的、依据和原则</w:t>
      </w:r>
    </w:p>
    <w:p w14:paraId="2DA4E0C8">
      <w:pPr>
        <w:spacing w:line="360" w:lineRule="auto"/>
        <w:ind w:firstLine="480" w:firstLineChars="20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295018DF">
      <w:pPr>
        <w:spacing w:line="360" w:lineRule="auto"/>
        <w:ind w:firstLine="480" w:firstLineChars="200"/>
        <w:rPr>
          <w:bCs/>
          <w:sz w:val="24"/>
        </w:rPr>
      </w:pPr>
      <w:r>
        <w:rPr>
          <w:bCs/>
          <w:sz w:val="24"/>
        </w:rPr>
        <w:t>2</w:t>
      </w:r>
      <w:r>
        <w:rPr>
          <w:rFonts w:hint="eastAsia"/>
          <w:bCs/>
          <w:sz w:val="24"/>
        </w:rPr>
        <w:t>、</w:t>
      </w:r>
      <w:r>
        <w:rPr>
          <w:bCs/>
          <w:sz w:val="24"/>
        </w:rPr>
        <w:t>订立本基金合同的依据是《中华人民共和国合同法》、《中华人民共和国证券投资基金法》(以下简称“《基金法》”)、《</w:t>
      </w:r>
      <w:r>
        <w:rPr>
          <w:rFonts w:hint="eastAsia"/>
          <w:bCs/>
          <w:sz w:val="24"/>
        </w:rPr>
        <w:t>公开募集</w:t>
      </w:r>
      <w:r>
        <w:rPr>
          <w:bCs/>
          <w:sz w:val="24"/>
        </w:rPr>
        <w:t>证券投资基金运作管理办法》(以下简称“《运作办法》”)、《证券投资基金销售管理办法》(以下简称“《销售办法》”)、《</w:t>
      </w:r>
      <w:r>
        <w:rPr>
          <w:rFonts w:hint="eastAsia"/>
          <w:bCs/>
          <w:sz w:val="24"/>
        </w:rPr>
        <w:t>公开募集</w:t>
      </w:r>
      <w:r>
        <w:rPr>
          <w:bCs/>
          <w:sz w:val="24"/>
        </w:rPr>
        <w:t>证券投资基金信息披露管理办法》(以下简称“《信息披露办法》”)</w:t>
      </w:r>
      <w:r>
        <w:rPr>
          <w:rFonts w:hint="eastAsia"/>
          <w:bCs/>
          <w:sz w:val="24"/>
        </w:rPr>
        <w:t>、《公开募集开放式证券投资基金流动性风险管理规定》（以下简称“《流动性规定》”）</w:t>
      </w:r>
      <w:r>
        <w:rPr>
          <w:bCs/>
          <w:sz w:val="24"/>
        </w:rPr>
        <w:t>和其他有关法律法规。</w:t>
      </w:r>
    </w:p>
    <w:p w14:paraId="00D6F00B">
      <w:pPr>
        <w:spacing w:line="360" w:lineRule="auto"/>
        <w:ind w:firstLine="480" w:firstLineChars="200"/>
        <w:rPr>
          <w:bCs/>
          <w:sz w:val="24"/>
        </w:rPr>
      </w:pPr>
      <w:r>
        <w:rPr>
          <w:bCs/>
          <w:sz w:val="24"/>
        </w:rPr>
        <w:t>3</w:t>
      </w:r>
      <w:r>
        <w:rPr>
          <w:rFonts w:hint="eastAsia"/>
          <w:bCs/>
          <w:sz w:val="24"/>
        </w:rPr>
        <w:t>、</w:t>
      </w:r>
      <w:r>
        <w:rPr>
          <w:bCs/>
          <w:sz w:val="24"/>
        </w:rPr>
        <w:t>订立本基金合同的原则是平等自愿、诚实信用、充分保护投资人合法权益。</w:t>
      </w:r>
    </w:p>
    <w:p w14:paraId="50C37EFB">
      <w:pPr>
        <w:spacing w:line="360" w:lineRule="auto"/>
        <w:ind w:firstLine="480" w:firstLineChars="20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6EB4ABC">
      <w:pPr>
        <w:spacing w:line="360" w:lineRule="auto"/>
        <w:ind w:firstLine="480" w:firstLineChars="20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3B9EF4A6">
      <w:pPr>
        <w:spacing w:line="360" w:lineRule="auto"/>
        <w:ind w:firstLine="480" w:firstLineChars="200"/>
        <w:rPr>
          <w:bCs/>
          <w:sz w:val="24"/>
        </w:rPr>
      </w:pPr>
      <w:r>
        <w:rPr>
          <w:rFonts w:hint="eastAsia"/>
          <w:bCs/>
          <w:sz w:val="24"/>
        </w:rPr>
        <w:t>三、交银施罗德股息优化混合型证券投资基金</w:t>
      </w:r>
      <w:r>
        <w:rPr>
          <w:bCs/>
          <w:sz w:val="24"/>
        </w:rPr>
        <w:t>由基金管理人依照《基金法》、基金合同及其他有关规定募集，并经中国证券监督管理委员会</w:t>
      </w:r>
      <w:r>
        <w:rPr>
          <w:rFonts w:hint="eastAsia"/>
          <w:bCs/>
          <w:sz w:val="24"/>
        </w:rPr>
        <w:t>（</w:t>
      </w:r>
      <w:r>
        <w:rPr>
          <w:bCs/>
          <w:sz w:val="24"/>
        </w:rPr>
        <w:t>以下简称“中国证监会”</w:t>
      </w:r>
      <w:r>
        <w:rPr>
          <w:rFonts w:hint="eastAsia"/>
          <w:bCs/>
          <w:sz w:val="24"/>
        </w:rPr>
        <w:t>）注册</w:t>
      </w:r>
      <w:r>
        <w:rPr>
          <w:bCs/>
          <w:sz w:val="24"/>
        </w:rPr>
        <w:t>。</w:t>
      </w:r>
    </w:p>
    <w:p w14:paraId="5C1C62F0">
      <w:pPr>
        <w:spacing w:line="360" w:lineRule="auto"/>
        <w:ind w:firstLine="480" w:firstLineChars="200"/>
        <w:rPr>
          <w:bCs/>
          <w:sz w:val="24"/>
        </w:rPr>
      </w:pPr>
      <w:r>
        <w:rPr>
          <w:bCs/>
          <w:sz w:val="24"/>
        </w:rPr>
        <w:t>中国证监会对本基金募集的</w:t>
      </w:r>
      <w:r>
        <w:rPr>
          <w:rFonts w:hint="eastAsia"/>
          <w:bCs/>
          <w:sz w:val="24"/>
        </w:rPr>
        <w:t>注册</w:t>
      </w:r>
      <w:r>
        <w:rPr>
          <w:bCs/>
          <w:sz w:val="24"/>
        </w:rPr>
        <w:t>，并不表明其对本基金的价值和收益做出实质性判断或保证，也不表明投资于本基金没有风险。</w:t>
      </w:r>
      <w:r>
        <w:rPr>
          <w:rFonts w:hint="eastAsia"/>
          <w:bCs/>
          <w:sz w:val="24"/>
        </w:rPr>
        <w:t>中国证监会不对基金的投资价值及市场前景等作出实质性判断或者保证</w:t>
      </w:r>
      <w:r>
        <w:rPr>
          <w:bCs/>
          <w:sz w:val="24"/>
        </w:rPr>
        <w:t>。</w:t>
      </w:r>
    </w:p>
    <w:p w14:paraId="480C7AD6">
      <w:pPr>
        <w:spacing w:line="360" w:lineRule="auto"/>
        <w:ind w:firstLine="480" w:firstLineChars="200"/>
        <w:rPr>
          <w:bCs/>
          <w:sz w:val="24"/>
        </w:rPr>
      </w:pPr>
      <w:r>
        <w:rPr>
          <w:bCs/>
          <w:sz w:val="24"/>
        </w:rPr>
        <w:t>基金管理人依照恪尽职守、诚实信用、谨慎勤勉的原则管理和运用基金财产，但不保证投资于本基金一定盈利，也不保证最低收益。</w:t>
      </w:r>
    </w:p>
    <w:p w14:paraId="21D141EE">
      <w:pPr>
        <w:spacing w:line="360" w:lineRule="auto"/>
        <w:ind w:firstLine="480" w:firstLineChars="200"/>
        <w:rPr>
          <w:bCs/>
          <w:sz w:val="24"/>
        </w:rPr>
      </w:pPr>
      <w:r>
        <w:rPr>
          <w:rFonts w:hint="eastAsia"/>
          <w:bCs/>
          <w:sz w:val="24"/>
        </w:rPr>
        <w:t>投资者应当认真阅读基金合同、基金招募说明书、基金产品资料概要等信息披露文件，自主判断基金的投资价值，自主做出投资决策，自行承担投资风险。</w:t>
      </w:r>
    </w:p>
    <w:p w14:paraId="73DB074C">
      <w:pPr>
        <w:spacing w:line="360" w:lineRule="auto"/>
        <w:ind w:firstLine="480" w:firstLineChars="200"/>
        <w:rPr>
          <w:bCs/>
          <w:sz w:val="24"/>
        </w:rPr>
      </w:pPr>
      <w:r>
        <w:rPr>
          <w:rFonts w:hint="eastAsia"/>
          <w:bCs/>
          <w:sz w:val="24"/>
        </w:rPr>
        <w:t>四、</w:t>
      </w:r>
      <w:r>
        <w:rPr>
          <w:bCs/>
          <w:sz w:val="24"/>
        </w:rPr>
        <w:t>基金管理人、基金托管人在本基金合同之外披露涉及本基金的信息，其内容涉及界定基金合同当事人之间权利义务关系的，如与基金合同有冲突，以基金合同为准。</w:t>
      </w:r>
    </w:p>
    <w:p w14:paraId="34B3E586">
      <w:pPr>
        <w:spacing w:line="360" w:lineRule="auto"/>
        <w:ind w:firstLine="480" w:firstLineChars="200"/>
        <w:rPr>
          <w:bCs/>
          <w:sz w:val="24"/>
        </w:rPr>
      </w:pPr>
      <w:r>
        <w:rPr>
          <w:rFonts w:hint="eastAsia"/>
          <w:bCs/>
          <w:sz w:val="24"/>
        </w:rPr>
        <w:t>五、本基金按照中国法律法规成立并运作，若</w:t>
      </w:r>
      <w:r>
        <w:rPr>
          <w:bCs/>
          <w:sz w:val="24"/>
        </w:rPr>
        <w:t>基金合同的内容与届时有效的法律法规的强制性规定不一致，应当以届时有效的法律法规的规定为准。</w:t>
      </w:r>
    </w:p>
    <w:p w14:paraId="26B3EFE5">
      <w:pPr>
        <w:spacing w:line="360" w:lineRule="auto"/>
        <w:ind w:firstLine="480" w:firstLineChars="200"/>
        <w:rPr>
          <w:bCs/>
          <w:sz w:val="24"/>
        </w:rPr>
      </w:pPr>
      <w:r>
        <w:rPr>
          <w:bCs/>
          <w:sz w:val="24"/>
        </w:rPr>
        <w:t>六</w:t>
      </w:r>
      <w:r>
        <w:rPr>
          <w:rFonts w:hint="eastAsia"/>
          <w:bCs/>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基金招募说明书</w:t>
      </w:r>
      <w:r>
        <w:rPr>
          <w:bCs/>
          <w:sz w:val="24"/>
        </w:rPr>
        <w:t>“</w:t>
      </w:r>
      <w:r>
        <w:rPr>
          <w:rFonts w:hint="eastAsia"/>
          <w:bCs/>
          <w:sz w:val="24"/>
        </w:rPr>
        <w:t>风险揭示</w:t>
      </w:r>
      <w:r>
        <w:rPr>
          <w:bCs/>
          <w:sz w:val="24"/>
        </w:rPr>
        <w:t>”</w:t>
      </w:r>
      <w:r>
        <w:rPr>
          <w:rFonts w:hint="eastAsia"/>
          <w:bCs/>
          <w:sz w:val="24"/>
        </w:rPr>
        <w:t>章节内容。</w:t>
      </w:r>
    </w:p>
    <w:p w14:paraId="6006DE56">
      <w:pPr>
        <w:spacing w:line="360" w:lineRule="auto"/>
        <w:ind w:firstLine="480" w:firstLineChars="200"/>
        <w:rPr>
          <w:bCs/>
          <w:sz w:val="24"/>
        </w:rPr>
      </w:pPr>
      <w:r>
        <w:rPr>
          <w:rFonts w:hint="eastAsia"/>
          <w:bCs/>
          <w:sz w:val="24"/>
        </w:rPr>
        <w:t>本基金可根据投资策略需要或市场环境的变化，选择将部分基金资产投资于存托凭证或选择不将基金资产投资于存托凭证，基金资产并非必然投资存托凭证。</w:t>
      </w:r>
    </w:p>
    <w:p w14:paraId="05F7EA68">
      <w:pPr>
        <w:spacing w:line="360" w:lineRule="auto"/>
        <w:ind w:firstLine="480" w:firstLineChars="200"/>
        <w:rPr>
          <w:bCs/>
          <w:sz w:val="24"/>
        </w:rPr>
      </w:pPr>
      <w:r>
        <w:rPr>
          <w:bCs/>
          <w:sz w:val="24"/>
        </w:rPr>
        <w:t>七</w:t>
      </w:r>
      <w:r>
        <w:rPr>
          <w:rFonts w:hint="eastAsia"/>
          <w:bCs/>
          <w:sz w:val="24"/>
        </w:rPr>
        <w:t>、本基金合同关于基金产品资料概要的编制、披露及更新等内容，将不晚于2020年9月1日起执行。</w:t>
      </w:r>
    </w:p>
    <w:p w14:paraId="74790358">
      <w:pPr>
        <w:pStyle w:val="2"/>
        <w:spacing w:before="0" w:after="0"/>
        <w:jc w:val="center"/>
        <w:rPr>
          <w:rFonts w:ascii="Times New Roman"/>
          <w:color w:val="auto"/>
          <w:sz w:val="30"/>
        </w:rPr>
      </w:pPr>
      <w:r>
        <w:rPr>
          <w:rFonts w:ascii="Times New Roman"/>
          <w:b w:val="0"/>
          <w:bCs/>
          <w:color w:val="auto"/>
          <w:kern w:val="44"/>
          <w:sz w:val="21"/>
        </w:rPr>
        <w:br w:type="page"/>
      </w:r>
      <w:bookmarkStart w:id="43" w:name="_Toc2465"/>
      <w:bookmarkStart w:id="44" w:name="_Toc819"/>
      <w:bookmarkStart w:id="45" w:name="_Toc425241704"/>
      <w:bookmarkStart w:id="46" w:name="_Toc24860"/>
      <w:bookmarkStart w:id="47" w:name="_Toc22864"/>
      <w:bookmarkStart w:id="48" w:name="_Toc6617"/>
      <w:bookmarkStart w:id="49" w:name="_Toc13020"/>
      <w:bookmarkStart w:id="50" w:name="_Toc15067"/>
      <w:bookmarkStart w:id="51" w:name="_Toc19592"/>
      <w:bookmarkStart w:id="52" w:name="_Toc21301"/>
      <w:bookmarkStart w:id="53" w:name="_Toc3224"/>
      <w:r>
        <w:rPr>
          <w:rFonts w:ascii="Times New Roman"/>
          <w:color w:val="auto"/>
          <w:sz w:val="30"/>
        </w:rPr>
        <w:t>第二部分释义</w:t>
      </w:r>
      <w:bookmarkEnd w:id="39"/>
      <w:bookmarkEnd w:id="42"/>
      <w:bookmarkEnd w:id="43"/>
      <w:bookmarkEnd w:id="44"/>
      <w:bookmarkEnd w:id="45"/>
      <w:bookmarkEnd w:id="46"/>
      <w:bookmarkEnd w:id="47"/>
      <w:bookmarkEnd w:id="48"/>
      <w:bookmarkEnd w:id="49"/>
      <w:bookmarkEnd w:id="50"/>
      <w:bookmarkEnd w:id="51"/>
      <w:bookmarkEnd w:id="52"/>
      <w:bookmarkEnd w:id="53"/>
    </w:p>
    <w:p w14:paraId="6182339D">
      <w:pPr>
        <w:autoSpaceDE w:val="0"/>
        <w:autoSpaceDN w:val="0"/>
        <w:adjustRightInd w:val="0"/>
        <w:spacing w:line="360" w:lineRule="auto"/>
        <w:ind w:firstLine="420" w:firstLineChars="200"/>
        <w:rPr>
          <w:bCs/>
        </w:rPr>
      </w:pPr>
    </w:p>
    <w:p w14:paraId="5B02F68F">
      <w:pPr>
        <w:spacing w:line="360" w:lineRule="auto"/>
        <w:ind w:firstLine="480" w:firstLineChars="200"/>
        <w:rPr>
          <w:bCs/>
          <w:sz w:val="24"/>
        </w:rPr>
      </w:pPr>
      <w:r>
        <w:rPr>
          <w:bCs/>
          <w:sz w:val="24"/>
        </w:rPr>
        <w:t>在本基金合同中，除非文意另有所指，下列词语或简称具有如下含义：</w:t>
      </w:r>
    </w:p>
    <w:p w14:paraId="1BB9B4B4">
      <w:pPr>
        <w:spacing w:line="360" w:lineRule="auto"/>
        <w:ind w:firstLine="480" w:firstLineChars="200"/>
        <w:rPr>
          <w:bCs/>
          <w:sz w:val="24"/>
        </w:rPr>
      </w:pPr>
      <w:r>
        <w:rPr>
          <w:bCs/>
          <w:sz w:val="24"/>
        </w:rPr>
        <w:t>1</w:t>
      </w:r>
      <w:r>
        <w:rPr>
          <w:rFonts w:hint="eastAsia"/>
          <w:bCs/>
          <w:sz w:val="24"/>
        </w:rPr>
        <w:t>、</w:t>
      </w:r>
      <w:r>
        <w:rPr>
          <w:bCs/>
          <w:sz w:val="24"/>
        </w:rPr>
        <w:t>基金或本基金：指</w:t>
      </w:r>
      <w:r>
        <w:rPr>
          <w:rFonts w:hint="eastAsia"/>
          <w:bCs/>
          <w:sz w:val="24"/>
        </w:rPr>
        <w:t>交银施罗德股息优化混合型证券投资基金</w:t>
      </w:r>
    </w:p>
    <w:p w14:paraId="3E560E52">
      <w:pPr>
        <w:spacing w:line="360" w:lineRule="auto"/>
        <w:ind w:firstLine="480" w:firstLineChars="200"/>
        <w:rPr>
          <w:bCs/>
          <w:sz w:val="24"/>
        </w:rPr>
      </w:pPr>
      <w:r>
        <w:rPr>
          <w:bCs/>
          <w:sz w:val="24"/>
        </w:rPr>
        <w:t>2</w:t>
      </w:r>
      <w:r>
        <w:rPr>
          <w:rFonts w:hint="eastAsia"/>
          <w:bCs/>
          <w:sz w:val="24"/>
        </w:rPr>
        <w:t>、</w:t>
      </w:r>
      <w:r>
        <w:rPr>
          <w:bCs/>
          <w:sz w:val="24"/>
        </w:rPr>
        <w:t>基金管理人</w:t>
      </w:r>
      <w:r>
        <w:rPr>
          <w:rFonts w:hint="eastAsia"/>
          <w:bCs/>
          <w:sz w:val="24"/>
        </w:rPr>
        <w:t>或本基金管理人</w:t>
      </w:r>
      <w:r>
        <w:rPr>
          <w:bCs/>
          <w:sz w:val="24"/>
        </w:rPr>
        <w:t>：指</w:t>
      </w:r>
      <w:r>
        <w:rPr>
          <w:rFonts w:hint="eastAsia"/>
          <w:bCs/>
          <w:sz w:val="24"/>
        </w:rPr>
        <w:t>交银施罗德基金管理有限公司</w:t>
      </w:r>
    </w:p>
    <w:p w14:paraId="06702AB9">
      <w:pPr>
        <w:spacing w:line="360" w:lineRule="auto"/>
        <w:ind w:firstLine="480" w:firstLineChars="200"/>
        <w:rPr>
          <w:bCs/>
          <w:sz w:val="24"/>
        </w:rPr>
      </w:pPr>
      <w:r>
        <w:rPr>
          <w:bCs/>
          <w:sz w:val="24"/>
        </w:rPr>
        <w:t>3</w:t>
      </w:r>
      <w:r>
        <w:rPr>
          <w:rFonts w:hint="eastAsia"/>
          <w:bCs/>
          <w:sz w:val="24"/>
        </w:rPr>
        <w:t>、</w:t>
      </w:r>
      <w:r>
        <w:rPr>
          <w:bCs/>
          <w:sz w:val="24"/>
        </w:rPr>
        <w:t>基金托管人</w:t>
      </w:r>
      <w:r>
        <w:rPr>
          <w:rFonts w:hint="eastAsia"/>
          <w:bCs/>
          <w:sz w:val="24"/>
        </w:rPr>
        <w:t>或本基金托管人</w:t>
      </w:r>
      <w:r>
        <w:rPr>
          <w:bCs/>
          <w:sz w:val="24"/>
        </w:rPr>
        <w:t>：指</w:t>
      </w:r>
      <w:r>
        <w:rPr>
          <w:rFonts w:hint="eastAsia"/>
          <w:bCs/>
          <w:sz w:val="24"/>
        </w:rPr>
        <w:t>中国建设银行股份有限公司</w:t>
      </w:r>
    </w:p>
    <w:p w14:paraId="1823A0E6">
      <w:pPr>
        <w:spacing w:line="360" w:lineRule="auto"/>
        <w:ind w:firstLine="480" w:firstLineChars="200"/>
        <w:rPr>
          <w:bCs/>
          <w:sz w:val="24"/>
        </w:rPr>
      </w:pPr>
      <w:r>
        <w:rPr>
          <w:bCs/>
          <w:sz w:val="24"/>
        </w:rPr>
        <w:t>4</w:t>
      </w:r>
      <w:r>
        <w:rPr>
          <w:rFonts w:hint="eastAsia"/>
          <w:bCs/>
          <w:sz w:val="24"/>
        </w:rPr>
        <w:t>、</w:t>
      </w:r>
      <w:r>
        <w:rPr>
          <w:bCs/>
          <w:sz w:val="24"/>
        </w:rPr>
        <w:t>基金合同</w:t>
      </w:r>
      <w:r>
        <w:rPr>
          <w:rFonts w:hint="eastAsia"/>
          <w:bCs/>
          <w:sz w:val="24"/>
        </w:rPr>
        <w:t>、《基金合同》</w:t>
      </w:r>
      <w:r>
        <w:rPr>
          <w:bCs/>
          <w:sz w:val="24"/>
        </w:rPr>
        <w:t>或本基金合同：指《</w:t>
      </w:r>
      <w:r>
        <w:rPr>
          <w:rFonts w:hint="eastAsia"/>
          <w:bCs/>
          <w:sz w:val="24"/>
        </w:rPr>
        <w:t>交银施罗德股息优化混合型证券投资基金</w:t>
      </w:r>
      <w:r>
        <w:rPr>
          <w:bCs/>
          <w:sz w:val="24"/>
        </w:rPr>
        <w:t>基金合同》及对本基金合同的任何有效修订和补充</w:t>
      </w:r>
    </w:p>
    <w:p w14:paraId="29E0590B">
      <w:pPr>
        <w:spacing w:line="360" w:lineRule="auto"/>
        <w:ind w:firstLine="480" w:firstLineChars="20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交银施罗德股息优化混合型证券投资基金</w:t>
      </w:r>
      <w:r>
        <w:rPr>
          <w:bCs/>
          <w:sz w:val="24"/>
        </w:rPr>
        <w:t>托管协议》及对该托管协议的任何有效修订和补充</w:t>
      </w:r>
    </w:p>
    <w:p w14:paraId="1EC4CB66">
      <w:pPr>
        <w:spacing w:line="360" w:lineRule="auto"/>
        <w:ind w:firstLine="480" w:firstLineChars="200"/>
        <w:rPr>
          <w:bCs/>
          <w:sz w:val="24"/>
        </w:rPr>
      </w:pPr>
      <w:r>
        <w:rPr>
          <w:bCs/>
          <w:sz w:val="24"/>
        </w:rPr>
        <w:t>6</w:t>
      </w:r>
      <w:r>
        <w:rPr>
          <w:rFonts w:hint="eastAsia"/>
          <w:bCs/>
          <w:sz w:val="24"/>
        </w:rPr>
        <w:t>、</w:t>
      </w:r>
      <w:r>
        <w:rPr>
          <w:bCs/>
          <w:sz w:val="24"/>
        </w:rPr>
        <w:t>招募说明书</w:t>
      </w:r>
      <w:r>
        <w:rPr>
          <w:rFonts w:hint="eastAsia"/>
          <w:bCs/>
          <w:sz w:val="24"/>
        </w:rPr>
        <w:t>或《招募说明书》</w:t>
      </w:r>
      <w:r>
        <w:rPr>
          <w:bCs/>
          <w:sz w:val="24"/>
        </w:rPr>
        <w:t>：指《</w:t>
      </w:r>
      <w:r>
        <w:rPr>
          <w:rFonts w:hint="eastAsia"/>
          <w:bCs/>
          <w:sz w:val="24"/>
        </w:rPr>
        <w:t>交银施罗德股息优化混合型证券投资基金</w:t>
      </w:r>
      <w:r>
        <w:rPr>
          <w:bCs/>
          <w:sz w:val="24"/>
        </w:rPr>
        <w:t>招募说明书》及其更新</w:t>
      </w:r>
    </w:p>
    <w:p w14:paraId="7EBBB7B5">
      <w:pPr>
        <w:spacing w:line="360" w:lineRule="auto"/>
        <w:ind w:firstLine="480" w:firstLineChars="200"/>
        <w:rPr>
          <w:bCs/>
          <w:sz w:val="24"/>
        </w:rPr>
      </w:pPr>
      <w:r>
        <w:rPr>
          <w:bCs/>
          <w:sz w:val="24"/>
        </w:rPr>
        <w:t>7</w:t>
      </w:r>
      <w:r>
        <w:rPr>
          <w:rFonts w:hint="eastAsia"/>
          <w:bCs/>
          <w:sz w:val="24"/>
        </w:rPr>
        <w:t>、</w:t>
      </w:r>
      <w:r>
        <w:rPr>
          <w:bCs/>
          <w:sz w:val="24"/>
        </w:rPr>
        <w:t>基金份额发售公告：指《</w:t>
      </w:r>
      <w:r>
        <w:rPr>
          <w:rFonts w:hint="eastAsia"/>
          <w:bCs/>
          <w:sz w:val="24"/>
        </w:rPr>
        <w:t>交银施罗德股息优化混合型证券投资基金</w:t>
      </w:r>
      <w:r>
        <w:rPr>
          <w:bCs/>
          <w:sz w:val="24"/>
        </w:rPr>
        <w:t>基金份额发售公告》</w:t>
      </w:r>
    </w:p>
    <w:p w14:paraId="40DE2A51">
      <w:pPr>
        <w:spacing w:line="360" w:lineRule="auto"/>
        <w:ind w:firstLine="480" w:firstLineChars="200"/>
        <w:rPr>
          <w:bCs/>
          <w:sz w:val="24"/>
        </w:rPr>
      </w:pPr>
      <w:r>
        <w:rPr>
          <w:rFonts w:hint="eastAsia"/>
          <w:bCs/>
          <w:sz w:val="24"/>
        </w:rPr>
        <w:t>8、基金产品资料概要：指《交银施罗德股息优化混合型证券投资基金基金产品资料概要》及其更新（本基金合同关于基金产品资料概要的编制、披露及更新等内容，将不晚于2020年9月1日起执行）</w:t>
      </w:r>
    </w:p>
    <w:p w14:paraId="028388AE">
      <w:pPr>
        <w:spacing w:line="360" w:lineRule="auto"/>
        <w:ind w:firstLine="480" w:firstLineChars="200"/>
        <w:rPr>
          <w:bCs/>
          <w:sz w:val="24"/>
        </w:rPr>
      </w:pPr>
      <w:r>
        <w:rPr>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0B1F1A4F">
      <w:pPr>
        <w:spacing w:line="360" w:lineRule="auto"/>
        <w:ind w:firstLine="480" w:firstLineChars="200"/>
        <w:rPr>
          <w:bCs/>
          <w:sz w:val="24"/>
        </w:rPr>
      </w:pPr>
      <w:r>
        <w:rPr>
          <w:bCs/>
          <w:sz w:val="24"/>
        </w:rPr>
        <w:t>10</w:t>
      </w:r>
      <w:r>
        <w:rPr>
          <w:rFonts w:hint="eastAsia"/>
          <w:bCs/>
          <w:sz w:val="24"/>
        </w:rPr>
        <w:t>、</w:t>
      </w:r>
      <w:r>
        <w:rPr>
          <w:bCs/>
          <w:sz w:val="24"/>
        </w:rPr>
        <w:t>《基金法》：指《中华人民共和国证券投资基金法》</w:t>
      </w:r>
      <w:r>
        <w:rPr>
          <w:rFonts w:hint="eastAsia"/>
          <w:bCs/>
          <w:sz w:val="24"/>
        </w:rPr>
        <w:t>及</w:t>
      </w:r>
      <w:r>
        <w:rPr>
          <w:bCs/>
          <w:sz w:val="24"/>
        </w:rPr>
        <w:t>颁布机关对其不时做出的修订</w:t>
      </w:r>
    </w:p>
    <w:p w14:paraId="43410ACA">
      <w:pPr>
        <w:spacing w:line="360" w:lineRule="auto"/>
        <w:ind w:firstLine="480" w:firstLineChars="200"/>
        <w:rPr>
          <w:bCs/>
          <w:sz w:val="24"/>
        </w:rPr>
      </w:pPr>
      <w:r>
        <w:rPr>
          <w:bCs/>
          <w:sz w:val="24"/>
        </w:rPr>
        <w:t>11</w:t>
      </w:r>
      <w:r>
        <w:rPr>
          <w:rFonts w:hint="eastAsia"/>
          <w:bCs/>
          <w:sz w:val="24"/>
        </w:rPr>
        <w:t>、</w:t>
      </w:r>
      <w:r>
        <w:rPr>
          <w:bCs/>
          <w:sz w:val="24"/>
        </w:rPr>
        <w:t>《销售办法》：指《证券投资基金销售管理办法》及颁布机关对其不时做出的修订</w:t>
      </w:r>
    </w:p>
    <w:p w14:paraId="3147B9CC">
      <w:pPr>
        <w:spacing w:line="360" w:lineRule="auto"/>
        <w:ind w:firstLine="480" w:firstLineChars="200"/>
        <w:rPr>
          <w:bCs/>
          <w:sz w:val="24"/>
        </w:rPr>
      </w:pPr>
      <w:r>
        <w:rPr>
          <w:bCs/>
          <w:sz w:val="24"/>
        </w:rPr>
        <w:t>12</w:t>
      </w:r>
      <w:r>
        <w:rPr>
          <w:rFonts w:hint="eastAsia"/>
          <w:bCs/>
          <w:sz w:val="24"/>
        </w:rPr>
        <w:t>、</w:t>
      </w:r>
      <w:r>
        <w:rPr>
          <w:bCs/>
          <w:sz w:val="24"/>
        </w:rPr>
        <w:t>《信息披露办法》：指《</w:t>
      </w:r>
      <w:r>
        <w:rPr>
          <w:rFonts w:hint="eastAsia"/>
          <w:bCs/>
          <w:sz w:val="24"/>
        </w:rPr>
        <w:t>公开募集</w:t>
      </w:r>
      <w:r>
        <w:rPr>
          <w:bCs/>
          <w:sz w:val="24"/>
        </w:rPr>
        <w:t>证券投资基金信息披露管理办法》及颁布机关对其不时做出的修订</w:t>
      </w:r>
    </w:p>
    <w:p w14:paraId="27AF8A2C">
      <w:pPr>
        <w:spacing w:line="360" w:lineRule="auto"/>
        <w:ind w:firstLine="480" w:firstLineChars="200"/>
        <w:rPr>
          <w:bCs/>
          <w:sz w:val="24"/>
        </w:rPr>
      </w:pPr>
      <w:r>
        <w:rPr>
          <w:bCs/>
          <w:sz w:val="24"/>
        </w:rPr>
        <w:t>13</w:t>
      </w:r>
      <w:r>
        <w:rPr>
          <w:rFonts w:hint="eastAsia"/>
          <w:bCs/>
          <w:sz w:val="24"/>
        </w:rPr>
        <w:t>、</w:t>
      </w:r>
      <w:r>
        <w:rPr>
          <w:bCs/>
          <w:sz w:val="24"/>
        </w:rPr>
        <w:t>《运作办法》：指《</w:t>
      </w:r>
      <w:r>
        <w:rPr>
          <w:rFonts w:hint="eastAsia"/>
          <w:bCs/>
          <w:sz w:val="24"/>
        </w:rPr>
        <w:t>公开募集</w:t>
      </w:r>
      <w:r>
        <w:rPr>
          <w:bCs/>
          <w:sz w:val="24"/>
        </w:rPr>
        <w:t>证券投资基金运作管理办法》及颁布机关对其不时做出的修订</w:t>
      </w:r>
    </w:p>
    <w:p w14:paraId="14548344">
      <w:pPr>
        <w:spacing w:line="360" w:lineRule="auto"/>
        <w:ind w:firstLine="480" w:firstLineChars="200"/>
        <w:rPr>
          <w:bCs/>
          <w:sz w:val="24"/>
        </w:rPr>
      </w:pPr>
      <w:r>
        <w:rPr>
          <w:bCs/>
          <w:sz w:val="24"/>
        </w:rPr>
        <w:t>14</w:t>
      </w:r>
      <w:r>
        <w:rPr>
          <w:rFonts w:hint="eastAsia"/>
          <w:bCs/>
          <w:sz w:val="24"/>
        </w:rPr>
        <w:t>、《流动性规定》：指中国证监会2017年8月31日颁布、同年10月1日实施的《公开募集开放式证券投资基金流动性风险管理规定》及颁布机关对其不时做出的修订</w:t>
      </w:r>
    </w:p>
    <w:p w14:paraId="093C93E9">
      <w:pPr>
        <w:spacing w:line="360" w:lineRule="auto"/>
        <w:ind w:firstLine="480" w:firstLineChars="200"/>
        <w:rPr>
          <w:bCs/>
          <w:sz w:val="24"/>
        </w:rPr>
      </w:pPr>
      <w:r>
        <w:rPr>
          <w:bCs/>
          <w:sz w:val="24"/>
        </w:rPr>
        <w:t>15</w:t>
      </w:r>
      <w:r>
        <w:rPr>
          <w:rFonts w:hint="eastAsia"/>
          <w:bCs/>
          <w:sz w:val="24"/>
        </w:rPr>
        <w:t>、</w:t>
      </w:r>
      <w:r>
        <w:rPr>
          <w:bCs/>
          <w:sz w:val="24"/>
        </w:rPr>
        <w:t>中国证监会：指中国证券监督管理委员会</w:t>
      </w:r>
    </w:p>
    <w:p w14:paraId="7402FAB4">
      <w:pPr>
        <w:spacing w:line="360" w:lineRule="auto"/>
        <w:ind w:firstLine="480" w:firstLineChars="200"/>
        <w:rPr>
          <w:bCs/>
          <w:sz w:val="24"/>
        </w:rPr>
      </w:pPr>
      <w:r>
        <w:rPr>
          <w:bCs/>
          <w:sz w:val="24"/>
        </w:rPr>
        <w:t>16</w:t>
      </w:r>
      <w:r>
        <w:rPr>
          <w:rFonts w:hint="eastAsia"/>
          <w:bCs/>
          <w:sz w:val="24"/>
        </w:rPr>
        <w:t>、</w:t>
      </w:r>
      <w:r>
        <w:rPr>
          <w:bCs/>
          <w:sz w:val="24"/>
        </w:rPr>
        <w:t>银行业监督管理机构：指中国人民银行和/或中国银行业监督管理委员会</w:t>
      </w:r>
    </w:p>
    <w:p w14:paraId="3158B9E9">
      <w:pPr>
        <w:spacing w:line="360" w:lineRule="auto"/>
        <w:ind w:firstLine="480" w:firstLineChars="200"/>
        <w:rPr>
          <w:bCs/>
          <w:sz w:val="24"/>
        </w:rPr>
      </w:pPr>
      <w:r>
        <w:rPr>
          <w:bCs/>
          <w:sz w:val="24"/>
        </w:rPr>
        <w:t>17</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33E0F67D">
      <w:pPr>
        <w:spacing w:line="360" w:lineRule="auto"/>
        <w:ind w:firstLine="480" w:firstLineChars="200"/>
        <w:rPr>
          <w:bCs/>
          <w:sz w:val="24"/>
        </w:rPr>
      </w:pPr>
      <w:r>
        <w:rPr>
          <w:bCs/>
          <w:sz w:val="24"/>
        </w:rPr>
        <w:t>18</w:t>
      </w:r>
      <w:r>
        <w:rPr>
          <w:rFonts w:hint="eastAsia"/>
          <w:bCs/>
          <w:sz w:val="24"/>
        </w:rPr>
        <w:t>、</w:t>
      </w:r>
      <w:r>
        <w:rPr>
          <w:bCs/>
          <w:sz w:val="24"/>
        </w:rPr>
        <w:t>个人投资者：指依据有关法律法规规定可投资于证券投资基金的自然人</w:t>
      </w:r>
    </w:p>
    <w:p w14:paraId="585CE0E4">
      <w:pPr>
        <w:spacing w:line="360" w:lineRule="auto"/>
        <w:ind w:firstLine="480" w:firstLineChars="200"/>
        <w:rPr>
          <w:bCs/>
          <w:sz w:val="24"/>
        </w:rPr>
      </w:pPr>
      <w:r>
        <w:rPr>
          <w:bCs/>
          <w:sz w:val="24"/>
        </w:rPr>
        <w:t>19</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7E2C6F9A">
      <w:pPr>
        <w:spacing w:line="360" w:lineRule="auto"/>
        <w:ind w:firstLine="480" w:firstLineChars="200"/>
        <w:rPr>
          <w:bCs/>
          <w:sz w:val="24"/>
        </w:rPr>
      </w:pPr>
      <w:r>
        <w:rPr>
          <w:bCs/>
          <w:sz w:val="24"/>
        </w:rPr>
        <w:t>20</w:t>
      </w:r>
      <w:r>
        <w:rPr>
          <w:rFonts w:hint="eastAsia"/>
          <w:bCs/>
          <w:sz w:val="24"/>
        </w:rPr>
        <w:t>、合格境外机构投资者：指符合《合格境外机构投资者境内证券投资管理办法》及相关法律法规规定，可以投资于在中国境内依法募集的证券投资基金的中国境外的机构投资者</w:t>
      </w:r>
    </w:p>
    <w:p w14:paraId="09C272EA">
      <w:pPr>
        <w:spacing w:line="360" w:lineRule="auto"/>
        <w:ind w:firstLine="480" w:firstLineChars="200"/>
        <w:rPr>
          <w:bCs/>
          <w:sz w:val="24"/>
        </w:rPr>
      </w:pPr>
      <w:r>
        <w:rPr>
          <w:bCs/>
          <w:sz w:val="24"/>
        </w:rPr>
        <w:t>21</w:t>
      </w:r>
      <w:r>
        <w:rPr>
          <w:rFonts w:hint="eastAsia"/>
          <w:bCs/>
          <w:sz w:val="24"/>
        </w:rPr>
        <w:t>、人民币合格境外机构投资者：指按照《人民币合格境外机构投资者境内证券投资试点办法》及相关法律法规规定，运用来自境外的人民币资金进行中国境内证券投资的境外机构投资者</w:t>
      </w:r>
    </w:p>
    <w:p w14:paraId="03BF3A2D">
      <w:pPr>
        <w:spacing w:line="360" w:lineRule="auto"/>
        <w:ind w:firstLine="480" w:firstLineChars="200"/>
        <w:rPr>
          <w:bCs/>
          <w:sz w:val="24"/>
        </w:rPr>
      </w:pPr>
      <w:r>
        <w:rPr>
          <w:bCs/>
          <w:sz w:val="24"/>
        </w:rPr>
        <w:t>22</w:t>
      </w:r>
      <w:r>
        <w:rPr>
          <w:rFonts w:hint="eastAsia"/>
          <w:bCs/>
          <w:sz w:val="24"/>
        </w:rPr>
        <w:t>、</w:t>
      </w:r>
      <w:r>
        <w:rPr>
          <w:bCs/>
          <w:sz w:val="24"/>
        </w:rPr>
        <w:t>投资人</w:t>
      </w:r>
      <w:r>
        <w:rPr>
          <w:rFonts w:hint="eastAsia"/>
          <w:bCs/>
          <w:sz w:val="24"/>
        </w:rPr>
        <w:t>或投资者</w:t>
      </w:r>
      <w:r>
        <w:rPr>
          <w:bCs/>
          <w:sz w:val="24"/>
        </w:rPr>
        <w:t>：指个人投资者、机构投资者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以及法律法规或中国证监会允许购买证券投资基金的其他投资人的合称</w:t>
      </w:r>
    </w:p>
    <w:p w14:paraId="5A27888B">
      <w:pPr>
        <w:spacing w:line="360" w:lineRule="auto"/>
        <w:ind w:firstLine="480" w:firstLineChars="200"/>
        <w:rPr>
          <w:bCs/>
          <w:sz w:val="24"/>
        </w:rPr>
      </w:pPr>
      <w:r>
        <w:rPr>
          <w:bCs/>
          <w:sz w:val="24"/>
        </w:rPr>
        <w:t>23</w:t>
      </w:r>
      <w:r>
        <w:rPr>
          <w:rFonts w:hint="eastAsia"/>
          <w:bCs/>
          <w:sz w:val="24"/>
        </w:rPr>
        <w:t>、</w:t>
      </w:r>
      <w:r>
        <w:rPr>
          <w:bCs/>
          <w:sz w:val="24"/>
        </w:rPr>
        <w:t>基金份额持有人：指依基金合同和招募说明书合法取得基金份额的投资人</w:t>
      </w:r>
    </w:p>
    <w:p w14:paraId="39AE1F2D">
      <w:pPr>
        <w:spacing w:line="360" w:lineRule="auto"/>
        <w:ind w:firstLine="480" w:firstLineChars="200"/>
        <w:rPr>
          <w:bCs/>
          <w:sz w:val="24"/>
        </w:rPr>
      </w:pPr>
      <w:r>
        <w:rPr>
          <w:bCs/>
          <w:sz w:val="24"/>
        </w:rPr>
        <w:t>24</w:t>
      </w:r>
      <w:r>
        <w:rPr>
          <w:rFonts w:hint="eastAsia"/>
          <w:bCs/>
          <w:sz w:val="24"/>
        </w:rPr>
        <w:t>、</w:t>
      </w:r>
      <w:r>
        <w:rPr>
          <w:bCs/>
          <w:sz w:val="24"/>
        </w:rPr>
        <w:t>基金销售业务：指基金管理人或销售机构宣传推介基金，发售基金份额，办理基金份额的申购、赎回、转换、转托管及定期定额投资等业务</w:t>
      </w:r>
    </w:p>
    <w:p w14:paraId="67EEE3A7">
      <w:pPr>
        <w:spacing w:line="360" w:lineRule="auto"/>
        <w:ind w:firstLine="480" w:firstLineChars="200"/>
        <w:rPr>
          <w:rFonts w:ascii="宋体" w:hAnsi="宋体"/>
          <w:sz w:val="24"/>
        </w:rPr>
      </w:pPr>
      <w:r>
        <w:rPr>
          <w:bCs/>
          <w:sz w:val="24"/>
        </w:rPr>
        <w:t>25</w:t>
      </w:r>
      <w:r>
        <w:rPr>
          <w:rFonts w:hint="eastAsia"/>
          <w:bCs/>
          <w:sz w:val="24"/>
        </w:rPr>
        <w:t>、销售机构：指交银施罗德基金管理有限公司以及符合《销售办法》和中国证监会规定的其他条件，取得基金销售业务资格并与基金管理人签订了基金销售服务协议，办理基金销售业务的机构</w:t>
      </w:r>
    </w:p>
    <w:p w14:paraId="52A0637F">
      <w:pPr>
        <w:spacing w:line="360" w:lineRule="auto"/>
        <w:ind w:firstLine="480" w:firstLineChars="200"/>
        <w:rPr>
          <w:bCs/>
          <w:sz w:val="24"/>
        </w:rPr>
      </w:pPr>
      <w:r>
        <w:rPr>
          <w:bCs/>
          <w:sz w:val="24"/>
        </w:rPr>
        <w:t>26</w:t>
      </w:r>
      <w:r>
        <w:rPr>
          <w:rFonts w:hint="eastAsia"/>
          <w:bCs/>
          <w:sz w:val="24"/>
        </w:rPr>
        <w:t>、</w:t>
      </w:r>
      <w:r>
        <w:rPr>
          <w:bCs/>
          <w:sz w:val="24"/>
        </w:rPr>
        <w:t>登记业务：指基金登记、存管、</w:t>
      </w:r>
      <w:r>
        <w:rPr>
          <w:rFonts w:hint="eastAsia"/>
          <w:bCs/>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6E15D334">
      <w:pPr>
        <w:spacing w:line="360" w:lineRule="auto"/>
        <w:ind w:firstLine="480" w:firstLineChars="200"/>
        <w:rPr>
          <w:bCs/>
          <w:sz w:val="24"/>
        </w:rPr>
      </w:pPr>
      <w:r>
        <w:rPr>
          <w:bCs/>
          <w:sz w:val="24"/>
        </w:rPr>
        <w:t>27</w:t>
      </w:r>
      <w:r>
        <w:rPr>
          <w:rFonts w:hint="eastAsia"/>
          <w:bCs/>
          <w:sz w:val="24"/>
        </w:rPr>
        <w:t>、</w:t>
      </w:r>
      <w:r>
        <w:rPr>
          <w:bCs/>
          <w:sz w:val="24"/>
        </w:rPr>
        <w:t>登记机构：指办理登记业务的机构。基金的登记机构为</w:t>
      </w:r>
      <w:r>
        <w:rPr>
          <w:rFonts w:hint="eastAsia"/>
          <w:bCs/>
          <w:sz w:val="24"/>
        </w:rPr>
        <w:t>交银施罗德基金管理有限公司</w:t>
      </w:r>
      <w:r>
        <w:rPr>
          <w:bCs/>
          <w:sz w:val="24"/>
        </w:rPr>
        <w:t>或接受</w:t>
      </w:r>
      <w:r>
        <w:rPr>
          <w:rFonts w:hint="eastAsia"/>
          <w:bCs/>
          <w:sz w:val="24"/>
        </w:rPr>
        <w:t>交银施罗德基金管理有限公司</w:t>
      </w:r>
      <w:r>
        <w:rPr>
          <w:bCs/>
          <w:sz w:val="24"/>
        </w:rPr>
        <w:t>委托办理登记业务的机构</w:t>
      </w:r>
    </w:p>
    <w:p w14:paraId="56546A73">
      <w:pPr>
        <w:spacing w:line="360" w:lineRule="auto"/>
        <w:ind w:firstLine="480" w:firstLineChars="200"/>
        <w:rPr>
          <w:bCs/>
          <w:sz w:val="24"/>
        </w:rPr>
      </w:pPr>
      <w:bookmarkStart w:id="54" w:name="OLE_LINK5"/>
      <w:bookmarkStart w:id="55" w:name="OLE_LINK4"/>
      <w:r>
        <w:rPr>
          <w:bCs/>
          <w:sz w:val="24"/>
        </w:rPr>
        <w:t>28</w:t>
      </w:r>
      <w:r>
        <w:rPr>
          <w:rFonts w:hint="eastAsia"/>
          <w:bCs/>
          <w:sz w:val="24"/>
        </w:rPr>
        <w:t>、</w:t>
      </w:r>
      <w:r>
        <w:rPr>
          <w:bCs/>
          <w:sz w:val="24"/>
        </w:rPr>
        <w:t>基金账户：指登记机构为投资人开立的、记录其持有的、基金管理人所管理的基金份额余额及其变动情况的账户</w:t>
      </w:r>
    </w:p>
    <w:bookmarkEnd w:id="54"/>
    <w:bookmarkEnd w:id="55"/>
    <w:p w14:paraId="7F84A1A7">
      <w:pPr>
        <w:spacing w:line="360" w:lineRule="auto"/>
        <w:ind w:firstLine="480" w:firstLineChars="200"/>
        <w:rPr>
          <w:bCs/>
          <w:sz w:val="24"/>
        </w:rPr>
      </w:pPr>
      <w:r>
        <w:rPr>
          <w:bCs/>
          <w:sz w:val="24"/>
        </w:rPr>
        <w:t>29</w:t>
      </w:r>
      <w:r>
        <w:rPr>
          <w:rFonts w:hint="eastAsia"/>
          <w:bCs/>
          <w:sz w:val="24"/>
        </w:rPr>
        <w:t>、</w:t>
      </w:r>
      <w:r>
        <w:rPr>
          <w:bCs/>
          <w:sz w:val="24"/>
        </w:rPr>
        <w:t>基金交易账户：指销售机构为投资人开立的、记录投资人通过该销售机构</w:t>
      </w:r>
      <w:r>
        <w:rPr>
          <w:rFonts w:hint="eastAsia" w:ascii="宋体" w:hAnsi="宋体"/>
          <w:sz w:val="24"/>
        </w:rPr>
        <w:t>办理认购、申购、赎回、转换、定期定额投资及转托管等业务而引起</w:t>
      </w:r>
      <w:r>
        <w:rPr>
          <w:bCs/>
          <w:sz w:val="24"/>
        </w:rPr>
        <w:t>的基金份额变动及结余情况的账户</w:t>
      </w:r>
    </w:p>
    <w:p w14:paraId="1E3A88BE">
      <w:pPr>
        <w:spacing w:line="360" w:lineRule="auto"/>
        <w:ind w:firstLine="480" w:firstLineChars="200"/>
        <w:rPr>
          <w:bCs/>
          <w:sz w:val="24"/>
        </w:rPr>
      </w:pPr>
      <w:r>
        <w:rPr>
          <w:bCs/>
          <w:sz w:val="24"/>
        </w:rPr>
        <w:t>30</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469CAB47">
      <w:pPr>
        <w:spacing w:line="360" w:lineRule="auto"/>
        <w:ind w:firstLine="480" w:firstLineChars="200"/>
        <w:rPr>
          <w:bCs/>
          <w:sz w:val="24"/>
        </w:rPr>
      </w:pPr>
      <w:r>
        <w:rPr>
          <w:bCs/>
          <w:sz w:val="24"/>
        </w:rPr>
        <w:t>31</w:t>
      </w:r>
      <w:r>
        <w:rPr>
          <w:rFonts w:hint="eastAsia"/>
          <w:bCs/>
          <w:sz w:val="24"/>
        </w:rPr>
        <w:t>、</w:t>
      </w:r>
      <w:r>
        <w:rPr>
          <w:bCs/>
          <w:sz w:val="24"/>
        </w:rPr>
        <w:t>基金合同终止日：指基金合同规定的基金合同终止事由出现后，基金财产清算完毕，清算结果报中国证监会备案并予以公告的日期</w:t>
      </w:r>
    </w:p>
    <w:p w14:paraId="03639CDC">
      <w:pPr>
        <w:spacing w:line="360" w:lineRule="auto"/>
        <w:ind w:firstLine="480" w:firstLineChars="200"/>
        <w:rPr>
          <w:bCs/>
          <w:sz w:val="24"/>
        </w:rPr>
      </w:pPr>
      <w:r>
        <w:rPr>
          <w:bCs/>
          <w:sz w:val="24"/>
        </w:rPr>
        <w:t>32</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1F856423">
      <w:pPr>
        <w:spacing w:line="360" w:lineRule="auto"/>
        <w:ind w:firstLine="480" w:firstLineChars="200"/>
        <w:rPr>
          <w:bCs/>
          <w:sz w:val="24"/>
        </w:rPr>
      </w:pPr>
      <w:r>
        <w:rPr>
          <w:bCs/>
          <w:sz w:val="24"/>
        </w:rPr>
        <w:t>33</w:t>
      </w:r>
      <w:r>
        <w:rPr>
          <w:rFonts w:hint="eastAsia"/>
          <w:bCs/>
          <w:sz w:val="24"/>
        </w:rPr>
        <w:t>、</w:t>
      </w:r>
      <w:r>
        <w:rPr>
          <w:bCs/>
          <w:sz w:val="24"/>
        </w:rPr>
        <w:t>存续期：指基金合同生效至终止之间的不定期期限</w:t>
      </w:r>
    </w:p>
    <w:p w14:paraId="5B5F5FBD">
      <w:pPr>
        <w:spacing w:line="360" w:lineRule="auto"/>
        <w:ind w:firstLine="480" w:firstLineChars="200"/>
        <w:rPr>
          <w:bCs/>
          <w:sz w:val="24"/>
        </w:rPr>
      </w:pPr>
      <w:r>
        <w:rPr>
          <w:bCs/>
          <w:sz w:val="24"/>
        </w:rPr>
        <w:t>34</w:t>
      </w:r>
      <w:r>
        <w:rPr>
          <w:rFonts w:hint="eastAsia"/>
          <w:bCs/>
          <w:sz w:val="24"/>
        </w:rPr>
        <w:t>、</w:t>
      </w:r>
      <w:r>
        <w:rPr>
          <w:bCs/>
          <w:sz w:val="24"/>
        </w:rPr>
        <w:t>工作日：指上海证券交易所、深圳证券交易所的正常交易日</w:t>
      </w:r>
    </w:p>
    <w:p w14:paraId="74E8CB5F">
      <w:pPr>
        <w:spacing w:line="360" w:lineRule="auto"/>
        <w:ind w:firstLine="480" w:firstLineChars="200"/>
        <w:rPr>
          <w:bCs/>
          <w:sz w:val="24"/>
        </w:rPr>
      </w:pPr>
      <w:r>
        <w:rPr>
          <w:bCs/>
          <w:sz w:val="24"/>
        </w:rPr>
        <w:t>35</w:t>
      </w:r>
      <w:r>
        <w:rPr>
          <w:rFonts w:hint="eastAsia"/>
          <w:bCs/>
          <w:sz w:val="24"/>
        </w:rPr>
        <w:t>、</w:t>
      </w:r>
      <w:r>
        <w:rPr>
          <w:bCs/>
          <w:sz w:val="24"/>
        </w:rPr>
        <w:t>T日：指销售机构在规定时间受理投资人申购、赎回或其他业务申请的开放日</w:t>
      </w:r>
    </w:p>
    <w:p w14:paraId="21CEE311">
      <w:pPr>
        <w:spacing w:line="360" w:lineRule="auto"/>
        <w:ind w:firstLine="480" w:firstLineChars="200"/>
        <w:rPr>
          <w:bCs/>
          <w:sz w:val="24"/>
        </w:rPr>
      </w:pPr>
      <w:r>
        <w:rPr>
          <w:bCs/>
          <w:sz w:val="24"/>
        </w:rPr>
        <w:t>36</w:t>
      </w:r>
      <w:r>
        <w:rPr>
          <w:rFonts w:hint="eastAsia"/>
          <w:bCs/>
          <w:sz w:val="24"/>
        </w:rPr>
        <w:t>、</w:t>
      </w:r>
      <w:r>
        <w:rPr>
          <w:bCs/>
          <w:sz w:val="24"/>
        </w:rPr>
        <w:t>T+n日：指自T日起第n个工作日(不包含T日)</w:t>
      </w:r>
    </w:p>
    <w:p w14:paraId="18E9B7DA">
      <w:pPr>
        <w:spacing w:line="360" w:lineRule="auto"/>
        <w:ind w:firstLine="480" w:firstLineChars="200"/>
        <w:rPr>
          <w:bCs/>
          <w:sz w:val="24"/>
        </w:rPr>
      </w:pPr>
      <w:r>
        <w:rPr>
          <w:bCs/>
          <w:sz w:val="24"/>
        </w:rPr>
        <w:t>37</w:t>
      </w:r>
      <w:r>
        <w:rPr>
          <w:rFonts w:hint="eastAsia"/>
          <w:bCs/>
          <w:sz w:val="24"/>
        </w:rPr>
        <w:t>、</w:t>
      </w:r>
      <w:r>
        <w:rPr>
          <w:bCs/>
          <w:sz w:val="24"/>
        </w:rPr>
        <w:t>开放日：指为投资人办理基金份额申购、赎回或其他业务的工作日</w:t>
      </w:r>
    </w:p>
    <w:p w14:paraId="593EF445">
      <w:pPr>
        <w:spacing w:line="360" w:lineRule="auto"/>
        <w:ind w:firstLine="480" w:firstLineChars="200"/>
        <w:rPr>
          <w:bCs/>
          <w:sz w:val="24"/>
        </w:rPr>
      </w:pPr>
      <w:r>
        <w:rPr>
          <w:bCs/>
          <w:sz w:val="24"/>
        </w:rPr>
        <w:t>38</w:t>
      </w:r>
      <w:r>
        <w:rPr>
          <w:rFonts w:hint="eastAsia"/>
          <w:bCs/>
          <w:sz w:val="24"/>
        </w:rPr>
        <w:t>、</w:t>
      </w:r>
      <w:r>
        <w:rPr>
          <w:bCs/>
          <w:sz w:val="24"/>
        </w:rPr>
        <w:t>开放时间：指开放日基金接受申购、赎回或其他交易的时间段</w:t>
      </w:r>
    </w:p>
    <w:p w14:paraId="5F2DDF3E">
      <w:pPr>
        <w:spacing w:line="360" w:lineRule="auto"/>
        <w:ind w:firstLine="480" w:firstLineChars="200"/>
        <w:rPr>
          <w:bCs/>
          <w:sz w:val="24"/>
        </w:rPr>
      </w:pPr>
      <w:r>
        <w:rPr>
          <w:bCs/>
          <w:sz w:val="24"/>
        </w:rPr>
        <w:t>39</w:t>
      </w:r>
      <w:r>
        <w:rPr>
          <w:rFonts w:hint="eastAsia"/>
          <w:bCs/>
          <w:sz w:val="24"/>
        </w:rPr>
        <w:t>、</w:t>
      </w:r>
      <w:r>
        <w:rPr>
          <w:bCs/>
          <w:sz w:val="24"/>
        </w:rPr>
        <w:t>《业务规则》：指《</w:t>
      </w:r>
      <w:r>
        <w:rPr>
          <w:rFonts w:hint="eastAsia"/>
          <w:bCs/>
          <w:sz w:val="24"/>
        </w:rPr>
        <w:t>中国证券登记结算有限责任公司开放式证券投资基金及证券公司集合资产管理计划份额登记及资金结算业务指南</w:t>
      </w:r>
      <w:r>
        <w:rPr>
          <w:bCs/>
          <w:sz w:val="24"/>
        </w:rPr>
        <w:t>》</w:t>
      </w:r>
      <w:r>
        <w:rPr>
          <w:rFonts w:hint="eastAsia"/>
          <w:bCs/>
          <w:sz w:val="24"/>
        </w:rPr>
        <w:t>及其后修订</w:t>
      </w:r>
      <w:r>
        <w:rPr>
          <w:bCs/>
          <w:sz w:val="24"/>
        </w:rPr>
        <w:t>，是规范基金管理人所管理的开放式证券投资基金登记方面的业务规则，由基金管理人和投资人共同遵守</w:t>
      </w:r>
    </w:p>
    <w:p w14:paraId="7DDA481A">
      <w:pPr>
        <w:spacing w:line="360" w:lineRule="auto"/>
        <w:ind w:firstLine="480" w:firstLineChars="200"/>
        <w:rPr>
          <w:bCs/>
          <w:sz w:val="24"/>
        </w:rPr>
      </w:pPr>
      <w:r>
        <w:rPr>
          <w:bCs/>
          <w:sz w:val="24"/>
        </w:rPr>
        <w:t>40</w:t>
      </w:r>
      <w:r>
        <w:rPr>
          <w:rFonts w:hint="eastAsia"/>
          <w:bCs/>
          <w:sz w:val="24"/>
        </w:rPr>
        <w:t>、</w:t>
      </w:r>
      <w:r>
        <w:rPr>
          <w:bCs/>
          <w:sz w:val="24"/>
        </w:rPr>
        <w:t>认购：指在基金募集期内，投资人根据基金合同和招募说明书的规定申请购买基金份额的行为</w:t>
      </w:r>
    </w:p>
    <w:p w14:paraId="3A0D13F1">
      <w:pPr>
        <w:spacing w:line="360" w:lineRule="auto"/>
        <w:ind w:firstLine="480" w:firstLineChars="200"/>
        <w:rPr>
          <w:bCs/>
          <w:sz w:val="24"/>
        </w:rPr>
      </w:pPr>
      <w:r>
        <w:rPr>
          <w:bCs/>
          <w:sz w:val="24"/>
        </w:rPr>
        <w:t>41</w:t>
      </w:r>
      <w:r>
        <w:rPr>
          <w:rFonts w:hint="eastAsia"/>
          <w:bCs/>
          <w:sz w:val="24"/>
        </w:rPr>
        <w:t>、</w:t>
      </w:r>
      <w:r>
        <w:rPr>
          <w:bCs/>
          <w:sz w:val="24"/>
        </w:rPr>
        <w:t>申购：指基金合同生效后，投资人根据基金合同和招募说明书的规定申请购买基金份额的行为</w:t>
      </w:r>
    </w:p>
    <w:p w14:paraId="22C2E031">
      <w:pPr>
        <w:spacing w:line="360" w:lineRule="auto"/>
        <w:ind w:firstLine="480" w:firstLineChars="200"/>
        <w:rPr>
          <w:rFonts w:ascii="宋体" w:hAnsi="宋体"/>
          <w:sz w:val="24"/>
        </w:rPr>
      </w:pPr>
      <w:r>
        <w:rPr>
          <w:bCs/>
          <w:sz w:val="24"/>
        </w:rPr>
        <w:t>42</w:t>
      </w:r>
      <w:r>
        <w:rPr>
          <w:rFonts w:hint="eastAsia"/>
          <w:bCs/>
          <w:sz w:val="24"/>
        </w:rPr>
        <w:t>、</w:t>
      </w:r>
      <w:r>
        <w:rPr>
          <w:bCs/>
          <w:sz w:val="24"/>
        </w:rPr>
        <w:t>赎回：指基金合同生效后，基金份额持有人按基金合同和招募说明书规定的条件要求将基金份额兑换为现金的行为</w:t>
      </w:r>
    </w:p>
    <w:p w14:paraId="291F70E6">
      <w:pPr>
        <w:spacing w:line="360" w:lineRule="auto"/>
        <w:ind w:firstLine="480" w:firstLineChars="200"/>
        <w:rPr>
          <w:bCs/>
          <w:sz w:val="24"/>
        </w:rPr>
      </w:pPr>
      <w:r>
        <w:rPr>
          <w:bCs/>
          <w:sz w:val="24"/>
        </w:rPr>
        <w:t>43</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363AEAC4">
      <w:pPr>
        <w:spacing w:line="360" w:lineRule="auto"/>
        <w:ind w:firstLine="480" w:firstLineChars="200"/>
        <w:rPr>
          <w:bCs/>
          <w:sz w:val="24"/>
        </w:rPr>
      </w:pPr>
      <w:r>
        <w:rPr>
          <w:bCs/>
          <w:sz w:val="24"/>
        </w:rPr>
        <w:t>44</w:t>
      </w:r>
      <w:r>
        <w:rPr>
          <w:rFonts w:hint="eastAsia"/>
          <w:bCs/>
          <w:sz w:val="24"/>
        </w:rPr>
        <w:t>、</w:t>
      </w:r>
      <w:r>
        <w:rPr>
          <w:bCs/>
          <w:sz w:val="24"/>
        </w:rPr>
        <w:t>转托管：指基金份额持有人在本基金的不同销售机构之间实施的变更所持基金份额销售机构的操作</w:t>
      </w:r>
    </w:p>
    <w:p w14:paraId="0D4D386C">
      <w:pPr>
        <w:spacing w:line="360" w:lineRule="auto"/>
        <w:ind w:firstLine="480" w:firstLineChars="200"/>
        <w:rPr>
          <w:bCs/>
          <w:sz w:val="24"/>
        </w:rPr>
      </w:pPr>
      <w:r>
        <w:rPr>
          <w:bCs/>
          <w:sz w:val="24"/>
        </w:rPr>
        <w:t>45</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w:t>
      </w:r>
      <w:r>
        <w:rPr>
          <w:rFonts w:hint="eastAsia"/>
          <w:bCs/>
          <w:sz w:val="24"/>
        </w:rPr>
        <w:t>指定的</w:t>
      </w:r>
      <w:r>
        <w:rPr>
          <w:bCs/>
          <w:sz w:val="24"/>
        </w:rPr>
        <w:t>销售机构在投资人指定银行账户内自动完成扣款</w:t>
      </w:r>
      <w:r>
        <w:rPr>
          <w:rFonts w:hint="eastAsia"/>
          <w:bCs/>
          <w:sz w:val="24"/>
        </w:rPr>
        <w:t>并于每期约定的申购日受理</w:t>
      </w:r>
      <w:r>
        <w:rPr>
          <w:bCs/>
          <w:sz w:val="24"/>
        </w:rPr>
        <w:t>基金申购申请的一种投资方式</w:t>
      </w:r>
    </w:p>
    <w:p w14:paraId="667A4B31">
      <w:pPr>
        <w:spacing w:line="360" w:lineRule="auto"/>
        <w:ind w:firstLine="480" w:firstLineChars="200"/>
        <w:rPr>
          <w:bCs/>
          <w:sz w:val="24"/>
        </w:rPr>
      </w:pPr>
      <w:r>
        <w:rPr>
          <w:bCs/>
          <w:sz w:val="24"/>
        </w:rPr>
        <w:t>46</w:t>
      </w:r>
      <w:r>
        <w:rPr>
          <w:rFonts w:hint="eastAsia"/>
          <w:bCs/>
          <w:sz w:val="24"/>
        </w:rPr>
        <w:t>、巨额赎回</w:t>
      </w:r>
      <w:r>
        <w:rPr>
          <w:bCs/>
          <w:sz w:val="24"/>
        </w:rPr>
        <w:t>：指本基金单个开放日，基金净赎回申请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超过上一开放日基金总份额的</w:t>
      </w:r>
      <w:r>
        <w:rPr>
          <w:rFonts w:hint="eastAsia"/>
          <w:bCs/>
          <w:sz w:val="24"/>
        </w:rPr>
        <w:t>10%的情形</w:t>
      </w:r>
    </w:p>
    <w:p w14:paraId="7CA38D55">
      <w:pPr>
        <w:spacing w:line="360" w:lineRule="auto"/>
        <w:ind w:firstLine="480" w:firstLineChars="200"/>
        <w:rPr>
          <w:bCs/>
          <w:sz w:val="24"/>
        </w:rPr>
      </w:pPr>
      <w:r>
        <w:rPr>
          <w:bCs/>
          <w:sz w:val="24"/>
        </w:rPr>
        <w:t>47</w:t>
      </w:r>
      <w:r>
        <w:rPr>
          <w:rFonts w:hint="eastAsia"/>
          <w:bCs/>
          <w:sz w:val="24"/>
        </w:rPr>
        <w:t>、</w:t>
      </w:r>
      <w:r>
        <w:rPr>
          <w:bCs/>
          <w:sz w:val="24"/>
        </w:rPr>
        <w:t>元：指人民币元</w:t>
      </w:r>
    </w:p>
    <w:p w14:paraId="297203B8">
      <w:pPr>
        <w:spacing w:line="360" w:lineRule="auto"/>
        <w:ind w:firstLine="480" w:firstLineChars="200"/>
        <w:rPr>
          <w:bCs/>
          <w:sz w:val="24"/>
        </w:rPr>
      </w:pPr>
      <w:r>
        <w:rPr>
          <w:bCs/>
          <w:sz w:val="24"/>
        </w:rPr>
        <w:t>48</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16057DD7">
      <w:pPr>
        <w:spacing w:line="360" w:lineRule="auto"/>
        <w:ind w:firstLine="480" w:firstLineChars="200"/>
        <w:rPr>
          <w:bCs/>
          <w:sz w:val="24"/>
        </w:rPr>
      </w:pPr>
      <w:r>
        <w:rPr>
          <w:bCs/>
          <w:sz w:val="24"/>
        </w:rPr>
        <w:t>49</w:t>
      </w:r>
      <w:r>
        <w:rPr>
          <w:rFonts w:hint="eastAsia"/>
          <w:bCs/>
          <w:sz w:val="24"/>
        </w:rPr>
        <w:t>、</w:t>
      </w:r>
      <w:r>
        <w:rPr>
          <w:bCs/>
          <w:sz w:val="24"/>
        </w:rPr>
        <w:t>基金资产总值：指基金拥有的各类有价证券、</w:t>
      </w:r>
      <w:r>
        <w:rPr>
          <w:rFonts w:hint="eastAsia"/>
          <w:bCs/>
          <w:sz w:val="24"/>
        </w:rPr>
        <w:t>股指期货合约、</w:t>
      </w:r>
      <w:r>
        <w:rPr>
          <w:bCs/>
          <w:sz w:val="24"/>
        </w:rPr>
        <w:t>银行存款本息、基金应收申购款及其他资产的价值总和</w:t>
      </w:r>
    </w:p>
    <w:p w14:paraId="6BB96C55">
      <w:pPr>
        <w:spacing w:line="360" w:lineRule="auto"/>
        <w:ind w:firstLine="480" w:firstLineChars="200"/>
        <w:rPr>
          <w:bCs/>
          <w:sz w:val="24"/>
        </w:rPr>
      </w:pPr>
      <w:r>
        <w:rPr>
          <w:bCs/>
          <w:sz w:val="24"/>
        </w:rPr>
        <w:t>50</w:t>
      </w:r>
      <w:r>
        <w:rPr>
          <w:rFonts w:hint="eastAsia"/>
          <w:bCs/>
          <w:sz w:val="24"/>
        </w:rPr>
        <w:t>、</w:t>
      </w:r>
      <w:r>
        <w:rPr>
          <w:bCs/>
          <w:sz w:val="24"/>
        </w:rPr>
        <w:t>基金资产净值：指基金资产总值减去基金负债后的价值</w:t>
      </w:r>
    </w:p>
    <w:p w14:paraId="437DE0CE">
      <w:pPr>
        <w:spacing w:line="360" w:lineRule="auto"/>
        <w:ind w:firstLine="480" w:firstLineChars="200"/>
        <w:rPr>
          <w:bCs/>
          <w:sz w:val="24"/>
        </w:rPr>
      </w:pPr>
      <w:r>
        <w:rPr>
          <w:bCs/>
          <w:sz w:val="24"/>
        </w:rPr>
        <w:t>51</w:t>
      </w:r>
      <w:r>
        <w:rPr>
          <w:rFonts w:hint="eastAsia"/>
          <w:bCs/>
          <w:sz w:val="24"/>
        </w:rPr>
        <w:t>、</w:t>
      </w:r>
      <w:r>
        <w:rPr>
          <w:bCs/>
          <w:sz w:val="24"/>
        </w:rPr>
        <w:t>基金份额净值：指计算日基金资产净值除以计算日基金份额总数</w:t>
      </w:r>
    </w:p>
    <w:p w14:paraId="4F261647">
      <w:pPr>
        <w:spacing w:line="360" w:lineRule="auto"/>
        <w:ind w:firstLine="480" w:firstLineChars="200"/>
        <w:rPr>
          <w:bCs/>
          <w:sz w:val="24"/>
        </w:rPr>
      </w:pPr>
      <w:r>
        <w:rPr>
          <w:bCs/>
          <w:sz w:val="24"/>
        </w:rPr>
        <w:t>52</w:t>
      </w:r>
      <w:r>
        <w:rPr>
          <w:rFonts w:hint="eastAsia"/>
          <w:bCs/>
          <w:sz w:val="24"/>
        </w:rPr>
        <w:t>、</w:t>
      </w:r>
      <w:r>
        <w:rPr>
          <w:bCs/>
          <w:sz w:val="24"/>
        </w:rPr>
        <w:t>基金资产估值：指计算评估基金资产和负债的价值，以确定基金资产净值和基金份额净值的过程</w:t>
      </w:r>
    </w:p>
    <w:p w14:paraId="03317AA9">
      <w:pPr>
        <w:spacing w:line="360" w:lineRule="auto"/>
        <w:ind w:firstLine="480" w:firstLineChars="200"/>
        <w:rPr>
          <w:bCs/>
          <w:sz w:val="24"/>
        </w:rPr>
      </w:pPr>
      <w:r>
        <w:rPr>
          <w:bCs/>
          <w:sz w:val="24"/>
        </w:rPr>
        <w:t>53</w:t>
      </w:r>
      <w:r>
        <w:rPr>
          <w:rFonts w:hint="eastAsia"/>
          <w:bCs/>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2E8A1A80">
      <w:pPr>
        <w:spacing w:line="360" w:lineRule="auto"/>
        <w:ind w:firstLine="480" w:firstLineChars="200"/>
        <w:rPr>
          <w:bCs/>
          <w:sz w:val="24"/>
        </w:rPr>
      </w:pPr>
      <w:r>
        <w:rPr>
          <w:bCs/>
          <w:sz w:val="24"/>
        </w:rPr>
        <w:t>54</w:t>
      </w:r>
      <w:r>
        <w:rPr>
          <w:rFonts w:hint="eastAsia"/>
          <w:bCs/>
          <w:sz w:val="24"/>
        </w:rPr>
        <w:t>、</w:t>
      </w:r>
      <w:r>
        <w:rPr>
          <w:bCs/>
          <w:sz w:val="24"/>
        </w:rPr>
        <w:t>指定媒介：</w:t>
      </w:r>
      <w:r>
        <w:rPr>
          <w:rFonts w:hint="eastAsia"/>
          <w:bCs/>
          <w:sz w:val="24"/>
        </w:rPr>
        <w:t>指中国证监会指定的用以进行信息披露的全国性报刊及指定互联网网站（包括基金管理人网站、基金托管人网站、中国证监会基金电子披露网站）等媒介</w:t>
      </w:r>
    </w:p>
    <w:p w14:paraId="2E3FD87F">
      <w:pPr>
        <w:spacing w:line="360" w:lineRule="auto"/>
        <w:ind w:firstLine="480" w:firstLineChars="200"/>
        <w:rPr>
          <w:bCs/>
          <w:sz w:val="24"/>
        </w:rPr>
      </w:pPr>
      <w:r>
        <w:rPr>
          <w:bCs/>
          <w:sz w:val="24"/>
        </w:rPr>
        <w:t>55</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62613A21">
      <w:pPr>
        <w:pStyle w:val="2"/>
        <w:spacing w:before="0" w:after="0"/>
        <w:jc w:val="center"/>
        <w:rPr>
          <w:rFonts w:ascii="Times New Roman"/>
          <w:color w:val="auto"/>
          <w:sz w:val="30"/>
        </w:rPr>
      </w:pPr>
      <w:r>
        <w:rPr>
          <w:rFonts w:ascii="Times New Roman"/>
          <w:b w:val="0"/>
          <w:bCs/>
          <w:color w:val="auto"/>
        </w:rPr>
        <w:br w:type="page"/>
      </w:r>
      <w:bookmarkStart w:id="56" w:name="_Toc20318"/>
      <w:bookmarkStart w:id="57" w:name="_Toc24571"/>
      <w:bookmarkStart w:id="58" w:name="_Toc6683"/>
      <w:bookmarkStart w:id="59" w:name="_Toc545"/>
      <w:bookmarkStart w:id="60" w:name="_Toc13288"/>
      <w:bookmarkStart w:id="61" w:name="_Toc20627"/>
      <w:bookmarkStart w:id="62" w:name="_Toc22708"/>
      <w:bookmarkStart w:id="63" w:name="_Toc6149"/>
      <w:bookmarkStart w:id="64" w:name="_Toc733"/>
      <w:bookmarkStart w:id="65" w:name="_Toc18631"/>
      <w:bookmarkStart w:id="66" w:name="_Toc425241705"/>
      <w:bookmarkStart w:id="67" w:name="_Toc258829400"/>
      <w:bookmarkStart w:id="68" w:name="_Toc233456272"/>
      <w:r>
        <w:rPr>
          <w:rFonts w:ascii="Times New Roman"/>
          <w:color w:val="auto"/>
          <w:sz w:val="30"/>
        </w:rPr>
        <w:t>第三部分基金的基本情况</w:t>
      </w:r>
      <w:bookmarkEnd w:id="56"/>
      <w:bookmarkEnd w:id="57"/>
      <w:bookmarkEnd w:id="58"/>
      <w:bookmarkEnd w:id="59"/>
      <w:bookmarkEnd w:id="60"/>
      <w:bookmarkEnd w:id="61"/>
      <w:bookmarkEnd w:id="62"/>
      <w:bookmarkEnd w:id="63"/>
      <w:bookmarkEnd w:id="64"/>
      <w:bookmarkEnd w:id="65"/>
      <w:bookmarkEnd w:id="66"/>
      <w:bookmarkStart w:id="69" w:name="_Toc79392573"/>
    </w:p>
    <w:p w14:paraId="46FFF475">
      <w:pPr>
        <w:spacing w:line="360" w:lineRule="auto"/>
        <w:ind w:firstLine="540"/>
        <w:rPr>
          <w:bCs/>
          <w:sz w:val="24"/>
        </w:rPr>
      </w:pPr>
      <w:bookmarkStart w:id="70" w:name="_Hlt88031774"/>
      <w:bookmarkEnd w:id="70"/>
      <w:bookmarkStart w:id="71" w:name="_Hlt88031741"/>
    </w:p>
    <w:bookmarkEnd w:id="71"/>
    <w:p w14:paraId="6451F8A1">
      <w:pPr>
        <w:spacing w:line="360" w:lineRule="auto"/>
        <w:ind w:firstLine="480" w:firstLineChars="200"/>
        <w:rPr>
          <w:bCs/>
          <w:sz w:val="24"/>
        </w:rPr>
      </w:pPr>
      <w:r>
        <w:rPr>
          <w:bCs/>
          <w:sz w:val="24"/>
        </w:rPr>
        <w:t>一、基金名称</w:t>
      </w:r>
      <w:bookmarkEnd w:id="69"/>
    </w:p>
    <w:p w14:paraId="37BC274F">
      <w:pPr>
        <w:spacing w:line="360" w:lineRule="auto"/>
        <w:ind w:firstLine="480" w:firstLineChars="200"/>
        <w:rPr>
          <w:bCs/>
          <w:sz w:val="24"/>
        </w:rPr>
      </w:pPr>
      <w:r>
        <w:rPr>
          <w:rFonts w:hint="eastAsia"/>
          <w:bCs/>
          <w:sz w:val="24"/>
        </w:rPr>
        <w:t>交银施罗德股息优化混合型证券投资基金</w:t>
      </w:r>
    </w:p>
    <w:p w14:paraId="483CCDFA">
      <w:pPr>
        <w:spacing w:line="360" w:lineRule="auto"/>
        <w:ind w:firstLine="480" w:firstLineChars="200"/>
        <w:rPr>
          <w:bCs/>
          <w:sz w:val="24"/>
        </w:rPr>
      </w:pPr>
    </w:p>
    <w:p w14:paraId="5FB6C636">
      <w:pPr>
        <w:spacing w:line="360" w:lineRule="auto"/>
        <w:ind w:firstLine="480" w:firstLineChars="200"/>
        <w:rPr>
          <w:bCs/>
          <w:sz w:val="24"/>
        </w:rPr>
      </w:pPr>
      <w:bookmarkStart w:id="72" w:name="_Toc79392574"/>
      <w:r>
        <w:rPr>
          <w:bCs/>
          <w:sz w:val="24"/>
        </w:rPr>
        <w:t>二、基金的类别</w:t>
      </w:r>
      <w:bookmarkEnd w:id="72"/>
    </w:p>
    <w:p w14:paraId="01DEF005">
      <w:pPr>
        <w:spacing w:line="360" w:lineRule="auto"/>
        <w:ind w:firstLine="480"/>
        <w:rPr>
          <w:bCs/>
          <w:sz w:val="24"/>
        </w:rPr>
      </w:pPr>
      <w:r>
        <w:rPr>
          <w:rFonts w:hint="eastAsia"/>
          <w:bCs/>
          <w:sz w:val="24"/>
        </w:rPr>
        <w:t>混合型</w:t>
      </w:r>
      <w:r>
        <w:rPr>
          <w:bCs/>
          <w:sz w:val="24"/>
        </w:rPr>
        <w:t>证券投资基金</w:t>
      </w:r>
    </w:p>
    <w:p w14:paraId="60AAA098">
      <w:pPr>
        <w:spacing w:line="360" w:lineRule="auto"/>
        <w:ind w:left="796" w:leftChars="257" w:hanging="256"/>
        <w:rPr>
          <w:bCs/>
          <w:sz w:val="24"/>
        </w:rPr>
      </w:pPr>
    </w:p>
    <w:p w14:paraId="0CDFCA94">
      <w:pPr>
        <w:spacing w:line="360" w:lineRule="auto"/>
        <w:ind w:firstLine="480" w:firstLineChars="200"/>
        <w:rPr>
          <w:bCs/>
          <w:sz w:val="24"/>
        </w:rPr>
      </w:pPr>
      <w:bookmarkStart w:id="73" w:name="_Toc79392575"/>
      <w:r>
        <w:rPr>
          <w:bCs/>
          <w:sz w:val="24"/>
        </w:rPr>
        <w:t>三、基金的运作方式</w:t>
      </w:r>
    </w:p>
    <w:p w14:paraId="006B54B4">
      <w:pPr>
        <w:spacing w:line="360" w:lineRule="auto"/>
        <w:ind w:firstLine="480"/>
        <w:rPr>
          <w:bCs/>
          <w:sz w:val="24"/>
        </w:rPr>
      </w:pPr>
      <w:r>
        <w:rPr>
          <w:bCs/>
          <w:sz w:val="24"/>
        </w:rPr>
        <w:t>契约型开放式</w:t>
      </w:r>
    </w:p>
    <w:p w14:paraId="309D3510">
      <w:pPr>
        <w:spacing w:line="360" w:lineRule="auto"/>
        <w:ind w:left="796" w:leftChars="257" w:hanging="256"/>
        <w:rPr>
          <w:bCs/>
          <w:sz w:val="24"/>
        </w:rPr>
      </w:pPr>
    </w:p>
    <w:p w14:paraId="1A097F15">
      <w:pPr>
        <w:spacing w:line="360" w:lineRule="auto"/>
        <w:ind w:firstLine="480" w:firstLineChars="200"/>
        <w:rPr>
          <w:bCs/>
          <w:sz w:val="24"/>
        </w:rPr>
      </w:pPr>
      <w:r>
        <w:rPr>
          <w:rFonts w:hint="eastAsia"/>
          <w:bCs/>
          <w:sz w:val="24"/>
        </w:rPr>
        <w:t>四、基金的投资目标</w:t>
      </w:r>
      <w:bookmarkEnd w:id="73"/>
    </w:p>
    <w:p w14:paraId="795D068E">
      <w:pPr>
        <w:spacing w:line="360" w:lineRule="auto"/>
        <w:ind w:firstLine="480" w:firstLineChars="200"/>
        <w:rPr>
          <w:bCs/>
          <w:sz w:val="24"/>
        </w:rPr>
      </w:pPr>
      <w:r>
        <w:rPr>
          <w:rFonts w:hint="eastAsia"/>
          <w:bCs/>
          <w:sz w:val="24"/>
        </w:rPr>
        <w:t>本基金主要投资于具有稳定</w:t>
      </w:r>
      <w:r>
        <w:rPr>
          <w:bCs/>
          <w:sz w:val="24"/>
        </w:rPr>
        <w:t>股息收益的</w:t>
      </w:r>
      <w:r>
        <w:rPr>
          <w:rFonts w:hint="eastAsia"/>
          <w:bCs/>
          <w:sz w:val="24"/>
        </w:rPr>
        <w:t>优质成长性上市公司，以稳健收益为目标，追求长期的资产增值。</w:t>
      </w:r>
    </w:p>
    <w:p w14:paraId="00D16772">
      <w:pPr>
        <w:pStyle w:val="11"/>
        <w:rPr>
          <w:rFonts w:ascii="Times New Roman" w:eastAsia="宋体"/>
          <w:bCs/>
          <w:sz w:val="24"/>
        </w:rPr>
      </w:pPr>
    </w:p>
    <w:p w14:paraId="7C7A20DB">
      <w:pPr>
        <w:spacing w:line="360" w:lineRule="auto"/>
        <w:ind w:firstLine="480" w:firstLineChars="200"/>
        <w:rPr>
          <w:bCs/>
          <w:sz w:val="24"/>
        </w:rPr>
      </w:pPr>
      <w:bookmarkStart w:id="74" w:name="_Toc79392576"/>
      <w:r>
        <w:rPr>
          <w:rFonts w:hint="eastAsia"/>
          <w:bCs/>
          <w:sz w:val="24"/>
        </w:rPr>
        <w:t>五、基金的最低募集份额总额</w:t>
      </w:r>
      <w:bookmarkEnd w:id="74"/>
    </w:p>
    <w:p w14:paraId="744B6459">
      <w:pPr>
        <w:spacing w:line="360" w:lineRule="auto"/>
        <w:ind w:firstLine="480" w:firstLineChars="200"/>
        <w:rPr>
          <w:bCs/>
          <w:sz w:val="24"/>
        </w:rPr>
      </w:pPr>
      <w:r>
        <w:rPr>
          <w:rFonts w:hint="eastAsia"/>
          <w:bCs/>
          <w:sz w:val="24"/>
        </w:rPr>
        <w:t>本基金的最低募集份额总额为</w:t>
      </w:r>
      <w:r>
        <w:rPr>
          <w:bCs/>
          <w:sz w:val="24"/>
        </w:rPr>
        <w:t>2</w:t>
      </w:r>
      <w:r>
        <w:rPr>
          <w:rFonts w:hint="eastAsia"/>
          <w:bCs/>
          <w:sz w:val="24"/>
        </w:rPr>
        <w:t>亿份。</w:t>
      </w:r>
    </w:p>
    <w:p w14:paraId="0B559A34">
      <w:pPr>
        <w:spacing w:line="360" w:lineRule="auto"/>
        <w:ind w:firstLine="480" w:firstLineChars="200"/>
        <w:rPr>
          <w:bCs/>
          <w:sz w:val="24"/>
        </w:rPr>
      </w:pPr>
    </w:p>
    <w:p w14:paraId="6E0977B5">
      <w:pPr>
        <w:spacing w:line="360" w:lineRule="auto"/>
        <w:ind w:firstLine="480" w:firstLineChars="200"/>
        <w:rPr>
          <w:bCs/>
          <w:sz w:val="24"/>
        </w:rPr>
      </w:pPr>
      <w:bookmarkStart w:id="75" w:name="_Toc79392577"/>
      <w:r>
        <w:rPr>
          <w:bCs/>
          <w:sz w:val="24"/>
        </w:rPr>
        <w:t>六、基金份额</w:t>
      </w:r>
      <w:r>
        <w:rPr>
          <w:rFonts w:hint="eastAsia"/>
          <w:bCs/>
          <w:sz w:val="24"/>
        </w:rPr>
        <w:t>发售</w:t>
      </w:r>
      <w:r>
        <w:rPr>
          <w:bCs/>
          <w:sz w:val="24"/>
        </w:rPr>
        <w:t>面值</w:t>
      </w:r>
      <w:bookmarkEnd w:id="75"/>
      <w:r>
        <w:rPr>
          <w:bCs/>
          <w:sz w:val="24"/>
        </w:rPr>
        <w:t>和认购费用</w:t>
      </w:r>
    </w:p>
    <w:p w14:paraId="7C424B25">
      <w:pPr>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1649B5F7">
      <w:pPr>
        <w:autoSpaceDE w:val="0"/>
        <w:autoSpaceDN w:val="0"/>
        <w:adjustRightInd w:val="0"/>
        <w:spacing w:line="360" w:lineRule="auto"/>
        <w:ind w:firstLine="480" w:firstLineChars="200"/>
        <w:jc w:val="left"/>
        <w:rPr>
          <w:bCs/>
          <w:sz w:val="24"/>
        </w:rPr>
      </w:pPr>
      <w:bookmarkStart w:id="76" w:name="OLE_LINK17"/>
      <w:bookmarkStart w:id="77" w:name="OLE_LINK16"/>
      <w:r>
        <w:rPr>
          <w:bCs/>
          <w:sz w:val="24"/>
        </w:rPr>
        <w:t>本基金具体</w:t>
      </w:r>
      <w:r>
        <w:rPr>
          <w:rFonts w:hint="eastAsia"/>
          <w:bCs/>
          <w:sz w:val="24"/>
        </w:rPr>
        <w:t>认购</w:t>
      </w:r>
      <w:r>
        <w:rPr>
          <w:bCs/>
          <w:sz w:val="24"/>
        </w:rPr>
        <w:t>费率按招募说明书的规定执行。</w:t>
      </w:r>
    </w:p>
    <w:bookmarkEnd w:id="76"/>
    <w:bookmarkEnd w:id="77"/>
    <w:p w14:paraId="24D69162">
      <w:pPr>
        <w:autoSpaceDE w:val="0"/>
        <w:autoSpaceDN w:val="0"/>
        <w:adjustRightInd w:val="0"/>
        <w:spacing w:line="360" w:lineRule="auto"/>
        <w:ind w:firstLine="480" w:firstLineChars="200"/>
        <w:jc w:val="left"/>
        <w:rPr>
          <w:bCs/>
          <w:sz w:val="24"/>
        </w:rPr>
      </w:pPr>
    </w:p>
    <w:p w14:paraId="56942F79">
      <w:pPr>
        <w:spacing w:line="360" w:lineRule="auto"/>
        <w:ind w:firstLine="480" w:firstLineChars="200"/>
        <w:rPr>
          <w:bCs/>
          <w:sz w:val="24"/>
        </w:rPr>
      </w:pPr>
      <w:bookmarkStart w:id="78" w:name="_Toc79392578"/>
      <w:r>
        <w:rPr>
          <w:bCs/>
          <w:sz w:val="24"/>
        </w:rPr>
        <w:t>七、基金存续期限</w:t>
      </w:r>
      <w:bookmarkEnd w:id="78"/>
    </w:p>
    <w:p w14:paraId="0DEE0AC1">
      <w:pPr>
        <w:spacing w:line="360" w:lineRule="auto"/>
        <w:ind w:firstLine="480" w:firstLineChars="200"/>
        <w:rPr>
          <w:bCs/>
          <w:sz w:val="24"/>
        </w:rPr>
      </w:pPr>
      <w:r>
        <w:rPr>
          <w:bCs/>
          <w:sz w:val="24"/>
        </w:rPr>
        <w:t>不定期</w:t>
      </w:r>
    </w:p>
    <w:p w14:paraId="001F40C5">
      <w:pPr>
        <w:spacing w:line="360" w:lineRule="auto"/>
        <w:ind w:firstLine="480" w:firstLineChars="200"/>
        <w:rPr>
          <w:bCs/>
          <w:sz w:val="24"/>
        </w:rPr>
      </w:pPr>
    </w:p>
    <w:p w14:paraId="4A0470F3">
      <w:pPr>
        <w:spacing w:line="360" w:lineRule="auto"/>
        <w:ind w:firstLine="480" w:firstLineChars="200"/>
        <w:rPr>
          <w:bCs/>
          <w:sz w:val="24"/>
        </w:rPr>
      </w:pPr>
    </w:p>
    <w:p w14:paraId="276DFAA3">
      <w:pPr>
        <w:pStyle w:val="2"/>
        <w:spacing w:before="0" w:after="0"/>
        <w:jc w:val="center"/>
        <w:rPr>
          <w:rFonts w:ascii="Times New Roman"/>
          <w:color w:val="auto"/>
          <w:sz w:val="30"/>
        </w:rPr>
      </w:pPr>
      <w:r>
        <w:rPr>
          <w:rFonts w:ascii="Times New Roman"/>
          <w:b w:val="0"/>
          <w:bCs/>
          <w:color w:val="auto"/>
          <w:kern w:val="44"/>
          <w:sz w:val="21"/>
        </w:rPr>
        <w:br w:type="page"/>
      </w:r>
      <w:bookmarkStart w:id="79" w:name="_Toc90742688"/>
      <w:bookmarkStart w:id="80" w:name="_Toc7151"/>
      <w:bookmarkStart w:id="81" w:name="_Toc16265"/>
      <w:bookmarkStart w:id="82" w:name="_Toc27226"/>
      <w:bookmarkStart w:id="83" w:name="_Toc29948"/>
      <w:bookmarkStart w:id="84" w:name="_Toc27189"/>
      <w:bookmarkStart w:id="85" w:name="_Toc3266"/>
      <w:bookmarkStart w:id="86" w:name="_Toc425241706"/>
      <w:bookmarkStart w:id="87" w:name="_Toc90742321"/>
      <w:bookmarkStart w:id="88" w:name="_Toc90742390"/>
      <w:bookmarkStart w:id="89" w:name="_Toc15203"/>
      <w:bookmarkStart w:id="90" w:name="_Toc6714"/>
      <w:bookmarkStart w:id="91" w:name="_Toc22074"/>
      <w:bookmarkStart w:id="92" w:name="_Toc29784"/>
      <w:r>
        <w:rPr>
          <w:rFonts w:ascii="Times New Roman"/>
          <w:color w:val="auto"/>
          <w:sz w:val="30"/>
        </w:rPr>
        <w:t>第四部分基金份额的发售</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413517B5">
      <w:pPr>
        <w:spacing w:line="360" w:lineRule="auto"/>
        <w:ind w:firstLine="420" w:firstLineChars="200"/>
        <w:rPr>
          <w:bCs/>
          <w:kern w:val="44"/>
        </w:rPr>
      </w:pPr>
    </w:p>
    <w:p w14:paraId="2CDB4216">
      <w:pPr>
        <w:spacing w:line="360" w:lineRule="auto"/>
        <w:ind w:firstLine="480" w:firstLineChars="200"/>
        <w:rPr>
          <w:bCs/>
          <w:sz w:val="24"/>
        </w:rPr>
      </w:pPr>
      <w:r>
        <w:rPr>
          <w:bCs/>
          <w:sz w:val="24"/>
        </w:rPr>
        <w:t>一、基金份额的发售时间、发售方式、发售对象</w:t>
      </w:r>
    </w:p>
    <w:p w14:paraId="72831CD5">
      <w:pPr>
        <w:spacing w:line="360" w:lineRule="auto"/>
        <w:ind w:firstLine="480" w:firstLineChars="200"/>
        <w:rPr>
          <w:bCs/>
          <w:sz w:val="24"/>
        </w:rPr>
      </w:pPr>
      <w:r>
        <w:rPr>
          <w:bCs/>
          <w:sz w:val="24"/>
        </w:rPr>
        <w:t>1、发售时间</w:t>
      </w:r>
    </w:p>
    <w:p w14:paraId="2AF6053A">
      <w:pPr>
        <w:spacing w:line="360" w:lineRule="auto"/>
        <w:ind w:firstLine="480" w:firstLineChars="200"/>
        <w:rPr>
          <w:bCs/>
        </w:rPr>
      </w:pPr>
      <w:r>
        <w:rPr>
          <w:bCs/>
          <w:sz w:val="24"/>
        </w:rPr>
        <w:t>自基金份额发售之日起最长不得超过</w:t>
      </w:r>
      <w:r>
        <w:rPr>
          <w:rFonts w:hint="eastAsia"/>
          <w:bCs/>
          <w:sz w:val="24"/>
        </w:rPr>
        <w:t>3</w:t>
      </w:r>
      <w:r>
        <w:rPr>
          <w:bCs/>
          <w:sz w:val="24"/>
        </w:rPr>
        <w:t>个月，具体发售时间见基金份额发售公告。</w:t>
      </w:r>
    </w:p>
    <w:p w14:paraId="3B3340A3">
      <w:pPr>
        <w:spacing w:line="360" w:lineRule="auto"/>
        <w:ind w:firstLine="480" w:firstLineChars="200"/>
        <w:rPr>
          <w:bCs/>
          <w:sz w:val="24"/>
        </w:rPr>
      </w:pPr>
      <w:r>
        <w:rPr>
          <w:bCs/>
          <w:sz w:val="24"/>
        </w:rPr>
        <w:t>2、发售方式</w:t>
      </w:r>
    </w:p>
    <w:p w14:paraId="38437A64">
      <w:pPr>
        <w:spacing w:line="360" w:lineRule="auto"/>
        <w:ind w:firstLine="480" w:firstLineChars="200"/>
        <w:rPr>
          <w:bCs/>
          <w:sz w:val="24"/>
        </w:rPr>
      </w:pPr>
      <w:bookmarkStart w:id="93" w:name="OLE_LINK19"/>
      <w:bookmarkStart w:id="94" w:name="OLE_LINK18"/>
      <w:r>
        <w:rPr>
          <w:bCs/>
          <w:sz w:val="24"/>
        </w:rPr>
        <w:t>通过各销售机构公开发售，各销售机构的具体名单见基金份额发售公告以及基金管理人届时发布的</w:t>
      </w:r>
      <w:r>
        <w:rPr>
          <w:rFonts w:hint="eastAsia"/>
          <w:bCs/>
          <w:sz w:val="24"/>
        </w:rPr>
        <w:t>调整</w:t>
      </w:r>
      <w:r>
        <w:rPr>
          <w:bCs/>
          <w:sz w:val="24"/>
        </w:rPr>
        <w:t>销售机构的相关公告。</w:t>
      </w:r>
    </w:p>
    <w:bookmarkEnd w:id="93"/>
    <w:bookmarkEnd w:id="94"/>
    <w:p w14:paraId="0FBB2B9E">
      <w:pPr>
        <w:spacing w:line="360" w:lineRule="auto"/>
        <w:ind w:firstLine="480" w:firstLineChars="200"/>
        <w:rPr>
          <w:bCs/>
          <w:sz w:val="24"/>
        </w:rPr>
      </w:pPr>
      <w:r>
        <w:rPr>
          <w:rFonts w:hint="eastAsia" w:ascii="宋体" w:hAnsi="宋体"/>
          <w:sz w:val="24"/>
        </w:rPr>
        <w:t>除法律法规另有规定外，任何与基金份额发售有关的当事人不得提前发售基金份额。</w:t>
      </w:r>
    </w:p>
    <w:p w14:paraId="1A850559">
      <w:pPr>
        <w:spacing w:line="360" w:lineRule="auto"/>
        <w:ind w:firstLine="480" w:firstLineChars="200"/>
        <w:rPr>
          <w:bCs/>
          <w:sz w:val="24"/>
        </w:rPr>
      </w:pPr>
      <w:r>
        <w:rPr>
          <w:rFonts w:hint="eastAsia" w:ascii="宋体" w:hAnsi="宋体"/>
          <w:sz w:val="24"/>
        </w:rPr>
        <w:t>销售机构对认购申请的受理并不代表该申请一定成功，而仅代表销售机构确实接收到认购申请。认购的确认以登记机构的确认结果为准。对于认购申请及认购份额的确认情况，投资人应及时查询。</w:t>
      </w:r>
    </w:p>
    <w:p w14:paraId="7C2ADC9A">
      <w:pPr>
        <w:spacing w:line="360" w:lineRule="auto"/>
        <w:ind w:firstLine="480" w:firstLineChars="200"/>
        <w:rPr>
          <w:bCs/>
          <w:sz w:val="24"/>
        </w:rPr>
      </w:pPr>
      <w:r>
        <w:rPr>
          <w:bCs/>
          <w:sz w:val="24"/>
        </w:rPr>
        <w:t>3、发售对象</w:t>
      </w:r>
    </w:p>
    <w:p w14:paraId="135E05C5">
      <w:pPr>
        <w:spacing w:line="360" w:lineRule="auto"/>
        <w:ind w:firstLine="480" w:firstLineChars="200"/>
        <w:rPr>
          <w:bCs/>
          <w:sz w:val="24"/>
        </w:rPr>
      </w:pPr>
      <w:r>
        <w:rPr>
          <w:bCs/>
          <w:sz w:val="24"/>
        </w:rPr>
        <w:t>符合法律法规规定的可投资于证券投资基金的个人投资者、机构投资者</w:t>
      </w:r>
      <w:r>
        <w:rPr>
          <w:rFonts w:hint="eastAsia"/>
          <w:bCs/>
          <w:sz w:val="24"/>
        </w:rPr>
        <w:t>、</w:t>
      </w:r>
      <w:r>
        <w:rPr>
          <w:bCs/>
          <w:sz w:val="24"/>
        </w:rPr>
        <w:t>合格境外机构投资者</w:t>
      </w:r>
      <w:r>
        <w:rPr>
          <w:rFonts w:hint="eastAsia"/>
          <w:bCs/>
          <w:sz w:val="24"/>
        </w:rPr>
        <w:t>、人民币合格境外机构投资者</w:t>
      </w:r>
      <w:r>
        <w:rPr>
          <w:bCs/>
          <w:sz w:val="24"/>
        </w:rPr>
        <w:t>以及法律法规或中国证监会允许购买证券投资基金的其他投资人</w:t>
      </w:r>
      <w:r>
        <w:rPr>
          <w:rFonts w:hint="eastAsia"/>
          <w:bCs/>
          <w:sz w:val="24"/>
        </w:rPr>
        <w:t>。</w:t>
      </w:r>
    </w:p>
    <w:p w14:paraId="191019EE">
      <w:pPr>
        <w:spacing w:line="360" w:lineRule="auto"/>
        <w:ind w:firstLine="480" w:firstLineChars="200"/>
        <w:rPr>
          <w:bCs/>
          <w:sz w:val="24"/>
        </w:rPr>
      </w:pPr>
      <w:r>
        <w:rPr>
          <w:bCs/>
          <w:sz w:val="24"/>
        </w:rPr>
        <w:t>二、基金份额的认购</w:t>
      </w:r>
    </w:p>
    <w:p w14:paraId="19BF7E41">
      <w:pPr>
        <w:spacing w:line="360" w:lineRule="auto"/>
        <w:ind w:firstLine="480" w:firstLineChars="200"/>
        <w:rPr>
          <w:bCs/>
          <w:sz w:val="24"/>
        </w:rPr>
      </w:pPr>
      <w:r>
        <w:rPr>
          <w:bCs/>
          <w:sz w:val="24"/>
        </w:rPr>
        <w:t>1、认购费用</w:t>
      </w:r>
    </w:p>
    <w:p w14:paraId="625B3F54">
      <w:pPr>
        <w:spacing w:line="360" w:lineRule="auto"/>
        <w:ind w:firstLine="480" w:firstLineChars="200"/>
        <w:rPr>
          <w:bCs/>
          <w:sz w:val="24"/>
        </w:rPr>
      </w:pPr>
      <w:r>
        <w:rPr>
          <w:bCs/>
          <w:sz w:val="24"/>
        </w:rPr>
        <w:t>本基金的认购费率由基金管理人决定，并在招募说明书中列示。基金认购费用不列入基金财产。</w:t>
      </w:r>
    </w:p>
    <w:p w14:paraId="619970CD">
      <w:pPr>
        <w:spacing w:line="360" w:lineRule="auto"/>
        <w:ind w:firstLine="480" w:firstLineChars="200"/>
        <w:rPr>
          <w:bCs/>
          <w:sz w:val="24"/>
        </w:rPr>
      </w:pPr>
      <w:r>
        <w:rPr>
          <w:bCs/>
          <w:sz w:val="24"/>
        </w:rPr>
        <w:t>2、募集期利息的处理方式</w:t>
      </w:r>
    </w:p>
    <w:p w14:paraId="568948E8">
      <w:pPr>
        <w:spacing w:line="360" w:lineRule="auto"/>
        <w:ind w:firstLine="480" w:firstLineChars="200"/>
        <w:rPr>
          <w:bCs/>
          <w:sz w:val="24"/>
        </w:rPr>
      </w:pPr>
      <w:r>
        <w:rPr>
          <w:bCs/>
          <w:sz w:val="24"/>
        </w:rPr>
        <w:t>有效认购款项在募集期间产生的利息将折算为基金份额归基金份额持有人所有，其中利息转份额以登记机构的记录为准。</w:t>
      </w:r>
    </w:p>
    <w:p w14:paraId="6BBEBD5A">
      <w:pPr>
        <w:spacing w:line="360" w:lineRule="auto"/>
        <w:ind w:firstLine="480" w:firstLineChars="200"/>
        <w:rPr>
          <w:bCs/>
          <w:sz w:val="24"/>
        </w:rPr>
      </w:pPr>
      <w:r>
        <w:rPr>
          <w:bCs/>
          <w:sz w:val="24"/>
        </w:rPr>
        <w:t>3、基金认购份额的计算</w:t>
      </w:r>
    </w:p>
    <w:p w14:paraId="0F731411">
      <w:pPr>
        <w:spacing w:line="360" w:lineRule="auto"/>
        <w:ind w:firstLine="480" w:firstLineChars="200"/>
        <w:rPr>
          <w:bCs/>
          <w:sz w:val="24"/>
        </w:rPr>
      </w:pPr>
      <w:r>
        <w:rPr>
          <w:bCs/>
          <w:sz w:val="24"/>
        </w:rPr>
        <w:t>基金认购份额具体的计算方法在招募说明书中列示。</w:t>
      </w:r>
    </w:p>
    <w:p w14:paraId="4CD59915">
      <w:pPr>
        <w:spacing w:line="360" w:lineRule="auto"/>
        <w:ind w:firstLine="480" w:firstLineChars="200"/>
        <w:rPr>
          <w:bCs/>
          <w:sz w:val="24"/>
        </w:rPr>
      </w:pPr>
      <w:r>
        <w:rPr>
          <w:bCs/>
          <w:sz w:val="24"/>
        </w:rPr>
        <w:t>4</w:t>
      </w:r>
      <w:r>
        <w:rPr>
          <w:rFonts w:hint="eastAsia"/>
          <w:bCs/>
          <w:sz w:val="24"/>
        </w:rPr>
        <w:t>、</w:t>
      </w:r>
      <w:r>
        <w:rPr>
          <w:bCs/>
          <w:sz w:val="24"/>
        </w:rPr>
        <w:t>认购份额余额的处理方式</w:t>
      </w:r>
    </w:p>
    <w:p w14:paraId="395E8A5A">
      <w:pPr>
        <w:spacing w:line="360" w:lineRule="auto"/>
        <w:ind w:firstLine="480" w:firstLineChars="200"/>
        <w:rPr>
          <w:bCs/>
          <w:sz w:val="24"/>
        </w:rPr>
      </w:pPr>
      <w:r>
        <w:rPr>
          <w:bCs/>
          <w:sz w:val="24"/>
        </w:rPr>
        <w:t>认购份额</w:t>
      </w:r>
      <w:bookmarkStart w:id="95" w:name="OLE_LINK1"/>
      <w:r>
        <w:rPr>
          <w:rFonts w:hint="eastAsia"/>
          <w:bCs/>
          <w:sz w:val="24"/>
        </w:rPr>
        <w:t>余额的处理方式在招募说明书中列示。</w:t>
      </w:r>
      <w:bookmarkEnd w:id="95"/>
    </w:p>
    <w:p w14:paraId="7AEE82B9">
      <w:pPr>
        <w:spacing w:line="360" w:lineRule="auto"/>
        <w:ind w:firstLine="480" w:firstLineChars="200"/>
        <w:rPr>
          <w:bCs/>
          <w:sz w:val="24"/>
        </w:rPr>
      </w:pPr>
      <w:r>
        <w:rPr>
          <w:bCs/>
          <w:sz w:val="24"/>
        </w:rPr>
        <w:t>三</w:t>
      </w:r>
      <w:r>
        <w:rPr>
          <w:rFonts w:hint="eastAsia"/>
          <w:bCs/>
          <w:sz w:val="24"/>
        </w:rPr>
        <w:t>、</w:t>
      </w:r>
      <w:r>
        <w:rPr>
          <w:bCs/>
          <w:sz w:val="24"/>
        </w:rPr>
        <w:t>基金份额认购金额的限制</w:t>
      </w:r>
    </w:p>
    <w:p w14:paraId="2B19DFDB">
      <w:pPr>
        <w:spacing w:line="360" w:lineRule="auto"/>
        <w:ind w:firstLine="480" w:firstLineChars="200"/>
        <w:rPr>
          <w:bCs/>
          <w:sz w:val="24"/>
        </w:rPr>
      </w:pPr>
      <w:r>
        <w:rPr>
          <w:bCs/>
          <w:sz w:val="24"/>
        </w:rPr>
        <w:t>1</w:t>
      </w:r>
      <w:r>
        <w:rPr>
          <w:rFonts w:hint="eastAsia"/>
          <w:bCs/>
          <w:sz w:val="24"/>
        </w:rPr>
        <w:t>、</w:t>
      </w:r>
      <w:r>
        <w:rPr>
          <w:bCs/>
          <w:sz w:val="24"/>
        </w:rPr>
        <w:t>投资人认购时，需按销售机构规定的方式全额缴款。</w:t>
      </w:r>
      <w:r>
        <w:rPr>
          <w:rFonts w:hint="eastAsia"/>
          <w:bCs/>
          <w:sz w:val="24"/>
        </w:rPr>
        <w:t>投资人在募集期内可多次认购，认购申请一经登记机构受理不得撤销。</w:t>
      </w:r>
    </w:p>
    <w:p w14:paraId="1AAD96B9">
      <w:pPr>
        <w:spacing w:line="360" w:lineRule="auto"/>
        <w:ind w:firstLine="480" w:firstLineChars="200"/>
        <w:rPr>
          <w:bCs/>
          <w:sz w:val="24"/>
        </w:rPr>
      </w:pPr>
      <w:r>
        <w:rPr>
          <w:bCs/>
          <w:sz w:val="24"/>
        </w:rPr>
        <w:t>2</w:t>
      </w:r>
      <w:r>
        <w:rPr>
          <w:rFonts w:hint="eastAsia"/>
          <w:bCs/>
          <w:sz w:val="24"/>
        </w:rPr>
        <w:t>、</w:t>
      </w:r>
      <w:r>
        <w:rPr>
          <w:bCs/>
          <w:sz w:val="24"/>
        </w:rPr>
        <w:t>基金管理人可以对每个基金交易账户的单笔最低认购金额进行限制，具体限制请参</w:t>
      </w:r>
      <w:r>
        <w:rPr>
          <w:rFonts w:hint="eastAsia"/>
          <w:bCs/>
          <w:sz w:val="24"/>
        </w:rPr>
        <w:t>见</w:t>
      </w:r>
      <w:r>
        <w:rPr>
          <w:bCs/>
          <w:sz w:val="24"/>
        </w:rPr>
        <w:t>招募说明书</w:t>
      </w:r>
      <w:r>
        <w:rPr>
          <w:rFonts w:hint="eastAsia"/>
          <w:bCs/>
          <w:sz w:val="24"/>
        </w:rPr>
        <w:t>或相关公告</w:t>
      </w:r>
      <w:r>
        <w:rPr>
          <w:bCs/>
          <w:sz w:val="24"/>
        </w:rPr>
        <w:t>。</w:t>
      </w:r>
    </w:p>
    <w:p w14:paraId="107BF999">
      <w:pPr>
        <w:spacing w:line="360" w:lineRule="auto"/>
        <w:ind w:firstLine="480" w:firstLineChars="20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w:t>
      </w:r>
      <w:r>
        <w:rPr>
          <w:rFonts w:hint="eastAsia"/>
          <w:bCs/>
          <w:sz w:val="24"/>
        </w:rPr>
        <w:t>见</w:t>
      </w:r>
      <w:r>
        <w:rPr>
          <w:bCs/>
          <w:sz w:val="24"/>
        </w:rPr>
        <w:t>招募说明书</w:t>
      </w:r>
      <w:r>
        <w:rPr>
          <w:rFonts w:hint="eastAsia"/>
          <w:bCs/>
          <w:sz w:val="24"/>
        </w:rPr>
        <w:t>或相关公告</w:t>
      </w:r>
      <w:r>
        <w:rPr>
          <w:bCs/>
          <w:sz w:val="24"/>
        </w:rPr>
        <w:t>。</w:t>
      </w:r>
    </w:p>
    <w:p w14:paraId="7F231382">
      <w:pPr>
        <w:pStyle w:val="2"/>
        <w:spacing w:before="0" w:after="0"/>
        <w:jc w:val="center"/>
        <w:rPr>
          <w:rFonts w:ascii="Times New Roman"/>
          <w:color w:val="auto"/>
          <w:sz w:val="30"/>
        </w:rPr>
      </w:pPr>
      <w:r>
        <w:rPr>
          <w:rFonts w:ascii="Times New Roman"/>
          <w:b w:val="0"/>
          <w:bCs/>
          <w:color w:val="auto"/>
          <w:kern w:val="44"/>
          <w:sz w:val="21"/>
        </w:rPr>
        <w:br w:type="page"/>
      </w:r>
      <w:bookmarkStart w:id="96" w:name="_Toc7848"/>
      <w:bookmarkStart w:id="97" w:name="_Toc17912"/>
      <w:bookmarkStart w:id="98" w:name="_Toc18797"/>
      <w:bookmarkStart w:id="99" w:name="_Toc4741"/>
      <w:bookmarkStart w:id="100" w:name="_Toc141703885"/>
      <w:bookmarkStart w:id="101" w:name="_Toc26986"/>
      <w:bookmarkStart w:id="102" w:name="_Toc21988"/>
      <w:bookmarkStart w:id="103" w:name="_Toc18329"/>
      <w:bookmarkStart w:id="104" w:name="_Toc1823"/>
      <w:bookmarkStart w:id="105" w:name="_Toc18526"/>
      <w:bookmarkStart w:id="106" w:name="_Toc139991735"/>
      <w:bookmarkStart w:id="107" w:name="_Toc14893"/>
      <w:bookmarkStart w:id="108" w:name="_Toc425241707"/>
      <w:r>
        <w:rPr>
          <w:rFonts w:ascii="Times New Roman"/>
          <w:color w:val="auto"/>
          <w:sz w:val="30"/>
        </w:rPr>
        <w:t>第五部分基金备案</w:t>
      </w:r>
      <w:bookmarkEnd w:id="96"/>
      <w:bookmarkEnd w:id="97"/>
      <w:bookmarkEnd w:id="98"/>
      <w:bookmarkEnd w:id="99"/>
      <w:bookmarkEnd w:id="100"/>
      <w:bookmarkEnd w:id="101"/>
      <w:bookmarkEnd w:id="102"/>
      <w:bookmarkEnd w:id="103"/>
      <w:bookmarkEnd w:id="104"/>
      <w:bookmarkEnd w:id="105"/>
      <w:bookmarkEnd w:id="106"/>
      <w:bookmarkEnd w:id="107"/>
      <w:bookmarkEnd w:id="108"/>
    </w:p>
    <w:p w14:paraId="7FB05384">
      <w:pPr>
        <w:spacing w:line="360" w:lineRule="auto"/>
        <w:ind w:firstLine="540"/>
        <w:rPr>
          <w:bCs/>
          <w:sz w:val="24"/>
        </w:rPr>
      </w:pPr>
    </w:p>
    <w:p w14:paraId="2A80E15F">
      <w:pPr>
        <w:spacing w:line="360" w:lineRule="auto"/>
        <w:ind w:firstLine="480" w:firstLineChars="200"/>
        <w:rPr>
          <w:bCs/>
          <w:sz w:val="24"/>
        </w:rPr>
      </w:pPr>
      <w:r>
        <w:rPr>
          <w:bCs/>
          <w:sz w:val="24"/>
        </w:rPr>
        <w:t>一、基金备案的条件</w:t>
      </w:r>
    </w:p>
    <w:p w14:paraId="2D52BB13">
      <w:pPr>
        <w:spacing w:line="360" w:lineRule="auto"/>
        <w:ind w:firstLine="480" w:firstLineChars="20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59DF9F44">
      <w:pPr>
        <w:spacing w:line="360" w:lineRule="auto"/>
        <w:ind w:firstLine="480" w:firstLineChars="200"/>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2EDEBF6">
      <w:pPr>
        <w:spacing w:line="360" w:lineRule="auto"/>
        <w:ind w:firstLine="480" w:firstLineChars="200"/>
        <w:rPr>
          <w:bCs/>
          <w:sz w:val="24"/>
        </w:rPr>
      </w:pPr>
      <w:r>
        <w:rPr>
          <w:bCs/>
          <w:sz w:val="24"/>
        </w:rPr>
        <w:t>二、基金合同不能生效时募集资金的处理方式</w:t>
      </w:r>
    </w:p>
    <w:p w14:paraId="2C822AAA">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18AB7D9F">
      <w:pPr>
        <w:spacing w:line="360" w:lineRule="auto"/>
        <w:ind w:firstLine="480"/>
        <w:rPr>
          <w:bCs/>
          <w:sz w:val="24"/>
        </w:rPr>
      </w:pPr>
      <w:r>
        <w:rPr>
          <w:bCs/>
          <w:sz w:val="24"/>
        </w:rPr>
        <w:t>1、以其固有财产承担因募集行为而产生的债务和费用；</w:t>
      </w:r>
    </w:p>
    <w:p w14:paraId="05FF09A4">
      <w:pPr>
        <w:spacing w:line="360" w:lineRule="auto"/>
        <w:ind w:firstLine="480" w:firstLineChars="200"/>
        <w:rPr>
          <w:bCs/>
          <w:sz w:val="24"/>
        </w:rPr>
      </w:pPr>
      <w:r>
        <w:rPr>
          <w:bCs/>
          <w:sz w:val="24"/>
        </w:rPr>
        <w:t>2、在基金募集期限届满后</w:t>
      </w:r>
      <w:r>
        <w:rPr>
          <w:rFonts w:hint="eastAsia"/>
          <w:bCs/>
          <w:sz w:val="24"/>
        </w:rPr>
        <w:t>30</w:t>
      </w:r>
      <w:r>
        <w:rPr>
          <w:bCs/>
          <w:sz w:val="24"/>
        </w:rPr>
        <w:t>日内返还投资者已缴纳的款项，并加计银行同期存款利息</w:t>
      </w:r>
      <w:r>
        <w:rPr>
          <w:rFonts w:hint="eastAsia"/>
          <w:bCs/>
          <w:sz w:val="24"/>
        </w:rPr>
        <w:t>；</w:t>
      </w:r>
    </w:p>
    <w:p w14:paraId="242199FE">
      <w:pPr>
        <w:spacing w:line="360" w:lineRule="auto"/>
        <w:ind w:firstLine="480" w:firstLineChars="200"/>
        <w:rPr>
          <w:bCs/>
          <w:sz w:val="24"/>
        </w:rPr>
      </w:pPr>
      <w:r>
        <w:rPr>
          <w:bCs/>
          <w:sz w:val="24"/>
        </w:rPr>
        <w:t>3、如基金募集失败，基金管理人、基金托管人及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381D6EB4">
      <w:pPr>
        <w:spacing w:line="360" w:lineRule="auto"/>
        <w:ind w:firstLine="480" w:firstLineChars="200"/>
        <w:rPr>
          <w:bCs/>
          <w:sz w:val="24"/>
        </w:rPr>
      </w:pPr>
      <w:r>
        <w:rPr>
          <w:bCs/>
          <w:sz w:val="24"/>
        </w:rPr>
        <w:t>三、基金存续期内的基金份额持有人数量和资产规模</w:t>
      </w:r>
    </w:p>
    <w:p w14:paraId="5C2CC987">
      <w:pPr>
        <w:spacing w:line="360" w:lineRule="auto"/>
        <w:ind w:firstLine="480" w:firstLineChars="200"/>
        <w:rPr>
          <w:bCs/>
          <w:sz w:val="24"/>
        </w:rPr>
      </w:pPr>
      <w:r>
        <w:rPr>
          <w:rFonts w:hint="eastAsia"/>
          <w:bCs/>
          <w:sz w:val="24"/>
        </w:rPr>
        <w:t>《基金合同》生效后，连续2</w:t>
      </w:r>
      <w:r>
        <w:rPr>
          <w:bCs/>
          <w:sz w:val="24"/>
        </w:rPr>
        <w:t>0</w:t>
      </w:r>
      <w:r>
        <w:rPr>
          <w:rFonts w:hint="eastAsia"/>
          <w:bCs/>
          <w:sz w:val="24"/>
        </w:rPr>
        <w:t>个工作日出现基金份额持有人数量不满</w:t>
      </w:r>
      <w:r>
        <w:rPr>
          <w:bCs/>
          <w:sz w:val="24"/>
        </w:rPr>
        <w:t>200</w:t>
      </w:r>
      <w:r>
        <w:rPr>
          <w:rFonts w:hint="eastAsia"/>
          <w:bCs/>
          <w:sz w:val="24"/>
        </w:rPr>
        <w:t>人或者基金资产净值低于</w:t>
      </w:r>
      <w:r>
        <w:rPr>
          <w:bCs/>
          <w:sz w:val="24"/>
        </w:rPr>
        <w:t>5000</w:t>
      </w:r>
      <w:r>
        <w:rPr>
          <w:rFonts w:hint="eastAsia"/>
          <w:bCs/>
          <w:sz w:val="24"/>
        </w:rPr>
        <w:t>万元情形的，基金管理人应当在定期报告中予以披露。连续6</w:t>
      </w:r>
      <w:r>
        <w:rPr>
          <w:bCs/>
          <w:sz w:val="24"/>
        </w:rPr>
        <w:t>0</w:t>
      </w:r>
      <w:r>
        <w:rPr>
          <w:rFonts w:hint="eastAsia"/>
          <w:bCs/>
          <w:sz w:val="24"/>
        </w:rPr>
        <w:t>个工作日出现前述情形的，基金管理人</w:t>
      </w:r>
      <w:r>
        <w:rPr>
          <w:bCs/>
          <w:sz w:val="24"/>
        </w:rPr>
        <w:t>应当向中国证监会</w:t>
      </w:r>
      <w:r>
        <w:rPr>
          <w:rFonts w:hint="eastAsia"/>
          <w:bCs/>
          <w:sz w:val="24"/>
        </w:rPr>
        <w:t>报告</w:t>
      </w:r>
      <w:r>
        <w:rPr>
          <w:bCs/>
          <w:sz w:val="24"/>
        </w:rPr>
        <w:t>并</w:t>
      </w:r>
      <w:r>
        <w:rPr>
          <w:rFonts w:hint="eastAsia"/>
          <w:bCs/>
          <w:sz w:val="24"/>
        </w:rPr>
        <w:t>提出</w:t>
      </w:r>
      <w:r>
        <w:rPr>
          <w:bCs/>
          <w:sz w:val="24"/>
        </w:rPr>
        <w:t>解决方案</w:t>
      </w:r>
      <w:r>
        <w:rPr>
          <w:rFonts w:hint="eastAsia"/>
          <w:bCs/>
          <w:sz w:val="24"/>
        </w:rPr>
        <w:t>，如转换运作方式、与其他基金合并或者终止基金合同等，</w:t>
      </w:r>
      <w:r>
        <w:rPr>
          <w:bCs/>
          <w:sz w:val="24"/>
        </w:rPr>
        <w:t>并</w:t>
      </w:r>
      <w:r>
        <w:rPr>
          <w:rFonts w:hint="eastAsia"/>
          <w:bCs/>
          <w:sz w:val="24"/>
        </w:rPr>
        <w:t>召开基金份额持有人大会进行</w:t>
      </w:r>
      <w:r>
        <w:rPr>
          <w:bCs/>
          <w:sz w:val="24"/>
        </w:rPr>
        <w:t>表决</w:t>
      </w:r>
      <w:r>
        <w:rPr>
          <w:rFonts w:hint="eastAsia"/>
          <w:bCs/>
          <w:sz w:val="24"/>
        </w:rPr>
        <w:t>。</w:t>
      </w:r>
    </w:p>
    <w:p w14:paraId="3D3C2D97">
      <w:pPr>
        <w:spacing w:line="360" w:lineRule="auto"/>
        <w:ind w:firstLine="480" w:firstLineChars="200"/>
        <w:rPr>
          <w:bCs/>
          <w:sz w:val="24"/>
        </w:rPr>
      </w:pPr>
      <w:r>
        <w:rPr>
          <w:bCs/>
          <w:sz w:val="24"/>
        </w:rPr>
        <w:t>法律法规另有规定时，从其规定。</w:t>
      </w:r>
    </w:p>
    <w:p w14:paraId="48ADC2C3">
      <w:pPr>
        <w:pStyle w:val="2"/>
        <w:spacing w:before="0" w:after="0"/>
        <w:jc w:val="center"/>
        <w:rPr>
          <w:rFonts w:ascii="Times New Roman"/>
          <w:color w:val="auto"/>
          <w:sz w:val="30"/>
        </w:rPr>
      </w:pPr>
      <w:r>
        <w:rPr>
          <w:rFonts w:ascii="Times New Roman"/>
          <w:b w:val="0"/>
          <w:bCs/>
          <w:color w:val="auto"/>
          <w:kern w:val="44"/>
          <w:sz w:val="21"/>
        </w:rPr>
        <w:br w:type="page"/>
      </w:r>
      <w:bookmarkStart w:id="109" w:name="_Toc98560352"/>
      <w:bookmarkStart w:id="110" w:name="_Toc1427"/>
      <w:bookmarkStart w:id="111" w:name="_Toc123051452"/>
      <w:bookmarkStart w:id="112" w:name="_Toc23822"/>
      <w:bookmarkStart w:id="113" w:name="_Toc79392606"/>
      <w:bookmarkStart w:id="114" w:name="_Toc123112234"/>
      <w:bookmarkStart w:id="115" w:name="_Toc23261"/>
      <w:bookmarkStart w:id="116" w:name="_Toc123102453"/>
      <w:bookmarkStart w:id="117" w:name="_Toc7920"/>
      <w:bookmarkStart w:id="118" w:name="_Toc610"/>
      <w:bookmarkStart w:id="119" w:name="_Toc10463"/>
      <w:bookmarkStart w:id="120" w:name="_Toc20733"/>
      <w:bookmarkStart w:id="121" w:name="_Toc425241708"/>
      <w:bookmarkStart w:id="122" w:name="_Toc139991736"/>
      <w:bookmarkStart w:id="123" w:name="_Toc4003"/>
      <w:bookmarkStart w:id="124" w:name="_Toc17244"/>
      <w:bookmarkStart w:id="125" w:name="_Toc48649707"/>
      <w:bookmarkStart w:id="126" w:name="_Toc141703886"/>
      <w:bookmarkStart w:id="127" w:name="_Toc1270"/>
      <w:r>
        <w:rPr>
          <w:rFonts w:ascii="Times New Roman"/>
          <w:color w:val="auto"/>
          <w:sz w:val="30"/>
        </w:rPr>
        <w:t>第六部分基金份额的申购与赎回</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4D158290">
      <w:pPr>
        <w:spacing w:line="360" w:lineRule="auto"/>
        <w:ind w:firstLine="540"/>
        <w:rPr>
          <w:bCs/>
          <w:sz w:val="24"/>
        </w:rPr>
      </w:pPr>
    </w:p>
    <w:p w14:paraId="4D3EB257">
      <w:pPr>
        <w:spacing w:line="360" w:lineRule="auto"/>
        <w:ind w:firstLine="480" w:firstLineChars="200"/>
        <w:rPr>
          <w:bCs/>
          <w:sz w:val="24"/>
        </w:rPr>
      </w:pPr>
      <w:r>
        <w:rPr>
          <w:bCs/>
          <w:sz w:val="24"/>
        </w:rPr>
        <w:t>一、申购和赎回场所</w:t>
      </w:r>
    </w:p>
    <w:p w14:paraId="794CA040">
      <w:pPr>
        <w:spacing w:line="360" w:lineRule="auto"/>
        <w:ind w:firstLine="480" w:firstLineChars="200"/>
        <w:rPr>
          <w:bCs/>
          <w:sz w:val="24"/>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将由基金管理人在招募说明书或其他相关公告中列明。基金管理人可根据情况变更或增减销售机构，并</w:t>
      </w:r>
      <w:r>
        <w:rPr>
          <w:rFonts w:hint="eastAsia"/>
          <w:bCs/>
          <w:sz w:val="24"/>
        </w:rPr>
        <w:t>在</w:t>
      </w:r>
      <w:r>
        <w:rPr>
          <w:bCs/>
          <w:sz w:val="24"/>
        </w:rPr>
        <w:t>管理人网站公示。基金投资者应当</w:t>
      </w:r>
      <w:r>
        <w:rPr>
          <w:rFonts w:hint="eastAsia"/>
          <w:bCs/>
          <w:sz w:val="24"/>
        </w:rPr>
        <w:t>在</w:t>
      </w:r>
      <w:r>
        <w:rPr>
          <w:bCs/>
          <w:sz w:val="24"/>
        </w:rPr>
        <w:t>销售机构办理基金销售业务的营业场所或按销售机构提供的其他方式办理基金份额的申购与赎回。</w:t>
      </w:r>
    </w:p>
    <w:p w14:paraId="0BAC9FA1">
      <w:pPr>
        <w:spacing w:line="360" w:lineRule="auto"/>
        <w:ind w:firstLine="480" w:firstLineChars="200"/>
        <w:rPr>
          <w:bCs/>
          <w:sz w:val="24"/>
        </w:rPr>
      </w:pPr>
      <w:r>
        <w:rPr>
          <w:bCs/>
          <w:sz w:val="24"/>
        </w:rPr>
        <w:t>二、申购和赎回的开放日及时间</w:t>
      </w:r>
    </w:p>
    <w:p w14:paraId="78749803">
      <w:pPr>
        <w:spacing w:line="360" w:lineRule="auto"/>
        <w:ind w:firstLine="480" w:firstLineChars="200"/>
        <w:rPr>
          <w:bCs/>
          <w:sz w:val="24"/>
        </w:rPr>
      </w:pPr>
      <w:r>
        <w:rPr>
          <w:bCs/>
          <w:sz w:val="24"/>
        </w:rPr>
        <w:t>1</w:t>
      </w:r>
      <w:r>
        <w:rPr>
          <w:rFonts w:hint="eastAsia"/>
          <w:bCs/>
          <w:sz w:val="24"/>
        </w:rPr>
        <w:t>、</w:t>
      </w:r>
      <w:r>
        <w:rPr>
          <w:bCs/>
          <w:sz w:val="24"/>
        </w:rPr>
        <w:t>开放日及开放时间</w:t>
      </w:r>
    </w:p>
    <w:p w14:paraId="2BF89198">
      <w:pPr>
        <w:spacing w:line="360" w:lineRule="auto"/>
        <w:ind w:firstLine="480" w:firstLineChars="200"/>
        <w:rPr>
          <w:bCs/>
          <w:sz w:val="24"/>
        </w:rPr>
      </w:pPr>
      <w:r>
        <w:rPr>
          <w:bCs/>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14:paraId="79F63A46">
      <w:pPr>
        <w:spacing w:line="360" w:lineRule="auto"/>
        <w:ind w:firstLine="480" w:firstLineChars="200"/>
        <w:rPr>
          <w:bCs/>
          <w:sz w:val="24"/>
        </w:rPr>
      </w:pPr>
      <w:r>
        <w:rPr>
          <w:bCs/>
          <w:sz w:val="24"/>
        </w:rPr>
        <w:t>基金合同生效后，若出现新的证券/</w:t>
      </w:r>
      <w:r>
        <w:rPr>
          <w:rFonts w:hint="eastAsia"/>
          <w:bCs/>
          <w:sz w:val="24"/>
        </w:rPr>
        <w:t>期货</w:t>
      </w:r>
      <w:r>
        <w:rPr>
          <w:bCs/>
          <w:sz w:val="24"/>
        </w:rPr>
        <w:t>交易市场、证券/</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交易所交易时间变更或其他特殊情况，基金管理人将视情况对前述开放日及开放时间进行相应的调整，但应在实施日前依照《信息披露办法》的有关规定在指定媒介上公告。</w:t>
      </w:r>
    </w:p>
    <w:p w14:paraId="76268943">
      <w:pPr>
        <w:spacing w:line="360" w:lineRule="auto"/>
        <w:ind w:firstLine="480" w:firstLineChars="200"/>
        <w:rPr>
          <w:bCs/>
          <w:sz w:val="24"/>
        </w:rPr>
      </w:pPr>
      <w:r>
        <w:rPr>
          <w:bCs/>
          <w:sz w:val="24"/>
        </w:rPr>
        <w:t>2</w:t>
      </w:r>
      <w:r>
        <w:rPr>
          <w:rFonts w:hint="eastAsia"/>
          <w:bCs/>
          <w:sz w:val="24"/>
        </w:rPr>
        <w:t>、</w:t>
      </w:r>
      <w:r>
        <w:rPr>
          <w:bCs/>
          <w:sz w:val="24"/>
        </w:rPr>
        <w:t>申购、赎回开始日及业务办理时间</w:t>
      </w:r>
    </w:p>
    <w:p w14:paraId="3F6CB6AB">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开始办理申购，具体业务办理时间在申购开始公告中规定。</w:t>
      </w:r>
    </w:p>
    <w:p w14:paraId="48A8842E">
      <w:pPr>
        <w:spacing w:line="360" w:lineRule="auto"/>
        <w:ind w:firstLine="480" w:firstLineChars="200"/>
        <w:rPr>
          <w:bCs/>
          <w:sz w:val="24"/>
        </w:rPr>
      </w:pPr>
      <w:r>
        <w:rPr>
          <w:bCs/>
          <w:sz w:val="24"/>
        </w:rPr>
        <w:t>基金管理人自基金合同生效之日起不超过</w:t>
      </w:r>
      <w:r>
        <w:rPr>
          <w:rFonts w:hint="eastAsia"/>
          <w:bCs/>
          <w:sz w:val="24"/>
        </w:rPr>
        <w:t>3个月</w:t>
      </w:r>
      <w:r>
        <w:rPr>
          <w:bCs/>
          <w:sz w:val="24"/>
        </w:rPr>
        <w:t>开始办理赎回，具体业务办理时间在赎回开始公告中规定。</w:t>
      </w:r>
    </w:p>
    <w:p w14:paraId="03E3AC2F">
      <w:pPr>
        <w:spacing w:line="360" w:lineRule="auto"/>
        <w:ind w:firstLine="480" w:firstLineChars="200"/>
        <w:rPr>
          <w:bCs/>
          <w:sz w:val="24"/>
        </w:rPr>
      </w:pPr>
      <w:r>
        <w:rPr>
          <w:bCs/>
          <w:sz w:val="24"/>
        </w:rPr>
        <w:t>在确定申购开始与赎回开始时间后，基金管理人应在申购、赎回开放日前依照《信息披露办法》的有关规定在指定媒介上公告申购与赎回的开始时间。</w:t>
      </w:r>
    </w:p>
    <w:p w14:paraId="505147E3">
      <w:pPr>
        <w:spacing w:line="360" w:lineRule="auto"/>
        <w:ind w:firstLine="480" w:firstLineChars="20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14:paraId="593FADE0">
      <w:pPr>
        <w:spacing w:line="360" w:lineRule="auto"/>
        <w:ind w:firstLine="480" w:firstLineChars="200"/>
        <w:rPr>
          <w:bCs/>
          <w:sz w:val="24"/>
        </w:rPr>
      </w:pPr>
      <w:r>
        <w:rPr>
          <w:bCs/>
          <w:sz w:val="24"/>
        </w:rPr>
        <w:t>三、申购与赎回的原则</w:t>
      </w:r>
    </w:p>
    <w:p w14:paraId="7AFE3F1E">
      <w:pPr>
        <w:spacing w:line="360" w:lineRule="auto"/>
        <w:ind w:firstLine="480" w:firstLineChars="200"/>
        <w:rPr>
          <w:bCs/>
          <w:sz w:val="24"/>
        </w:rPr>
      </w:pPr>
      <w:r>
        <w:rPr>
          <w:bCs/>
          <w:sz w:val="24"/>
        </w:rPr>
        <w:t>1</w:t>
      </w:r>
      <w:r>
        <w:rPr>
          <w:rFonts w:hint="eastAsia"/>
          <w:bCs/>
          <w:sz w:val="24"/>
        </w:rPr>
        <w:t>、</w:t>
      </w:r>
      <w:r>
        <w:rPr>
          <w:bCs/>
          <w:sz w:val="24"/>
        </w:rPr>
        <w:t>“未知价”原则，即申购、赎回价格以申请当日收市后计算的基金份额净值为基准进行计算；</w:t>
      </w:r>
    </w:p>
    <w:p w14:paraId="06C84C73">
      <w:pPr>
        <w:spacing w:line="360" w:lineRule="auto"/>
        <w:ind w:firstLine="480" w:firstLineChars="200"/>
        <w:rPr>
          <w:bCs/>
          <w:sz w:val="24"/>
        </w:rPr>
      </w:pPr>
      <w:r>
        <w:rPr>
          <w:bCs/>
          <w:sz w:val="24"/>
        </w:rPr>
        <w:t>2</w:t>
      </w:r>
      <w:r>
        <w:rPr>
          <w:rFonts w:hint="eastAsia"/>
          <w:bCs/>
          <w:sz w:val="24"/>
        </w:rPr>
        <w:t>、</w:t>
      </w:r>
      <w:r>
        <w:rPr>
          <w:bCs/>
          <w:sz w:val="24"/>
        </w:rPr>
        <w:t>“金额申购、份额赎回”原则，即申购以金额申请，赎回以份额申请；</w:t>
      </w:r>
    </w:p>
    <w:p w14:paraId="4D2996A4">
      <w:pPr>
        <w:spacing w:line="360" w:lineRule="auto"/>
        <w:ind w:firstLine="480" w:firstLineChars="200"/>
        <w:rPr>
          <w:bCs/>
          <w:sz w:val="24"/>
        </w:rPr>
      </w:pPr>
      <w:r>
        <w:rPr>
          <w:bCs/>
          <w:sz w:val="24"/>
        </w:rPr>
        <w:t>3</w:t>
      </w:r>
      <w:r>
        <w:rPr>
          <w:rFonts w:hint="eastAsia"/>
          <w:bCs/>
          <w:sz w:val="24"/>
        </w:rPr>
        <w:t>、</w:t>
      </w:r>
      <w:r>
        <w:rPr>
          <w:bCs/>
          <w:sz w:val="24"/>
        </w:rPr>
        <w:t>当日的申购与赎回申请可以在基金管理人规定的时间以内撤销</w:t>
      </w:r>
      <w:r>
        <w:rPr>
          <w:rFonts w:hint="eastAsia"/>
          <w:bCs/>
          <w:sz w:val="24"/>
        </w:rPr>
        <w:t>，但申请经登记机构受理的不得撤销</w:t>
      </w:r>
      <w:r>
        <w:rPr>
          <w:bCs/>
          <w:sz w:val="24"/>
        </w:rPr>
        <w:t>；</w:t>
      </w:r>
    </w:p>
    <w:p w14:paraId="4F84FAA1">
      <w:pPr>
        <w:spacing w:line="360" w:lineRule="auto"/>
        <w:ind w:firstLine="480" w:firstLineChars="200"/>
        <w:rPr>
          <w:bCs/>
          <w:sz w:val="24"/>
        </w:rPr>
      </w:pPr>
      <w:r>
        <w:rPr>
          <w:bCs/>
          <w:sz w:val="24"/>
        </w:rPr>
        <w:t>4</w:t>
      </w:r>
      <w:r>
        <w:rPr>
          <w:rFonts w:hint="eastAsia"/>
          <w:bCs/>
          <w:sz w:val="24"/>
        </w:rPr>
        <w:t>、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3B8FBF4A">
      <w:pPr>
        <w:spacing w:line="360" w:lineRule="auto"/>
        <w:ind w:firstLine="480" w:firstLineChars="200"/>
        <w:rPr>
          <w:bCs/>
        </w:rPr>
      </w:pPr>
      <w:r>
        <w:rPr>
          <w:bCs/>
          <w:sz w:val="24"/>
        </w:rPr>
        <w:t>基金管理人可在法律法规允许的情况下，对上述原则进行调整。基金管理人必须在新规则开始实施前依照《信息披露办法》的有关规定在指定媒介上公告。</w:t>
      </w:r>
    </w:p>
    <w:p w14:paraId="14AA5AB1">
      <w:pPr>
        <w:spacing w:line="360" w:lineRule="auto"/>
        <w:ind w:firstLine="480" w:firstLineChars="200"/>
        <w:rPr>
          <w:bCs/>
          <w:sz w:val="24"/>
        </w:rPr>
      </w:pPr>
      <w:r>
        <w:rPr>
          <w:bCs/>
          <w:sz w:val="24"/>
        </w:rPr>
        <w:t>四、申购与赎回的程序</w:t>
      </w:r>
    </w:p>
    <w:p w14:paraId="666605D9">
      <w:pPr>
        <w:spacing w:line="360" w:lineRule="auto"/>
        <w:ind w:firstLine="480" w:firstLineChars="200"/>
        <w:rPr>
          <w:bCs/>
          <w:sz w:val="24"/>
        </w:rPr>
      </w:pPr>
      <w:r>
        <w:rPr>
          <w:bCs/>
          <w:sz w:val="24"/>
        </w:rPr>
        <w:t>1</w:t>
      </w:r>
      <w:r>
        <w:rPr>
          <w:rFonts w:hint="eastAsia"/>
          <w:bCs/>
          <w:sz w:val="24"/>
        </w:rPr>
        <w:t>、</w:t>
      </w:r>
      <w:r>
        <w:rPr>
          <w:bCs/>
          <w:sz w:val="24"/>
        </w:rPr>
        <w:t>申购和赎回的申请方式</w:t>
      </w:r>
    </w:p>
    <w:p w14:paraId="72FB55F5">
      <w:pPr>
        <w:spacing w:line="360" w:lineRule="auto"/>
        <w:ind w:firstLine="480" w:firstLineChars="200"/>
        <w:rPr>
          <w:bCs/>
          <w:sz w:val="24"/>
        </w:rPr>
      </w:pPr>
      <w:r>
        <w:rPr>
          <w:bCs/>
          <w:sz w:val="24"/>
        </w:rPr>
        <w:t>投资人必须根据销售机构规定的程序，在开放日的具体业务办理时间内提出申购或赎回的申请。</w:t>
      </w:r>
      <w:r>
        <w:rPr>
          <w:rFonts w:hint="eastAsia"/>
          <w:bCs/>
          <w:sz w:val="24"/>
        </w:rPr>
        <w:t>投资人在提交申购申请时须按销售机构规定的方式备足申购资金，投资人在提交赎回申请时须持有足够的基金份额余额，否则所提交的申购、赎回申请不成立。</w:t>
      </w:r>
    </w:p>
    <w:p w14:paraId="2F1D8912">
      <w:pPr>
        <w:spacing w:line="360" w:lineRule="auto"/>
        <w:ind w:firstLine="480" w:firstLineChars="200"/>
        <w:rPr>
          <w:bCs/>
          <w:sz w:val="24"/>
        </w:rPr>
      </w:pPr>
      <w:r>
        <w:rPr>
          <w:bCs/>
          <w:sz w:val="24"/>
        </w:rPr>
        <w:t>2</w:t>
      </w:r>
      <w:r>
        <w:rPr>
          <w:rFonts w:hint="eastAsia"/>
          <w:bCs/>
          <w:sz w:val="24"/>
        </w:rPr>
        <w:t>、</w:t>
      </w:r>
      <w:r>
        <w:rPr>
          <w:bCs/>
          <w:sz w:val="24"/>
        </w:rPr>
        <w:t>申购和赎回的款项支付</w:t>
      </w:r>
    </w:p>
    <w:p w14:paraId="1B205521">
      <w:pPr>
        <w:spacing w:line="360" w:lineRule="auto"/>
        <w:ind w:firstLine="480" w:firstLineChars="200"/>
        <w:rPr>
          <w:bCs/>
          <w:sz w:val="24"/>
          <w:lang w:val="zh-CN"/>
        </w:rPr>
      </w:pPr>
      <w:r>
        <w:rPr>
          <w:bCs/>
          <w:sz w:val="24"/>
          <w:lang w:val="zh-CN"/>
        </w:rPr>
        <w:t>投资人申购基金份额时，必须全额交付申购款项，</w:t>
      </w:r>
      <w:r>
        <w:rPr>
          <w:rFonts w:hint="eastAsia"/>
          <w:bCs/>
          <w:sz w:val="24"/>
          <w:lang w:val="zh-CN"/>
        </w:rPr>
        <w:t>若申购资金在规定时间内未全额到账则申购不成立。投资人全额交付申购款项，申购成立；登记机构确认基金份额时，申购生效。</w:t>
      </w:r>
    </w:p>
    <w:p w14:paraId="426E8172">
      <w:pPr>
        <w:spacing w:line="360" w:lineRule="auto"/>
        <w:ind w:firstLine="480" w:firstLineChars="200"/>
        <w:rPr>
          <w:bCs/>
          <w:sz w:val="24"/>
        </w:rPr>
      </w:pPr>
      <w:r>
        <w:rPr>
          <w:rFonts w:hint="eastAsia"/>
          <w:bCs/>
          <w:sz w:val="24"/>
          <w:lang w:val="zh-CN"/>
        </w:rPr>
        <w:t>投资人递交赎回申请，赎回成立；登记机构确认赎回时，赎回生效。</w:t>
      </w:r>
      <w:bookmarkStart w:id="128" w:name="OLE_LINK23"/>
      <w:bookmarkStart w:id="129" w:name="OLE_LINK22"/>
      <w:r>
        <w:rPr>
          <w:bCs/>
          <w:sz w:val="24"/>
        </w:rPr>
        <w:t>投资人赎回申请成功后，基金管理人将在T＋</w:t>
      </w:r>
      <w:r>
        <w:rPr>
          <w:rFonts w:hint="eastAsia"/>
          <w:bCs/>
          <w:sz w:val="24"/>
        </w:rPr>
        <w:t>7</w:t>
      </w:r>
      <w:r>
        <w:rPr>
          <w:bCs/>
          <w:sz w:val="24"/>
        </w:rPr>
        <w:t>日</w:t>
      </w:r>
      <w:r>
        <w:rPr>
          <w:rFonts w:hint="eastAsia"/>
          <w:bCs/>
          <w:sz w:val="24"/>
        </w:rPr>
        <w:t>（</w:t>
      </w:r>
      <w:r>
        <w:rPr>
          <w:bCs/>
          <w:sz w:val="24"/>
        </w:rPr>
        <w:t>包括该日</w:t>
      </w:r>
      <w:r>
        <w:rPr>
          <w:rFonts w:hint="eastAsia"/>
          <w:bCs/>
          <w:sz w:val="24"/>
        </w:rPr>
        <w:t>）</w:t>
      </w:r>
      <w:r>
        <w:rPr>
          <w:bCs/>
          <w:sz w:val="24"/>
        </w:rPr>
        <w:t>内支付赎回款项。在发生巨额赎回</w:t>
      </w:r>
      <w:r>
        <w:rPr>
          <w:rFonts w:hint="eastAsia"/>
          <w:bCs/>
          <w:sz w:val="24"/>
        </w:rPr>
        <w:t>或基金合同载明的其他暂停赎回或延缓支付赎回款项的情形</w:t>
      </w:r>
      <w:r>
        <w:rPr>
          <w:bCs/>
          <w:sz w:val="24"/>
        </w:rPr>
        <w:t>时，款项的支付办法参照本基金合同有关条款处理。</w:t>
      </w:r>
    </w:p>
    <w:bookmarkEnd w:id="128"/>
    <w:bookmarkEnd w:id="129"/>
    <w:p w14:paraId="2468BD92">
      <w:pPr>
        <w:spacing w:line="360" w:lineRule="auto"/>
        <w:ind w:firstLine="480" w:firstLineChars="200"/>
        <w:rPr>
          <w:bCs/>
          <w:sz w:val="24"/>
        </w:rPr>
      </w:pPr>
      <w:r>
        <w:rPr>
          <w:bCs/>
          <w:sz w:val="24"/>
        </w:rPr>
        <w:t>3</w:t>
      </w:r>
      <w:r>
        <w:rPr>
          <w:rFonts w:hint="eastAsia"/>
          <w:bCs/>
          <w:sz w:val="24"/>
        </w:rPr>
        <w:t>、</w:t>
      </w:r>
      <w:r>
        <w:rPr>
          <w:bCs/>
          <w:sz w:val="24"/>
        </w:rPr>
        <w:t>申购和赎回申请的确认</w:t>
      </w:r>
    </w:p>
    <w:p w14:paraId="613D44A2">
      <w:pPr>
        <w:spacing w:line="360" w:lineRule="auto"/>
        <w:ind w:firstLine="480" w:firstLineChars="200"/>
        <w:rPr>
          <w:bCs/>
          <w:sz w:val="24"/>
        </w:rPr>
      </w:pPr>
      <w:r>
        <w:rPr>
          <w:bCs/>
          <w:sz w:val="24"/>
        </w:rPr>
        <w:t>基金管理人</w:t>
      </w:r>
      <w:r>
        <w:rPr>
          <w:rFonts w:hint="eastAsia"/>
          <w:bCs/>
          <w:sz w:val="24"/>
        </w:rPr>
        <w:t>或基金管理人委托的登记机构</w:t>
      </w:r>
      <w:r>
        <w:rPr>
          <w:bCs/>
          <w:sz w:val="24"/>
        </w:rPr>
        <w:t>应以交易时间结束前受理</w:t>
      </w:r>
      <w:r>
        <w:rPr>
          <w:rFonts w:hint="eastAsia"/>
          <w:bCs/>
          <w:sz w:val="24"/>
        </w:rPr>
        <w:t>有效</w:t>
      </w:r>
      <w:r>
        <w:rPr>
          <w:bCs/>
          <w:sz w:val="24"/>
        </w:rPr>
        <w:t>申购和赎回申请的当天作为申购或赎回申请日</w:t>
      </w:r>
      <w:r>
        <w:rPr>
          <w:rFonts w:hint="eastAsia"/>
          <w:bCs/>
          <w:sz w:val="24"/>
        </w:rPr>
        <w:t>（</w:t>
      </w:r>
      <w:r>
        <w:rPr>
          <w:bCs/>
          <w:sz w:val="24"/>
        </w:rPr>
        <w:t>T日</w:t>
      </w:r>
      <w:r>
        <w:rPr>
          <w:rFonts w:hint="eastAsia"/>
          <w:bCs/>
          <w:sz w:val="24"/>
        </w:rPr>
        <w:t>）</w:t>
      </w:r>
      <w:r>
        <w:rPr>
          <w:bCs/>
          <w:sz w:val="24"/>
        </w:rPr>
        <w:t>，在正常情况下，</w:t>
      </w:r>
      <w:bookmarkStart w:id="130" w:name="OLE_LINK25"/>
      <w:bookmarkStart w:id="131" w:name="OLE_LINK24"/>
      <w:r>
        <w:rPr>
          <w:bCs/>
          <w:sz w:val="24"/>
        </w:rPr>
        <w:t>本基金登记机构在T+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内对该交易的有效性进行确认。T日提交的有效申请，投资人</w:t>
      </w:r>
      <w:r>
        <w:rPr>
          <w:rFonts w:hint="eastAsia"/>
          <w:bCs/>
          <w:sz w:val="24"/>
        </w:rPr>
        <w:t>应</w:t>
      </w:r>
      <w:r>
        <w:rPr>
          <w:bCs/>
          <w:sz w:val="24"/>
        </w:rPr>
        <w:t>在T+</w:t>
      </w:r>
      <w:r>
        <w:rPr>
          <w:rFonts w:hint="eastAsia"/>
          <w:bCs/>
          <w:sz w:val="24"/>
        </w:rPr>
        <w:t>2</w:t>
      </w:r>
      <w:r>
        <w:rPr>
          <w:bCs/>
          <w:sz w:val="24"/>
        </w:rPr>
        <w:t>日后</w:t>
      </w:r>
      <w:r>
        <w:rPr>
          <w:rFonts w:hint="eastAsia"/>
          <w:bCs/>
          <w:sz w:val="24"/>
        </w:rPr>
        <w:t>（</w:t>
      </w:r>
      <w:r>
        <w:rPr>
          <w:bCs/>
          <w:sz w:val="24"/>
        </w:rPr>
        <w:t>包括该日</w:t>
      </w:r>
      <w:r>
        <w:rPr>
          <w:rFonts w:hint="eastAsia"/>
          <w:bCs/>
          <w:sz w:val="24"/>
        </w:rPr>
        <w:t>）及时</w:t>
      </w:r>
      <w:r>
        <w:rPr>
          <w:bCs/>
          <w:sz w:val="24"/>
        </w:rPr>
        <w:t>到销售网点柜台或以销售机构规定的其他方式查询申请的确认情况。</w:t>
      </w:r>
      <w:bookmarkEnd w:id="130"/>
      <w:bookmarkEnd w:id="131"/>
      <w:r>
        <w:rPr>
          <w:bCs/>
          <w:sz w:val="24"/>
        </w:rPr>
        <w:t>若申购不成功，则申购款项退还给投资人。</w:t>
      </w:r>
    </w:p>
    <w:p w14:paraId="067ED658">
      <w:pPr>
        <w:spacing w:line="360" w:lineRule="auto"/>
        <w:ind w:firstLine="480" w:firstLineChars="200"/>
        <w:rPr>
          <w:rFonts w:ascii="宋体" w:hAnsi="宋体"/>
          <w:sz w:val="24"/>
          <w:szCs w:val="18"/>
        </w:rPr>
      </w:pPr>
      <w:r>
        <w:rPr>
          <w:rFonts w:hint="eastAsia" w:ascii="宋体" w:hAnsi="宋体"/>
          <w:sz w:val="24"/>
          <w:szCs w:val="18"/>
        </w:rPr>
        <w:t>基金管理人可在法律法规允许的范围内，依法对上述申购和赎回申请的确认时间进行调整，并必须在调整实施日前按照《信息披露办法》的有关规定在指定媒介上公告并报中国证监会备案。</w:t>
      </w:r>
    </w:p>
    <w:p w14:paraId="4AF19921">
      <w:pPr>
        <w:spacing w:line="360" w:lineRule="auto"/>
        <w:ind w:firstLine="480" w:firstLineChars="200"/>
        <w:rPr>
          <w:bCs/>
          <w:sz w:val="24"/>
        </w:rPr>
      </w:pPr>
      <w:r>
        <w:rPr>
          <w:rFonts w:hint="eastAsia" w:ascii="宋体" w:hAnsi="宋体"/>
          <w:sz w:val="24"/>
          <w:szCs w:val="18"/>
        </w:rPr>
        <w:t>销售机构对申购、赎回申请的受理并不代表该申请一定成功，而仅代表销售机构确实接收到申购、赎回申请。申购、赎回申请的确认以登记机构的确认结果为准。</w:t>
      </w:r>
      <w:r>
        <w:rPr>
          <w:rFonts w:hint="eastAsia" w:ascii="宋体" w:hAnsi="宋体"/>
          <w:sz w:val="24"/>
        </w:rPr>
        <w:t>对于申请的确认情况，投资者应及时查询。</w:t>
      </w:r>
    </w:p>
    <w:p w14:paraId="318C5271">
      <w:pPr>
        <w:spacing w:line="360" w:lineRule="auto"/>
        <w:ind w:firstLine="480" w:firstLineChars="200"/>
        <w:rPr>
          <w:bCs/>
          <w:sz w:val="24"/>
        </w:rPr>
      </w:pPr>
      <w:r>
        <w:rPr>
          <w:bCs/>
          <w:sz w:val="24"/>
        </w:rPr>
        <w:t>五、申购和赎回的数量限制</w:t>
      </w:r>
    </w:p>
    <w:p w14:paraId="6F438F84">
      <w:pPr>
        <w:spacing w:line="360" w:lineRule="auto"/>
        <w:ind w:firstLine="480" w:firstLineChars="20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0DE5AC53">
      <w:pPr>
        <w:spacing w:line="360" w:lineRule="auto"/>
        <w:ind w:firstLine="480" w:firstLineChars="200"/>
        <w:rPr>
          <w:bCs/>
          <w:sz w:val="24"/>
        </w:rPr>
      </w:pPr>
      <w:r>
        <w:rPr>
          <w:bCs/>
          <w:sz w:val="24"/>
        </w:rPr>
        <w:t>2</w:t>
      </w:r>
      <w:r>
        <w:rPr>
          <w:rFonts w:hint="eastAsia"/>
          <w:bCs/>
          <w:sz w:val="24"/>
        </w:rPr>
        <w:t>、</w:t>
      </w:r>
      <w:r>
        <w:rPr>
          <w:bCs/>
          <w:sz w:val="24"/>
        </w:rPr>
        <w:t>基金管理人可以规定投资人每个基金交易账户的最低基金份额</w:t>
      </w:r>
      <w:r>
        <w:rPr>
          <w:rFonts w:hint="eastAsia"/>
          <w:bCs/>
          <w:sz w:val="24"/>
        </w:rPr>
        <w:t>保留</w:t>
      </w:r>
      <w:r>
        <w:rPr>
          <w:bCs/>
          <w:sz w:val="24"/>
        </w:rPr>
        <w:t>余额，具体规定请参见招募说明书</w:t>
      </w:r>
      <w:r>
        <w:rPr>
          <w:rFonts w:hint="eastAsia"/>
          <w:bCs/>
          <w:sz w:val="24"/>
        </w:rPr>
        <w:t>或相关公告</w:t>
      </w:r>
      <w:r>
        <w:rPr>
          <w:bCs/>
          <w:sz w:val="24"/>
        </w:rPr>
        <w:t>。</w:t>
      </w:r>
    </w:p>
    <w:p w14:paraId="3F1098E3">
      <w:pPr>
        <w:spacing w:line="360" w:lineRule="auto"/>
        <w:ind w:firstLine="480" w:firstLineChars="20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7AC600CC">
      <w:pPr>
        <w:widowControl/>
        <w:spacing w:line="360" w:lineRule="auto"/>
        <w:ind w:firstLine="480" w:firstLineChars="200"/>
        <w:rPr>
          <w:rFonts w:ascii="宋体" w:hAnsi="宋体"/>
          <w:kern w:val="0"/>
          <w:sz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19198521">
      <w:pPr>
        <w:spacing w:line="360" w:lineRule="auto"/>
        <w:ind w:firstLine="480" w:firstLineChars="200"/>
        <w:rPr>
          <w:bCs/>
          <w:sz w:val="24"/>
        </w:rPr>
      </w:pPr>
      <w:r>
        <w:rPr>
          <w:rFonts w:hint="eastAsia"/>
          <w:bCs/>
          <w:sz w:val="24"/>
        </w:rPr>
        <w:t>5、</w:t>
      </w:r>
      <w:r>
        <w:rPr>
          <w:bCs/>
          <w:sz w:val="24"/>
        </w:rPr>
        <w:t>基金管理人可在法律法规允许的情况下，调整上述规定申购金额</w:t>
      </w:r>
      <w:r>
        <w:rPr>
          <w:rFonts w:hint="eastAsia"/>
          <w:bCs/>
          <w:sz w:val="24"/>
        </w:rPr>
        <w:t>、</w:t>
      </w:r>
      <w:r>
        <w:rPr>
          <w:bCs/>
          <w:sz w:val="24"/>
        </w:rPr>
        <w:t>赎回份额</w:t>
      </w:r>
      <w:r>
        <w:rPr>
          <w:rFonts w:hint="eastAsia"/>
          <w:bCs/>
          <w:sz w:val="24"/>
        </w:rPr>
        <w:t>和最低基金份额保留余额</w:t>
      </w:r>
      <w:r>
        <w:rPr>
          <w:bCs/>
          <w:sz w:val="24"/>
        </w:rPr>
        <w:t>的数量限制。基金管理人必须在调整</w:t>
      </w:r>
      <w:r>
        <w:rPr>
          <w:rFonts w:hint="eastAsia"/>
          <w:bCs/>
          <w:sz w:val="24"/>
        </w:rPr>
        <w:t>实施</w:t>
      </w:r>
      <w:r>
        <w:rPr>
          <w:bCs/>
          <w:sz w:val="24"/>
        </w:rPr>
        <w:t>前依照《信息披露办法》的有关规定在指定媒介上公告并报中国证监会备案。</w:t>
      </w:r>
    </w:p>
    <w:p w14:paraId="0314EF93">
      <w:pPr>
        <w:spacing w:line="360" w:lineRule="auto"/>
        <w:ind w:firstLine="480" w:firstLineChars="200"/>
        <w:rPr>
          <w:bCs/>
          <w:sz w:val="24"/>
        </w:rPr>
      </w:pPr>
      <w:r>
        <w:rPr>
          <w:bCs/>
          <w:sz w:val="24"/>
        </w:rPr>
        <w:t>六、申购和赎回的价格、费用及其用途</w:t>
      </w:r>
    </w:p>
    <w:p w14:paraId="553790CD">
      <w:pPr>
        <w:spacing w:line="360" w:lineRule="auto"/>
        <w:ind w:firstLine="480" w:firstLineChars="200"/>
        <w:rPr>
          <w:bCs/>
          <w:sz w:val="24"/>
        </w:rPr>
      </w:pPr>
      <w:r>
        <w:rPr>
          <w:bCs/>
          <w:sz w:val="24"/>
        </w:rPr>
        <w:t>1</w:t>
      </w:r>
      <w:r>
        <w:rPr>
          <w:rFonts w:hint="eastAsia"/>
          <w:bCs/>
          <w:sz w:val="24"/>
        </w:rPr>
        <w:t>、</w:t>
      </w:r>
      <w:r>
        <w:rPr>
          <w:bCs/>
          <w:sz w:val="24"/>
        </w:rPr>
        <w:t>本基金份额净值的计算，保留到小数点后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bookmarkStart w:id="132" w:name="OLE_LINK26"/>
      <w:bookmarkStart w:id="133" w:name="OLE_LINK27"/>
      <w:r>
        <w:rPr>
          <w:bCs/>
          <w:sz w:val="24"/>
        </w:rPr>
        <w:t>T日的基金份额净值在当天收市后计算，并在T+</w:t>
      </w:r>
      <w:r>
        <w:rPr>
          <w:rFonts w:hint="eastAsia"/>
          <w:bCs/>
          <w:sz w:val="24"/>
        </w:rPr>
        <w:t>1</w:t>
      </w:r>
      <w:r>
        <w:rPr>
          <w:bCs/>
          <w:sz w:val="24"/>
        </w:rPr>
        <w:t>日</w:t>
      </w:r>
      <w:r>
        <w:rPr>
          <w:rFonts w:hint="eastAsia"/>
          <w:bCs/>
          <w:sz w:val="24"/>
        </w:rPr>
        <w:t>（</w:t>
      </w:r>
      <w:r>
        <w:rPr>
          <w:bCs/>
          <w:sz w:val="24"/>
        </w:rPr>
        <w:t>包括该日</w:t>
      </w:r>
      <w:r>
        <w:rPr>
          <w:rFonts w:hint="eastAsia"/>
          <w:bCs/>
          <w:sz w:val="24"/>
        </w:rPr>
        <w:t>）</w:t>
      </w:r>
      <w:r>
        <w:rPr>
          <w:bCs/>
          <w:sz w:val="24"/>
        </w:rPr>
        <w:t>内公告。</w:t>
      </w:r>
      <w:bookmarkEnd w:id="132"/>
      <w:bookmarkEnd w:id="133"/>
      <w:r>
        <w:rPr>
          <w:bCs/>
          <w:sz w:val="24"/>
        </w:rPr>
        <w:t>遇特殊情况，经中国证监会同意，可以适当延迟计算或公告。</w:t>
      </w:r>
    </w:p>
    <w:p w14:paraId="4FBADD5E">
      <w:pPr>
        <w:spacing w:line="360" w:lineRule="auto"/>
        <w:ind w:firstLine="480" w:firstLineChars="200"/>
        <w:rPr>
          <w:bCs/>
          <w:sz w:val="24"/>
        </w:rPr>
      </w:pPr>
      <w:r>
        <w:rPr>
          <w:bCs/>
          <w:sz w:val="24"/>
        </w:rPr>
        <w:t>2</w:t>
      </w:r>
      <w:r>
        <w:rPr>
          <w:rFonts w:hint="eastAsia"/>
          <w:bCs/>
          <w:sz w:val="24"/>
        </w:rPr>
        <w:t>、</w:t>
      </w:r>
      <w:r>
        <w:rPr>
          <w:bCs/>
          <w:sz w:val="24"/>
        </w:rPr>
        <w:t>申购份额的计算及余额的处理方式：本基金申购份额的计算</w:t>
      </w:r>
      <w:r>
        <w:rPr>
          <w:rFonts w:hint="eastAsia"/>
          <w:bCs/>
          <w:sz w:val="24"/>
        </w:rPr>
        <w:t>及</w:t>
      </w:r>
      <w:r>
        <w:rPr>
          <w:bCs/>
          <w:sz w:val="24"/>
        </w:rPr>
        <w:t>余额的处理方式详见《招募说明书》。本基金的申购费率由基金管理人决定，并在招募说明书中列示。申购的有效份额为净申购金额除以当日的基金份额净值，有效份额单位为份</w:t>
      </w:r>
      <w:r>
        <w:rPr>
          <w:rFonts w:hint="eastAsia"/>
          <w:bCs/>
          <w:sz w:val="24"/>
        </w:rPr>
        <w:t>。</w:t>
      </w:r>
    </w:p>
    <w:p w14:paraId="4ECB4846">
      <w:pPr>
        <w:spacing w:line="360" w:lineRule="auto"/>
        <w:ind w:firstLine="480" w:firstLineChars="200"/>
        <w:rPr>
          <w:bCs/>
          <w:sz w:val="24"/>
        </w:rPr>
      </w:pPr>
      <w:r>
        <w:rPr>
          <w:bCs/>
          <w:sz w:val="24"/>
        </w:rPr>
        <w:t>3</w:t>
      </w:r>
      <w:r>
        <w:rPr>
          <w:rFonts w:hint="eastAsia"/>
          <w:bCs/>
          <w:sz w:val="24"/>
        </w:rPr>
        <w:t>、</w:t>
      </w:r>
      <w:r>
        <w:rPr>
          <w:bCs/>
          <w:sz w:val="24"/>
        </w:rPr>
        <w:t>赎回金额的计算及处理方式：本基金赎回金额的计算</w:t>
      </w:r>
      <w:r>
        <w:rPr>
          <w:rFonts w:hint="eastAsia"/>
          <w:bCs/>
          <w:sz w:val="24"/>
        </w:rPr>
        <w:t>及</w:t>
      </w:r>
      <w:r>
        <w:rPr>
          <w:bCs/>
          <w:sz w:val="24"/>
        </w:rPr>
        <w:t>处理方式详见《招募说明书》。本基金的赎回费率由基金管理人决定，并在招募说明书中列示。赎回金额为按实际确认的有效赎回份额乘以当日基金份额净值并扣除相应的费用，赎回金额单位为元。</w:t>
      </w:r>
    </w:p>
    <w:p w14:paraId="67A07933">
      <w:pPr>
        <w:spacing w:line="360" w:lineRule="auto"/>
        <w:ind w:firstLine="480" w:firstLineChars="200"/>
        <w:rPr>
          <w:bCs/>
          <w:sz w:val="24"/>
        </w:rPr>
      </w:pPr>
      <w:r>
        <w:rPr>
          <w:bCs/>
          <w:sz w:val="24"/>
        </w:rPr>
        <w:t>4</w:t>
      </w:r>
      <w:r>
        <w:rPr>
          <w:rFonts w:hint="eastAsia"/>
          <w:bCs/>
          <w:sz w:val="24"/>
        </w:rPr>
        <w:t>、</w:t>
      </w:r>
      <w:r>
        <w:rPr>
          <w:bCs/>
          <w:sz w:val="24"/>
        </w:rPr>
        <w:t>申购费用由投资人承担，不列入基金财产。</w:t>
      </w:r>
    </w:p>
    <w:p w14:paraId="12567637">
      <w:pPr>
        <w:spacing w:line="360" w:lineRule="auto"/>
        <w:ind w:firstLine="480" w:firstLineChars="200"/>
        <w:rPr>
          <w:bCs/>
          <w:sz w:val="24"/>
        </w:rPr>
      </w:pPr>
      <w:r>
        <w:rPr>
          <w:bCs/>
          <w:sz w:val="24"/>
        </w:rPr>
        <w:t>5</w:t>
      </w:r>
      <w:r>
        <w:rPr>
          <w:rFonts w:hint="eastAsia"/>
          <w:bCs/>
          <w:sz w:val="24"/>
        </w:rPr>
        <w:t>、</w:t>
      </w:r>
      <w:r>
        <w:rPr>
          <w:bCs/>
          <w:sz w:val="24"/>
        </w:rPr>
        <w:t>赎回费用由赎回基金份额的基金份额持有人承担，在基金份额持有人赎回基金份额时收取。</w:t>
      </w:r>
      <w:r>
        <w:rPr>
          <w:rFonts w:hint="eastAsia"/>
          <w:bCs/>
          <w:sz w:val="24"/>
        </w:rPr>
        <w:t>赎回费用纳入基金财产的比例详见招募说明书，未归入基金财产的部分</w:t>
      </w:r>
      <w:r>
        <w:rPr>
          <w:bCs/>
          <w:sz w:val="24"/>
        </w:rPr>
        <w:t>用于支付登记费和其他必要的手续费</w:t>
      </w:r>
      <w:r>
        <w:rPr>
          <w:rFonts w:hint="eastAsia"/>
          <w:bCs/>
          <w:sz w:val="24"/>
        </w:rPr>
        <w:t>。其中，对持续持有期少于7日的基金份额持有人收取不低于1.5%的赎回费并全额计入基金财产。</w:t>
      </w:r>
    </w:p>
    <w:p w14:paraId="1A01E9E9">
      <w:pPr>
        <w:spacing w:line="360" w:lineRule="auto"/>
        <w:ind w:firstLine="480" w:firstLineChars="20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媒介上公告。</w:t>
      </w:r>
    </w:p>
    <w:p w14:paraId="56773F86">
      <w:pPr>
        <w:spacing w:line="360" w:lineRule="auto"/>
        <w:ind w:firstLine="480" w:firstLineChars="200"/>
        <w:rPr>
          <w:bCs/>
          <w:sz w:val="24"/>
        </w:rPr>
      </w:pPr>
      <w:r>
        <w:rPr>
          <w:bCs/>
          <w:sz w:val="24"/>
        </w:rPr>
        <w:t>7、</w:t>
      </w:r>
      <w:r>
        <w:rPr>
          <w:rFonts w:hint="eastAsia" w:ascii="宋体" w:hAnsi="宋体"/>
          <w:sz w:val="24"/>
          <w:szCs w:val="18"/>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14:paraId="37CCD424">
      <w:pPr>
        <w:spacing w:line="360" w:lineRule="auto"/>
        <w:ind w:firstLine="480" w:firstLineChars="200"/>
        <w:rPr>
          <w:bCs/>
          <w:sz w:val="24"/>
        </w:rPr>
      </w:pPr>
      <w:r>
        <w:rPr>
          <w:bCs/>
          <w:sz w:val="24"/>
        </w:rPr>
        <w:t>七</w:t>
      </w:r>
      <w:r>
        <w:rPr>
          <w:rFonts w:hint="eastAsia"/>
          <w:bCs/>
          <w:sz w:val="24"/>
        </w:rPr>
        <w:t>、</w:t>
      </w:r>
      <w:r>
        <w:rPr>
          <w:bCs/>
          <w:sz w:val="24"/>
        </w:rPr>
        <w:t>拒绝或暂停申购的情形</w:t>
      </w:r>
    </w:p>
    <w:p w14:paraId="47F34876">
      <w:pPr>
        <w:spacing w:line="360" w:lineRule="auto"/>
        <w:ind w:firstLine="480" w:firstLineChars="200"/>
        <w:rPr>
          <w:bCs/>
          <w:sz w:val="24"/>
        </w:rPr>
      </w:pPr>
      <w:r>
        <w:rPr>
          <w:bCs/>
          <w:sz w:val="24"/>
        </w:rPr>
        <w:t>发生下列情况时，基金管理人可拒绝或暂停接受投资人的申购申请：</w:t>
      </w:r>
    </w:p>
    <w:p w14:paraId="5B2FB979">
      <w:pPr>
        <w:spacing w:line="360" w:lineRule="auto"/>
        <w:ind w:firstLine="480" w:firstLineChars="200"/>
        <w:rPr>
          <w:bCs/>
          <w:sz w:val="24"/>
        </w:rPr>
      </w:pPr>
      <w:r>
        <w:rPr>
          <w:bCs/>
          <w:sz w:val="24"/>
        </w:rPr>
        <w:t>1</w:t>
      </w:r>
      <w:r>
        <w:rPr>
          <w:rFonts w:hint="eastAsia"/>
          <w:bCs/>
          <w:sz w:val="24"/>
        </w:rPr>
        <w:t>、</w:t>
      </w:r>
      <w:r>
        <w:rPr>
          <w:bCs/>
          <w:sz w:val="24"/>
        </w:rPr>
        <w:t>因不可抗力导致基金无法正常运作。</w:t>
      </w:r>
    </w:p>
    <w:p w14:paraId="50EB324B">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、发生基金合同规定的暂停基金资产估值情况时，基金管理人可暂停接受投资人的申购申请。</w:t>
      </w:r>
    </w:p>
    <w:p w14:paraId="69F55131">
      <w:pPr>
        <w:spacing w:line="360" w:lineRule="auto"/>
        <w:ind w:firstLine="480" w:firstLineChars="200"/>
        <w:rPr>
          <w:bCs/>
          <w:sz w:val="24"/>
        </w:rPr>
      </w:pPr>
      <w:bookmarkStart w:id="134" w:name="OLE_LINK28"/>
      <w:bookmarkStart w:id="135" w:name="OLE_LINK29"/>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交易所交易时间非正常停市，导致基金管理人无法计算当日基金资产净值。</w:t>
      </w:r>
    </w:p>
    <w:bookmarkEnd w:id="134"/>
    <w:bookmarkEnd w:id="135"/>
    <w:p w14:paraId="0338BEDD">
      <w:pPr>
        <w:spacing w:line="360" w:lineRule="auto"/>
        <w:ind w:firstLine="480" w:firstLineChars="200"/>
        <w:rPr>
          <w:bCs/>
          <w:sz w:val="24"/>
        </w:rPr>
      </w:pPr>
      <w:bookmarkStart w:id="136" w:name="_Hlt70481650"/>
      <w:bookmarkEnd w:id="136"/>
      <w:r>
        <w:rPr>
          <w:rFonts w:hint="eastAsia"/>
          <w:bCs/>
          <w:sz w:val="24"/>
        </w:rPr>
        <w:t>4、</w:t>
      </w:r>
      <w:r>
        <w:rPr>
          <w:bCs/>
          <w:sz w:val="24"/>
        </w:rPr>
        <w:t>接受某笔或某些申购申请可能会影响或损害现有基金份额持有人利益时。</w:t>
      </w:r>
    </w:p>
    <w:p w14:paraId="32FED3A4">
      <w:pPr>
        <w:spacing w:line="360" w:lineRule="auto"/>
        <w:ind w:firstLine="480" w:firstLineChars="200"/>
        <w:rPr>
          <w:bCs/>
          <w:sz w:val="24"/>
        </w:rPr>
      </w:pPr>
      <w:r>
        <w:rPr>
          <w:rFonts w:hint="eastAsia"/>
          <w:bCs/>
          <w:sz w:val="24"/>
        </w:rPr>
        <w:t>5、</w:t>
      </w:r>
      <w:r>
        <w:rPr>
          <w:bCs/>
          <w:sz w:val="24"/>
        </w:rPr>
        <w:t>基金资产规模过大，使基金管理人无法找到合适的投资品种，或其他可能对基金业绩产生负面影响，</w:t>
      </w:r>
      <w:r>
        <w:rPr>
          <w:rFonts w:hint="eastAsia"/>
          <w:bCs/>
          <w:sz w:val="24"/>
        </w:rPr>
        <w:t>或出现其他</w:t>
      </w:r>
      <w:r>
        <w:rPr>
          <w:bCs/>
          <w:sz w:val="24"/>
        </w:rPr>
        <w:t>损害现有基金份额持有人利益的情形。</w:t>
      </w:r>
    </w:p>
    <w:p w14:paraId="750A0CA0">
      <w:pPr>
        <w:spacing w:line="360" w:lineRule="auto"/>
        <w:ind w:firstLine="480" w:firstLineChars="200"/>
        <w:rPr>
          <w:bCs/>
          <w:sz w:val="24"/>
        </w:rPr>
      </w:pPr>
      <w:bookmarkStart w:id="137" w:name="OLE_LINK30"/>
      <w:bookmarkStart w:id="138" w:name="OLE_LINK31"/>
      <w:r>
        <w:rPr>
          <w:rFonts w:hint="eastAsia"/>
          <w:bCs/>
          <w:sz w:val="24"/>
        </w:rPr>
        <w:t>6、基金管理人、基金托管人、基金销售机构、基金销售支付结算机构或登记机构的异常情况导致基金销售系统、基金销售支付结算系统、基金注册登记系统或基金会计系统无法正常运行。</w:t>
      </w:r>
    </w:p>
    <w:p w14:paraId="1D934300">
      <w:pPr>
        <w:spacing w:line="360" w:lineRule="auto"/>
        <w:ind w:firstLine="480" w:firstLineChars="200"/>
        <w:rPr>
          <w:bCs/>
          <w:sz w:val="24"/>
        </w:rPr>
      </w:pPr>
      <w:r>
        <w:rPr>
          <w:bCs/>
          <w:sz w:val="24"/>
        </w:rPr>
        <w:t>7</w:t>
      </w:r>
      <w:r>
        <w:rPr>
          <w:rFonts w:hint="eastAsia"/>
          <w:bCs/>
          <w:sz w:val="24"/>
        </w:rPr>
        <w:t>、</w:t>
      </w:r>
      <w:bookmarkEnd w:id="137"/>
      <w:bookmarkEnd w:id="138"/>
      <w:r>
        <w:rPr>
          <w:rFonts w:hint="eastAsia"/>
          <w:bCs/>
          <w:sz w:val="24"/>
        </w:rPr>
        <w:t>基金管理人接受某笔或者某些申购申请有可能导致单一投资者持有基金份额的比例超过50%，或者变相规避50%集中度的情形。出现上述情形时，基金管理人有权将上述申购申请全部或部分确认失败。</w:t>
      </w:r>
    </w:p>
    <w:p w14:paraId="357E07A1">
      <w:pPr>
        <w:spacing w:line="360" w:lineRule="auto"/>
        <w:ind w:firstLine="480" w:firstLineChars="200"/>
        <w:rPr>
          <w:rFonts w:ascii="宋体" w:hAnsi="宋体"/>
          <w:kern w:val="0"/>
          <w:sz w:val="24"/>
        </w:rPr>
      </w:pPr>
      <w:r>
        <w:rPr>
          <w:rFonts w:hint="eastAsia" w:ascii="宋体" w:hAnsi="宋体"/>
          <w:kern w:val="0"/>
          <w:sz w:val="24"/>
        </w:rPr>
        <w:t>8、当前一估值日基金资产净值50%以上的资产出现无可参考的活跃市场价格且采用估值技术仍导致公允价值存在重大不确定性时，经与基金托管人协商确认后，基金管理人应当暂停接受基金申购申请。</w:t>
      </w:r>
    </w:p>
    <w:p w14:paraId="3EF780E8">
      <w:pPr>
        <w:spacing w:line="360" w:lineRule="auto"/>
        <w:ind w:firstLine="480" w:firstLineChars="200"/>
        <w:rPr>
          <w:bCs/>
          <w:sz w:val="24"/>
        </w:rPr>
      </w:pPr>
      <w:r>
        <w:rPr>
          <w:rFonts w:hint="eastAsia"/>
          <w:bCs/>
          <w:sz w:val="24"/>
        </w:rPr>
        <w:t>9、基金合同约定、</w:t>
      </w:r>
      <w:r>
        <w:rPr>
          <w:bCs/>
          <w:sz w:val="24"/>
        </w:rPr>
        <w:t>法律法规规定或中国证监会认定的其他情形。</w:t>
      </w:r>
    </w:p>
    <w:p w14:paraId="381920D2">
      <w:pPr>
        <w:spacing w:line="360" w:lineRule="auto"/>
        <w:ind w:firstLine="480" w:firstLineChars="200"/>
        <w:rPr>
          <w:bCs/>
        </w:rPr>
      </w:pPr>
      <w:r>
        <w:rPr>
          <w:bCs/>
          <w:sz w:val="24"/>
        </w:rPr>
        <w:t>发生上述第1、2、</w:t>
      </w:r>
      <w:r>
        <w:rPr>
          <w:rFonts w:hint="eastAsia"/>
          <w:bCs/>
          <w:sz w:val="24"/>
        </w:rPr>
        <w:t>3</w:t>
      </w:r>
      <w:r>
        <w:rPr>
          <w:bCs/>
          <w:sz w:val="24"/>
        </w:rPr>
        <w:t>、5</w:t>
      </w:r>
      <w:r>
        <w:rPr>
          <w:rFonts w:hint="eastAsia"/>
          <w:bCs/>
          <w:sz w:val="24"/>
        </w:rPr>
        <w:t>、6、8、9</w:t>
      </w:r>
      <w:r>
        <w:rPr>
          <w:bCs/>
          <w:sz w:val="24"/>
        </w:rPr>
        <w:t>项暂停申购情形</w:t>
      </w:r>
      <w:r>
        <w:rPr>
          <w:rFonts w:hint="eastAsia"/>
          <w:bCs/>
          <w:sz w:val="24"/>
        </w:rPr>
        <w:t>之一</w:t>
      </w:r>
      <w:r>
        <w:rPr>
          <w:rFonts w:hAnsi="宋体"/>
          <w:sz w:val="24"/>
          <w:szCs w:val="18"/>
        </w:rPr>
        <w:t>且基金管理人决定暂停</w:t>
      </w:r>
      <w:r>
        <w:rPr>
          <w:bCs/>
          <w:sz w:val="24"/>
        </w:rPr>
        <w:t>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370CD847">
      <w:pPr>
        <w:spacing w:line="360" w:lineRule="auto"/>
        <w:ind w:firstLine="480" w:firstLineChars="200"/>
        <w:rPr>
          <w:bCs/>
          <w:sz w:val="24"/>
        </w:rPr>
      </w:pPr>
      <w:r>
        <w:rPr>
          <w:bCs/>
          <w:sz w:val="24"/>
        </w:rPr>
        <w:t>八</w:t>
      </w:r>
      <w:r>
        <w:rPr>
          <w:rFonts w:hint="eastAsia"/>
          <w:bCs/>
          <w:sz w:val="24"/>
        </w:rPr>
        <w:t>、</w:t>
      </w:r>
      <w:r>
        <w:rPr>
          <w:bCs/>
          <w:sz w:val="24"/>
        </w:rPr>
        <w:t>暂停赎回或延缓支付赎回款项的情形</w:t>
      </w:r>
    </w:p>
    <w:p w14:paraId="02D1FA48">
      <w:pPr>
        <w:spacing w:line="360" w:lineRule="auto"/>
        <w:ind w:firstLine="480" w:firstLineChars="200"/>
        <w:rPr>
          <w:bCs/>
          <w:sz w:val="24"/>
        </w:rPr>
      </w:pPr>
      <w:r>
        <w:rPr>
          <w:bCs/>
          <w:sz w:val="24"/>
        </w:rPr>
        <w:t>发生下列情形时，基金管理人可暂停接受投资人的赎回申请或延缓支付赎回款项：</w:t>
      </w:r>
    </w:p>
    <w:p w14:paraId="4C7B5181">
      <w:pPr>
        <w:spacing w:line="360" w:lineRule="auto"/>
        <w:ind w:firstLine="480" w:firstLineChars="200"/>
        <w:rPr>
          <w:bCs/>
          <w:sz w:val="24"/>
        </w:rPr>
      </w:pPr>
      <w:r>
        <w:rPr>
          <w:bCs/>
          <w:sz w:val="24"/>
        </w:rPr>
        <w:t>1</w:t>
      </w:r>
      <w:r>
        <w:rPr>
          <w:rFonts w:hint="eastAsia"/>
          <w:bCs/>
          <w:sz w:val="24"/>
        </w:rPr>
        <w:t>、</w:t>
      </w:r>
      <w:r>
        <w:rPr>
          <w:bCs/>
          <w:sz w:val="24"/>
        </w:rPr>
        <w:t>因不可抗力导致基金管理人不能支付赎回款项。</w:t>
      </w:r>
    </w:p>
    <w:p w14:paraId="31F2A84B">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、发生基金合同规定的暂停基金资产估值情况时，基金管理人可暂停接受投资人的赎回申请或延缓支付赎回款项。</w:t>
      </w:r>
    </w:p>
    <w:p w14:paraId="452F1B57">
      <w:pPr>
        <w:spacing w:line="360" w:lineRule="auto"/>
        <w:ind w:firstLine="480" w:firstLineChars="200"/>
        <w:rPr>
          <w:bCs/>
          <w:sz w:val="24"/>
        </w:rPr>
      </w:pPr>
      <w:bookmarkStart w:id="139" w:name="OLE_LINK35"/>
      <w:bookmarkStart w:id="140" w:name="OLE_LINK34"/>
      <w:r>
        <w:rPr>
          <w:rFonts w:hint="eastAsia"/>
          <w:bCs/>
          <w:sz w:val="24"/>
        </w:rPr>
        <w:t>3、</w:t>
      </w:r>
      <w:r>
        <w:rPr>
          <w:bCs/>
          <w:sz w:val="24"/>
        </w:rPr>
        <w:t>证券</w:t>
      </w:r>
      <w:r>
        <w:rPr>
          <w:rFonts w:hint="eastAsia"/>
          <w:bCs/>
          <w:sz w:val="24"/>
        </w:rPr>
        <w:t>、期货</w:t>
      </w:r>
      <w:r>
        <w:rPr>
          <w:bCs/>
          <w:sz w:val="24"/>
        </w:rPr>
        <w:t>交易所交易时间非正常停市，导致基金管理人无法计算当日基金资产</w:t>
      </w:r>
      <w:bookmarkStart w:id="141" w:name="_Hlt152500890"/>
      <w:r>
        <w:rPr>
          <w:bCs/>
          <w:sz w:val="24"/>
        </w:rPr>
        <w:t>净值。</w:t>
      </w:r>
    </w:p>
    <w:bookmarkEnd w:id="139"/>
    <w:bookmarkEnd w:id="140"/>
    <w:p w14:paraId="3B38A722">
      <w:pPr>
        <w:spacing w:line="360" w:lineRule="auto"/>
        <w:ind w:firstLine="480" w:firstLineChars="200"/>
        <w:rPr>
          <w:bCs/>
          <w:sz w:val="24"/>
        </w:rPr>
      </w:pPr>
      <w:r>
        <w:rPr>
          <w:rFonts w:hint="eastAsia"/>
          <w:bCs/>
          <w:sz w:val="24"/>
        </w:rPr>
        <w:t>4、</w:t>
      </w:r>
      <w:r>
        <w:rPr>
          <w:bCs/>
          <w:sz w:val="24"/>
        </w:rPr>
        <w:t>连续两个或两个以上开放日发生巨额赎回。</w:t>
      </w:r>
    </w:p>
    <w:bookmarkEnd w:id="141"/>
    <w:p w14:paraId="0770849E">
      <w:pPr>
        <w:spacing w:line="360" w:lineRule="auto"/>
        <w:ind w:firstLine="480" w:firstLineChars="200"/>
        <w:rPr>
          <w:bCs/>
          <w:sz w:val="24"/>
        </w:rPr>
      </w:pPr>
      <w:r>
        <w:rPr>
          <w:rFonts w:hint="eastAsia"/>
          <w:bCs/>
          <w:sz w:val="24"/>
        </w:rPr>
        <w:t>5、发生继续接受赎回申请将损害</w:t>
      </w:r>
      <w:r>
        <w:rPr>
          <w:bCs/>
          <w:sz w:val="24"/>
        </w:rPr>
        <w:t>现有基金份额持有人利益的情形</w:t>
      </w:r>
      <w:r>
        <w:rPr>
          <w:rFonts w:hint="eastAsia"/>
          <w:bCs/>
          <w:sz w:val="24"/>
        </w:rPr>
        <w:t>时，可暂停接受投资人的赎回申请。</w:t>
      </w:r>
    </w:p>
    <w:p w14:paraId="029C5CE5">
      <w:pPr>
        <w:spacing w:line="360" w:lineRule="auto"/>
        <w:ind w:firstLine="480" w:firstLineChars="200"/>
        <w:rPr>
          <w:rFonts w:ascii="宋体" w:hAnsi="宋体"/>
          <w:kern w:val="0"/>
          <w:sz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w:t>
      </w:r>
      <w:r>
        <w:rPr>
          <w:rFonts w:hint="eastAsia" w:ascii="宋体" w:hAnsi="宋体"/>
          <w:bCs/>
          <w:kern w:val="0"/>
          <w:sz w:val="24"/>
        </w:rPr>
        <w:t>暂停接受基金赎回申请或延缓支付赎回款项</w:t>
      </w:r>
      <w:r>
        <w:rPr>
          <w:rFonts w:hint="eastAsia" w:ascii="宋体" w:hAnsi="宋体"/>
          <w:kern w:val="0"/>
          <w:sz w:val="24"/>
        </w:rPr>
        <w:t>。</w:t>
      </w:r>
    </w:p>
    <w:p w14:paraId="17CAD30E">
      <w:pPr>
        <w:spacing w:line="360" w:lineRule="auto"/>
        <w:ind w:firstLine="480" w:firstLineChars="200"/>
        <w:rPr>
          <w:bCs/>
          <w:sz w:val="24"/>
        </w:rPr>
      </w:pPr>
      <w:r>
        <w:rPr>
          <w:rFonts w:hint="eastAsia"/>
          <w:bCs/>
          <w:sz w:val="24"/>
        </w:rPr>
        <w:t>7、基金合同约定、</w:t>
      </w:r>
      <w:r>
        <w:rPr>
          <w:bCs/>
          <w:sz w:val="24"/>
        </w:rPr>
        <w:t>法律法规规定或中国证监会认定的其他情形。</w:t>
      </w:r>
    </w:p>
    <w:p w14:paraId="5B0F80AC">
      <w:pPr>
        <w:spacing w:line="360" w:lineRule="auto"/>
        <w:ind w:firstLine="480" w:firstLineChars="200"/>
        <w:rPr>
          <w:bCs/>
          <w:sz w:val="24"/>
        </w:rPr>
      </w:pPr>
      <w:r>
        <w:rPr>
          <w:bCs/>
          <w:sz w:val="24"/>
        </w:rPr>
        <w:t>发生上述情形</w:t>
      </w:r>
      <w:r>
        <w:rPr>
          <w:rFonts w:hint="eastAsia"/>
          <w:bCs/>
          <w:sz w:val="24"/>
        </w:rPr>
        <w:t>之一且基金管理人决定暂停接受投资人的赎回申请或延缓支付赎回款项</w:t>
      </w:r>
      <w:r>
        <w:rPr>
          <w:bCs/>
          <w:sz w:val="24"/>
        </w:rPr>
        <w:t>时，基金管理人应在当日报中国证监会备案，已确认的赎回申请，基金管理人应足额支付；如暂时不能足额支付，应将可支付部分按单个账户申请量占申请总量的比例分配给赎回申请人，未支付部分可延期</w:t>
      </w:r>
      <w:r>
        <w:rPr>
          <w:rFonts w:hint="eastAsia"/>
          <w:bCs/>
          <w:sz w:val="24"/>
        </w:rPr>
        <w:t>确认并</w:t>
      </w:r>
      <w:r>
        <w:rPr>
          <w:bCs/>
          <w:sz w:val="24"/>
        </w:rPr>
        <w:t>支付，并以后续开放日的基金份额净值为依据计算赎回金额。若出现上述第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7CC83659">
      <w:pPr>
        <w:spacing w:line="360" w:lineRule="auto"/>
        <w:ind w:firstLine="480" w:firstLineChars="200"/>
        <w:rPr>
          <w:bCs/>
          <w:sz w:val="24"/>
        </w:rPr>
      </w:pPr>
      <w:r>
        <w:rPr>
          <w:bCs/>
          <w:sz w:val="24"/>
        </w:rPr>
        <w:t>九</w:t>
      </w:r>
      <w:r>
        <w:rPr>
          <w:rFonts w:hint="eastAsia"/>
          <w:bCs/>
          <w:sz w:val="24"/>
        </w:rPr>
        <w:t>、</w:t>
      </w:r>
      <w:r>
        <w:rPr>
          <w:bCs/>
          <w:sz w:val="24"/>
        </w:rPr>
        <w:t>巨额赎回的情形及处理方式</w:t>
      </w:r>
    </w:p>
    <w:p w14:paraId="27D9FBCE">
      <w:pPr>
        <w:spacing w:line="360" w:lineRule="auto"/>
        <w:ind w:firstLine="480" w:firstLineChars="200"/>
        <w:rPr>
          <w:bCs/>
          <w:sz w:val="24"/>
        </w:rPr>
      </w:pPr>
      <w:r>
        <w:rPr>
          <w:bCs/>
          <w:sz w:val="24"/>
        </w:rPr>
        <w:t>1</w:t>
      </w:r>
      <w:r>
        <w:rPr>
          <w:rFonts w:hint="eastAsia"/>
          <w:bCs/>
          <w:sz w:val="24"/>
        </w:rPr>
        <w:t>、</w:t>
      </w:r>
      <w:r>
        <w:rPr>
          <w:bCs/>
          <w:sz w:val="24"/>
        </w:rPr>
        <w:t>巨额赎回的认定</w:t>
      </w:r>
    </w:p>
    <w:p w14:paraId="709DD0E5">
      <w:pPr>
        <w:spacing w:line="360" w:lineRule="auto"/>
        <w:ind w:firstLine="480" w:firstLineChars="20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7163D0D5">
      <w:pPr>
        <w:spacing w:line="360" w:lineRule="auto"/>
        <w:ind w:firstLine="480" w:firstLineChars="200"/>
        <w:rPr>
          <w:bCs/>
          <w:sz w:val="24"/>
        </w:rPr>
      </w:pPr>
      <w:r>
        <w:rPr>
          <w:bCs/>
          <w:sz w:val="24"/>
        </w:rPr>
        <w:t>2</w:t>
      </w:r>
      <w:r>
        <w:rPr>
          <w:rFonts w:hint="eastAsia"/>
          <w:bCs/>
          <w:sz w:val="24"/>
        </w:rPr>
        <w:t>、</w:t>
      </w:r>
      <w:r>
        <w:rPr>
          <w:bCs/>
          <w:sz w:val="24"/>
        </w:rPr>
        <w:t>巨额赎回的处理方式</w:t>
      </w:r>
    </w:p>
    <w:p w14:paraId="1D4F6E19">
      <w:pPr>
        <w:spacing w:line="360" w:lineRule="auto"/>
        <w:ind w:firstLine="480" w:firstLineChars="200"/>
        <w:rPr>
          <w:bCs/>
          <w:sz w:val="24"/>
        </w:rPr>
      </w:pPr>
      <w:r>
        <w:rPr>
          <w:bCs/>
          <w:sz w:val="24"/>
        </w:rPr>
        <w:t>当基金出现巨额赎回时，基金管理人可以根据基金当时的资产组合状况决定全额赎回或部分延期赎回。</w:t>
      </w:r>
    </w:p>
    <w:p w14:paraId="0B3F6C28">
      <w:pPr>
        <w:spacing w:line="360" w:lineRule="auto"/>
        <w:ind w:firstLine="480" w:firstLineChars="200"/>
        <w:rPr>
          <w:bCs/>
          <w:sz w:val="24"/>
        </w:rPr>
      </w:pPr>
      <w:r>
        <w:rPr>
          <w:bCs/>
          <w:sz w:val="24"/>
        </w:rPr>
        <w:t>（1）全额赎回：当基金管理人认为有能力支付投资人的全部赎回申请时，按正常赎回程序执行。</w:t>
      </w:r>
    </w:p>
    <w:p w14:paraId="1B25016A">
      <w:pPr>
        <w:spacing w:line="360" w:lineRule="auto"/>
        <w:ind w:firstLine="480" w:firstLineChars="20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hint="eastAsia"/>
          <w:bCs/>
          <w:sz w:val="24"/>
        </w:rPr>
        <w:t>的10%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14:paraId="75B412E6">
      <w:pPr>
        <w:spacing w:line="360" w:lineRule="auto"/>
        <w:ind w:firstLine="480" w:firstLineChars="200"/>
        <w:rPr>
          <w:bCs/>
          <w:sz w:val="24"/>
        </w:rPr>
      </w:pPr>
      <w:r>
        <w:rPr>
          <w:rFonts w:hint="eastAsia"/>
          <w:bCs/>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14:paraId="18460821">
      <w:pPr>
        <w:spacing w:line="360" w:lineRule="auto"/>
        <w:ind w:firstLine="480" w:firstLineChars="200"/>
        <w:rPr>
          <w:bCs/>
          <w:sz w:val="24"/>
        </w:rPr>
      </w:pPr>
      <w:r>
        <w:rPr>
          <w:bCs/>
          <w:sz w:val="24"/>
        </w:rPr>
        <w:t>（</w:t>
      </w:r>
      <w:r>
        <w:rPr>
          <w:rFonts w:hint="eastAsia"/>
          <w:bCs/>
          <w:sz w:val="24"/>
        </w:rPr>
        <w:t>3</w:t>
      </w:r>
      <w:r>
        <w:rPr>
          <w:bCs/>
          <w:sz w:val="24"/>
        </w:rPr>
        <w:t>）暂停赎回：连续</w:t>
      </w:r>
      <w:r>
        <w:rPr>
          <w:rFonts w:hint="eastAsia"/>
          <w:bCs/>
          <w:sz w:val="24"/>
        </w:rPr>
        <w:t>2个开放</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个工作日，并应当在指定媒介上进行公告。</w:t>
      </w:r>
    </w:p>
    <w:p w14:paraId="51B29628">
      <w:pPr>
        <w:spacing w:line="360" w:lineRule="auto"/>
        <w:ind w:firstLine="480" w:firstLineChars="200"/>
        <w:rPr>
          <w:bCs/>
          <w:sz w:val="24"/>
        </w:rPr>
      </w:pPr>
      <w:r>
        <w:rPr>
          <w:bCs/>
          <w:sz w:val="24"/>
        </w:rPr>
        <w:t>3</w:t>
      </w:r>
      <w:r>
        <w:rPr>
          <w:rFonts w:hint="eastAsia"/>
          <w:bCs/>
          <w:sz w:val="24"/>
        </w:rPr>
        <w:t>、</w:t>
      </w:r>
      <w:r>
        <w:rPr>
          <w:bCs/>
          <w:sz w:val="24"/>
        </w:rPr>
        <w:t>巨额赎回的公告</w:t>
      </w:r>
    </w:p>
    <w:p w14:paraId="4B3750E6">
      <w:pPr>
        <w:spacing w:line="360" w:lineRule="auto"/>
        <w:ind w:firstLine="480" w:firstLineChars="20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w:t>
      </w:r>
      <w:r>
        <w:rPr>
          <w:bCs/>
          <w:sz w:val="24"/>
        </w:rPr>
        <w:t>在</w:t>
      </w:r>
      <w:r>
        <w:rPr>
          <w:rFonts w:hint="eastAsia"/>
          <w:bCs/>
          <w:sz w:val="24"/>
        </w:rPr>
        <w:t>2日内</w:t>
      </w:r>
      <w:r>
        <w:rPr>
          <w:bCs/>
          <w:sz w:val="24"/>
        </w:rPr>
        <w:t>在指定媒介上刊登公告。</w:t>
      </w:r>
    </w:p>
    <w:p w14:paraId="242775A0">
      <w:pPr>
        <w:spacing w:line="360" w:lineRule="auto"/>
        <w:ind w:firstLine="480" w:firstLineChars="200"/>
        <w:rPr>
          <w:bCs/>
          <w:sz w:val="24"/>
        </w:rPr>
      </w:pPr>
      <w:bookmarkStart w:id="142" w:name="OLE_LINK39"/>
      <w:bookmarkStart w:id="143" w:name="OLE_LINK38"/>
      <w:r>
        <w:rPr>
          <w:bCs/>
          <w:sz w:val="24"/>
        </w:rPr>
        <w:t>十</w:t>
      </w:r>
      <w:r>
        <w:rPr>
          <w:rFonts w:hint="eastAsia"/>
          <w:bCs/>
          <w:sz w:val="24"/>
        </w:rPr>
        <w:t>、</w:t>
      </w:r>
      <w:r>
        <w:rPr>
          <w:bCs/>
          <w:sz w:val="24"/>
        </w:rPr>
        <w:t>暂停申购或赎回的公告和重新开放申购或赎回的公告</w:t>
      </w:r>
    </w:p>
    <w:p w14:paraId="18D84E73">
      <w:pPr>
        <w:spacing w:line="360" w:lineRule="auto"/>
        <w:ind w:firstLine="480" w:firstLineChars="200"/>
        <w:rPr>
          <w:bCs/>
          <w:sz w:val="24"/>
        </w:rPr>
      </w:pPr>
      <w:r>
        <w:rPr>
          <w:bCs/>
          <w:sz w:val="24"/>
        </w:rPr>
        <w:t>1</w:t>
      </w:r>
      <w:r>
        <w:rPr>
          <w:rFonts w:hint="eastAsia"/>
          <w:bCs/>
          <w:sz w:val="24"/>
        </w:rPr>
        <w:t>、</w:t>
      </w:r>
      <w:r>
        <w:rPr>
          <w:bCs/>
          <w:sz w:val="24"/>
        </w:rPr>
        <w:t>发生上述暂停申购或赎回情况的，基金管理人应在规定期限内在指定媒介上刊登暂停公告。</w:t>
      </w:r>
    </w:p>
    <w:p w14:paraId="3D4644A7">
      <w:pPr>
        <w:spacing w:line="360" w:lineRule="auto"/>
        <w:ind w:firstLine="480" w:firstLineChars="200"/>
        <w:rPr>
          <w:bCs/>
          <w:sz w:val="24"/>
        </w:rPr>
      </w:pPr>
      <w:r>
        <w:rPr>
          <w:sz w:val="24"/>
          <w:szCs w:val="24"/>
        </w:rPr>
        <w:t>2</w:t>
      </w:r>
      <w:r>
        <w:rPr>
          <w:rFonts w:hAnsi="宋体"/>
          <w:sz w:val="24"/>
          <w:szCs w:val="24"/>
        </w:rPr>
        <w:t>、</w:t>
      </w:r>
      <w:r>
        <w:rPr>
          <w:rFonts w:hint="eastAsia" w:ascii="宋体" w:hAnsi="宋体"/>
          <w:sz w:val="24"/>
          <w:szCs w:val="24"/>
        </w:rPr>
        <w:t>暂停结束，基金重新开放申购或赎回时，基金管理人应依照《信息披露办法》的有关规定，不迟于重新开放日，在指定媒介上刊登基金重新开放申购或赎回公告，并公布最近一个开放日的基金份额净值。</w:t>
      </w:r>
    </w:p>
    <w:bookmarkEnd w:id="142"/>
    <w:bookmarkEnd w:id="143"/>
    <w:p w14:paraId="4BC4A152">
      <w:pPr>
        <w:spacing w:line="360" w:lineRule="auto"/>
        <w:ind w:firstLine="480" w:firstLineChars="200"/>
        <w:rPr>
          <w:bCs/>
          <w:sz w:val="24"/>
        </w:rPr>
      </w:pPr>
      <w:r>
        <w:rPr>
          <w:bCs/>
          <w:sz w:val="24"/>
        </w:rPr>
        <w:t>十一</w:t>
      </w:r>
      <w:r>
        <w:rPr>
          <w:rFonts w:hint="eastAsia"/>
          <w:bCs/>
          <w:sz w:val="24"/>
        </w:rPr>
        <w:t>、</w:t>
      </w:r>
      <w:r>
        <w:rPr>
          <w:bCs/>
          <w:sz w:val="24"/>
        </w:rPr>
        <w:t>基金转换</w:t>
      </w:r>
    </w:p>
    <w:p w14:paraId="516D9AC8">
      <w:pPr>
        <w:spacing w:line="360" w:lineRule="auto"/>
        <w:ind w:firstLine="480" w:firstLineChars="20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74D7DC3F">
      <w:pPr>
        <w:spacing w:line="360" w:lineRule="auto"/>
        <w:ind w:firstLine="480" w:firstLineChars="200"/>
        <w:rPr>
          <w:bCs/>
          <w:sz w:val="24"/>
        </w:rPr>
      </w:pPr>
      <w:r>
        <w:rPr>
          <w:bCs/>
          <w:sz w:val="24"/>
        </w:rPr>
        <w:t>十二</w:t>
      </w:r>
      <w:r>
        <w:rPr>
          <w:rFonts w:hint="eastAsia"/>
          <w:bCs/>
          <w:sz w:val="24"/>
        </w:rPr>
        <w:t>、</w:t>
      </w:r>
      <w:r>
        <w:rPr>
          <w:bCs/>
          <w:sz w:val="24"/>
        </w:rPr>
        <w:t>基金的非交易过户</w:t>
      </w:r>
    </w:p>
    <w:p w14:paraId="182944D1">
      <w:pPr>
        <w:spacing w:line="360" w:lineRule="auto"/>
        <w:ind w:firstLine="480" w:firstLineChars="20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0241B702">
      <w:pPr>
        <w:spacing w:line="360" w:lineRule="auto"/>
        <w:ind w:firstLine="480" w:firstLineChars="200"/>
        <w:rPr>
          <w:bCs/>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2E167A3B">
      <w:pPr>
        <w:spacing w:line="360" w:lineRule="auto"/>
        <w:ind w:firstLine="480" w:firstLineChars="200"/>
        <w:rPr>
          <w:bCs/>
          <w:sz w:val="24"/>
        </w:rPr>
      </w:pPr>
      <w:r>
        <w:rPr>
          <w:bCs/>
          <w:sz w:val="24"/>
        </w:rPr>
        <w:t>十三</w:t>
      </w:r>
      <w:r>
        <w:rPr>
          <w:rFonts w:hint="eastAsia"/>
          <w:bCs/>
          <w:sz w:val="24"/>
        </w:rPr>
        <w:t>、</w:t>
      </w:r>
      <w:r>
        <w:rPr>
          <w:bCs/>
          <w:sz w:val="24"/>
        </w:rPr>
        <w:t>基金的转托管</w:t>
      </w:r>
    </w:p>
    <w:p w14:paraId="2F5BED3F">
      <w:pPr>
        <w:spacing w:line="360" w:lineRule="auto"/>
        <w:ind w:firstLine="480" w:firstLineChars="200"/>
        <w:rPr>
          <w:bCs/>
          <w:sz w:val="24"/>
        </w:rPr>
      </w:pPr>
      <w:r>
        <w:rPr>
          <w:bCs/>
          <w:sz w:val="24"/>
        </w:rPr>
        <w:t>基金份额持有人可办理已持有基金份额在不同销售机构之间的转托管，基金销售机构可以按照规定的标准收取转托管费。</w:t>
      </w:r>
    </w:p>
    <w:p w14:paraId="74A96320">
      <w:pPr>
        <w:spacing w:line="360" w:lineRule="auto"/>
        <w:ind w:firstLine="480" w:firstLineChars="200"/>
        <w:rPr>
          <w:bCs/>
          <w:sz w:val="24"/>
        </w:rPr>
      </w:pPr>
      <w:r>
        <w:rPr>
          <w:bCs/>
          <w:sz w:val="24"/>
        </w:rPr>
        <w:t>十四</w:t>
      </w:r>
      <w:r>
        <w:rPr>
          <w:rFonts w:hint="eastAsia"/>
          <w:bCs/>
          <w:sz w:val="24"/>
        </w:rPr>
        <w:t>、</w:t>
      </w:r>
      <w:r>
        <w:rPr>
          <w:bCs/>
          <w:sz w:val="24"/>
        </w:rPr>
        <w:t>定期定额投资计划</w:t>
      </w:r>
    </w:p>
    <w:p w14:paraId="214CA947">
      <w:pPr>
        <w:spacing w:line="360" w:lineRule="auto"/>
        <w:ind w:firstLine="480" w:firstLineChars="20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506DCF1">
      <w:pPr>
        <w:spacing w:line="360" w:lineRule="auto"/>
        <w:ind w:firstLine="480" w:firstLineChars="20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的冻结和解冻</w:t>
      </w:r>
    </w:p>
    <w:p w14:paraId="4356BC5A">
      <w:pPr>
        <w:spacing w:line="360" w:lineRule="auto"/>
        <w:ind w:firstLine="480" w:firstLineChars="200"/>
        <w:rPr>
          <w:bCs/>
          <w:sz w:val="24"/>
        </w:rPr>
      </w:pPr>
      <w:r>
        <w:rPr>
          <w:bCs/>
          <w:sz w:val="24"/>
        </w:rPr>
        <w:t>登记机构只受理国家有权机关依法要求的基金份额的冻结与解冻，以及登记机构认可、符合法律法规的其他情况下的冻结与解冻。</w:t>
      </w:r>
    </w:p>
    <w:p w14:paraId="7184A860">
      <w:pPr>
        <w:spacing w:line="360" w:lineRule="auto"/>
        <w:ind w:firstLine="480" w:firstLineChars="200"/>
        <w:rPr>
          <w:bCs/>
          <w:sz w:val="24"/>
        </w:rPr>
      </w:pPr>
      <w:r>
        <w:rPr>
          <w:rFonts w:hint="eastAsia"/>
          <w:bCs/>
          <w:sz w:val="24"/>
        </w:rPr>
        <w:t>十六、基金份额的转让</w:t>
      </w:r>
    </w:p>
    <w:p w14:paraId="093C695C">
      <w:pPr>
        <w:spacing w:line="360" w:lineRule="auto"/>
        <w:ind w:firstLine="480" w:firstLineChars="20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DA292E9">
      <w:pPr>
        <w:spacing w:line="360" w:lineRule="auto"/>
        <w:ind w:firstLine="480" w:firstLineChars="200"/>
        <w:rPr>
          <w:bCs/>
          <w:sz w:val="24"/>
        </w:rPr>
      </w:pPr>
      <w:r>
        <w:rPr>
          <w:rFonts w:hint="eastAsia"/>
          <w:bCs/>
          <w:sz w:val="24"/>
        </w:rPr>
        <w:t>十七、其他业务</w:t>
      </w:r>
    </w:p>
    <w:p w14:paraId="10EAE018">
      <w:pPr>
        <w:spacing w:line="360" w:lineRule="auto"/>
        <w:ind w:firstLine="480" w:firstLineChars="200"/>
        <w:rPr>
          <w:bCs/>
          <w:sz w:val="24"/>
        </w:rPr>
      </w:pPr>
      <w:r>
        <w:rPr>
          <w:rFonts w:hint="eastAsia"/>
          <w:bCs/>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14:paraId="1DA3BE7B">
      <w:pPr>
        <w:spacing w:line="360" w:lineRule="auto"/>
        <w:ind w:firstLine="480" w:firstLineChars="200"/>
        <w:rPr>
          <w:bCs/>
          <w:sz w:val="24"/>
        </w:rPr>
      </w:pPr>
    </w:p>
    <w:p w14:paraId="2DCF2C48">
      <w:pPr>
        <w:pStyle w:val="2"/>
        <w:spacing w:before="0" w:after="0"/>
        <w:jc w:val="center"/>
        <w:rPr>
          <w:rFonts w:ascii="Times New Roman"/>
          <w:color w:val="auto"/>
          <w:sz w:val="30"/>
        </w:rPr>
      </w:pPr>
      <w:r>
        <w:rPr>
          <w:rFonts w:ascii="Times New Roman"/>
          <w:b w:val="0"/>
          <w:bCs/>
          <w:color w:val="auto"/>
        </w:rPr>
        <w:br w:type="page"/>
      </w:r>
      <w:bookmarkStart w:id="144" w:name="_Toc31235"/>
      <w:bookmarkStart w:id="145" w:name="_Toc98560353"/>
      <w:bookmarkStart w:id="146" w:name="_Toc3601"/>
      <w:bookmarkStart w:id="147" w:name="_Toc141703887"/>
      <w:bookmarkStart w:id="148" w:name="_Toc12245"/>
      <w:bookmarkStart w:id="149" w:name="_Toc26207"/>
      <w:bookmarkStart w:id="150" w:name="_Toc29251"/>
      <w:bookmarkStart w:id="151" w:name="_Toc139991737"/>
      <w:bookmarkStart w:id="152" w:name="_Toc123112235"/>
      <w:bookmarkStart w:id="153" w:name="_Toc425241709"/>
      <w:bookmarkStart w:id="154" w:name="_Toc31653"/>
      <w:bookmarkStart w:id="155" w:name="_Toc123102454"/>
      <w:bookmarkStart w:id="156" w:name="_Toc31644"/>
      <w:bookmarkStart w:id="157" w:name="_Toc15143"/>
      <w:bookmarkStart w:id="158" w:name="_Toc123051453"/>
      <w:bookmarkStart w:id="159" w:name="_Toc14835"/>
      <w:bookmarkStart w:id="160" w:name="_Toc6405"/>
      <w:r>
        <w:rPr>
          <w:rFonts w:ascii="Times New Roman"/>
          <w:color w:val="auto"/>
          <w:sz w:val="30"/>
        </w:rPr>
        <w:t>第七部分基金合同当事人及权利义务</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Start w:id="161" w:name="_Hlt55355235"/>
      <w:bookmarkEnd w:id="161"/>
      <w:bookmarkStart w:id="162" w:name="_Toc523711668"/>
      <w:bookmarkStart w:id="163" w:name="_Toc79392580"/>
      <w:bookmarkStart w:id="164" w:name="_Toc15118234"/>
      <w:bookmarkStart w:id="165" w:name="_Toc57530239"/>
    </w:p>
    <w:p w14:paraId="7FE29773">
      <w:pPr>
        <w:spacing w:line="360" w:lineRule="auto"/>
        <w:ind w:firstLine="480" w:firstLineChars="200"/>
        <w:rPr>
          <w:bCs/>
          <w:sz w:val="24"/>
        </w:rPr>
      </w:pPr>
    </w:p>
    <w:p w14:paraId="32D91A0E">
      <w:pPr>
        <w:spacing w:line="360" w:lineRule="auto"/>
        <w:ind w:firstLine="480" w:firstLineChars="200"/>
        <w:rPr>
          <w:bCs/>
          <w:sz w:val="24"/>
        </w:rPr>
      </w:pPr>
      <w:r>
        <w:rPr>
          <w:bCs/>
          <w:sz w:val="24"/>
        </w:rPr>
        <w:t>一、基金</w:t>
      </w:r>
      <w:bookmarkEnd w:id="162"/>
      <w:r>
        <w:rPr>
          <w:bCs/>
          <w:sz w:val="24"/>
        </w:rPr>
        <w:t>管理人</w:t>
      </w:r>
      <w:bookmarkEnd w:id="163"/>
      <w:bookmarkEnd w:id="164"/>
      <w:bookmarkEnd w:id="165"/>
    </w:p>
    <w:p w14:paraId="4DC9478D">
      <w:pPr>
        <w:spacing w:line="360" w:lineRule="auto"/>
        <w:ind w:firstLine="480" w:firstLineChars="200"/>
        <w:rPr>
          <w:bCs/>
          <w:sz w:val="24"/>
        </w:rPr>
      </w:pPr>
      <w:bookmarkStart w:id="166" w:name="_Toc15118235"/>
      <w:r>
        <w:rPr>
          <w:bCs/>
          <w:sz w:val="24"/>
        </w:rPr>
        <w:t>（一）</w:t>
      </w:r>
      <w:r>
        <w:rPr>
          <w:bCs/>
          <w:sz w:val="24"/>
        </w:rPr>
        <w:tab/>
      </w:r>
      <w:r>
        <w:rPr>
          <w:bCs/>
          <w:sz w:val="24"/>
        </w:rPr>
        <w:t>基金管理人简况</w:t>
      </w:r>
      <w:bookmarkEnd w:id="166"/>
    </w:p>
    <w:p w14:paraId="3DCADC77">
      <w:pPr>
        <w:spacing w:line="360" w:lineRule="auto"/>
        <w:ind w:firstLine="480" w:firstLineChars="200"/>
        <w:rPr>
          <w:bCs/>
          <w:sz w:val="24"/>
        </w:rPr>
      </w:pPr>
      <w:bookmarkStart w:id="167" w:name="_Toc15118236"/>
      <w:bookmarkStart w:id="168" w:name="_Toc15118237"/>
      <w:r>
        <w:rPr>
          <w:bCs/>
          <w:sz w:val="24"/>
        </w:rPr>
        <w:t>名称：</w:t>
      </w:r>
      <w:bookmarkEnd w:id="167"/>
      <w:r>
        <w:rPr>
          <w:rFonts w:hint="eastAsia" w:ascii="宋体" w:hAnsi="宋体"/>
          <w:sz w:val="24"/>
          <w:szCs w:val="18"/>
        </w:rPr>
        <w:t>交银施罗德</w:t>
      </w:r>
      <w:r>
        <w:rPr>
          <w:rFonts w:hint="eastAsia" w:ascii="宋体" w:hAnsi="宋体"/>
          <w:sz w:val="24"/>
        </w:rPr>
        <w:t>基金管理有限公司</w:t>
      </w:r>
    </w:p>
    <w:p w14:paraId="2A789ED1">
      <w:pPr>
        <w:spacing w:line="360" w:lineRule="auto"/>
        <w:ind w:firstLine="480" w:firstLineChars="200"/>
        <w:rPr>
          <w:bCs/>
          <w:sz w:val="24"/>
        </w:rPr>
      </w:pPr>
      <w:r>
        <w:rPr>
          <w:bCs/>
          <w:sz w:val="24"/>
        </w:rPr>
        <w:t>住所：</w:t>
      </w:r>
      <w:r>
        <w:rPr>
          <w:rFonts w:hint="eastAsia" w:ascii="宋体" w:hAnsi="宋体"/>
          <w:sz w:val="24"/>
        </w:rPr>
        <w:t>中国(上海)自由贸易试验区银城中路188号交通银行大楼二层（裙）</w:t>
      </w:r>
    </w:p>
    <w:p w14:paraId="70718CBE">
      <w:pPr>
        <w:spacing w:line="360" w:lineRule="auto"/>
        <w:ind w:firstLine="480" w:firstLineChars="200"/>
        <w:rPr>
          <w:bCs/>
          <w:sz w:val="24"/>
        </w:rPr>
      </w:pPr>
      <w:r>
        <w:rPr>
          <w:bCs/>
          <w:sz w:val="24"/>
        </w:rPr>
        <w:t>法定代表人：</w:t>
      </w:r>
      <w:r>
        <w:rPr>
          <w:rFonts w:hint="eastAsia"/>
          <w:bCs/>
          <w:sz w:val="24"/>
        </w:rPr>
        <w:t>袁庆伟（代任）</w:t>
      </w:r>
    </w:p>
    <w:p w14:paraId="4F31468A">
      <w:pPr>
        <w:spacing w:line="360" w:lineRule="auto"/>
        <w:ind w:firstLine="480" w:firstLineChars="200"/>
        <w:rPr>
          <w:bCs/>
          <w:sz w:val="24"/>
        </w:rPr>
      </w:pPr>
      <w:r>
        <w:rPr>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14:paraId="306BFD2B">
      <w:pPr>
        <w:spacing w:line="360" w:lineRule="auto"/>
        <w:ind w:firstLine="480" w:firstLineChars="200"/>
        <w:rPr>
          <w:bCs/>
          <w:sz w:val="24"/>
        </w:rPr>
      </w:pPr>
      <w:r>
        <w:rPr>
          <w:bCs/>
          <w:sz w:val="24"/>
        </w:rPr>
        <w:t>批准设立机关及批准设立文号：</w:t>
      </w:r>
      <w:r>
        <w:rPr>
          <w:rFonts w:hint="eastAsia" w:ascii="宋体" w:hAnsi="宋体"/>
          <w:sz w:val="24"/>
        </w:rPr>
        <w:t>中国证监会证监基金字</w:t>
      </w:r>
      <w:r>
        <w:rPr>
          <w:rFonts w:hint="eastAsia"/>
          <w:sz w:val="24"/>
        </w:rPr>
        <w:t>[</w:t>
      </w:r>
      <w:r>
        <w:rPr>
          <w:sz w:val="24"/>
        </w:rPr>
        <w:t>2005</w:t>
      </w:r>
      <w:r>
        <w:rPr>
          <w:rFonts w:hint="eastAsia"/>
          <w:sz w:val="24"/>
        </w:rPr>
        <w:t>]</w:t>
      </w:r>
      <w:r>
        <w:rPr>
          <w:sz w:val="24"/>
        </w:rPr>
        <w:t>128</w:t>
      </w:r>
      <w:r>
        <w:rPr>
          <w:rFonts w:hint="eastAsia" w:ascii="宋体" w:hAnsi="宋体"/>
          <w:sz w:val="24"/>
        </w:rPr>
        <w:t>号</w:t>
      </w:r>
    </w:p>
    <w:p w14:paraId="39DC16B7">
      <w:pPr>
        <w:spacing w:line="360" w:lineRule="auto"/>
        <w:ind w:firstLine="480" w:firstLineChars="200"/>
        <w:rPr>
          <w:bCs/>
          <w:sz w:val="24"/>
        </w:rPr>
      </w:pPr>
      <w:r>
        <w:rPr>
          <w:bCs/>
          <w:sz w:val="24"/>
        </w:rPr>
        <w:t>组织形式：</w:t>
      </w:r>
      <w:r>
        <w:rPr>
          <w:rFonts w:hint="eastAsia" w:ascii="宋体" w:hAnsi="宋体"/>
          <w:sz w:val="24"/>
        </w:rPr>
        <w:t>有限责任公司</w:t>
      </w:r>
    </w:p>
    <w:p w14:paraId="4B6037E2">
      <w:pPr>
        <w:spacing w:line="360" w:lineRule="auto"/>
        <w:ind w:firstLine="480" w:firstLineChars="200"/>
        <w:rPr>
          <w:bCs/>
          <w:sz w:val="24"/>
        </w:rPr>
      </w:pPr>
      <w:r>
        <w:rPr>
          <w:bCs/>
          <w:sz w:val="24"/>
        </w:rPr>
        <w:t>注册资本：</w:t>
      </w:r>
      <w:r>
        <w:rPr>
          <w:sz w:val="24"/>
        </w:rPr>
        <w:t>2</w:t>
      </w:r>
      <w:r>
        <w:rPr>
          <w:rFonts w:hint="eastAsia" w:ascii="宋体" w:hAnsi="宋体"/>
          <w:sz w:val="24"/>
        </w:rPr>
        <w:t>亿元人民币</w:t>
      </w:r>
    </w:p>
    <w:p w14:paraId="454CA4EE">
      <w:pPr>
        <w:spacing w:line="360" w:lineRule="auto"/>
        <w:ind w:firstLine="480" w:firstLineChars="200"/>
        <w:rPr>
          <w:bCs/>
          <w:sz w:val="24"/>
        </w:rPr>
      </w:pPr>
      <w:r>
        <w:rPr>
          <w:bCs/>
          <w:sz w:val="24"/>
        </w:rPr>
        <w:t>存续期限：</w:t>
      </w:r>
      <w:r>
        <w:rPr>
          <w:rFonts w:hint="eastAsia" w:ascii="宋体" w:hAnsi="宋体"/>
          <w:sz w:val="24"/>
        </w:rPr>
        <w:t>持续经营</w:t>
      </w:r>
    </w:p>
    <w:p w14:paraId="28601169">
      <w:pPr>
        <w:spacing w:line="360" w:lineRule="auto"/>
        <w:ind w:firstLine="480" w:firstLineChars="200"/>
        <w:rPr>
          <w:bCs/>
          <w:sz w:val="24"/>
        </w:rPr>
      </w:pPr>
      <w:r>
        <w:rPr>
          <w:bCs/>
          <w:sz w:val="24"/>
        </w:rPr>
        <w:t>联系电话</w:t>
      </w:r>
      <w:r>
        <w:rPr>
          <w:rFonts w:hint="eastAsia"/>
          <w:bCs/>
          <w:sz w:val="24"/>
        </w:rPr>
        <w:t>：</w:t>
      </w:r>
      <w:r>
        <w:rPr>
          <w:rFonts w:hint="eastAsia"/>
          <w:kern w:val="0"/>
          <w:sz w:val="24"/>
        </w:rPr>
        <w:t>（</w:t>
      </w:r>
      <w:r>
        <w:rPr>
          <w:kern w:val="0"/>
          <w:sz w:val="24"/>
        </w:rPr>
        <w:t>021</w:t>
      </w:r>
      <w:r>
        <w:rPr>
          <w:rFonts w:hint="eastAsia"/>
          <w:kern w:val="0"/>
          <w:sz w:val="24"/>
        </w:rPr>
        <w:t>）</w:t>
      </w:r>
      <w:r>
        <w:rPr>
          <w:kern w:val="0"/>
          <w:sz w:val="24"/>
        </w:rPr>
        <w:t>61055050</w:t>
      </w:r>
    </w:p>
    <w:p w14:paraId="08889F8C">
      <w:pPr>
        <w:spacing w:line="360" w:lineRule="auto"/>
        <w:ind w:firstLine="480" w:firstLineChars="200"/>
        <w:rPr>
          <w:bCs/>
          <w:sz w:val="24"/>
        </w:rPr>
      </w:pPr>
      <w:r>
        <w:rPr>
          <w:bCs/>
          <w:sz w:val="24"/>
        </w:rPr>
        <w:t>（二）</w:t>
      </w:r>
      <w:r>
        <w:rPr>
          <w:bCs/>
          <w:sz w:val="24"/>
        </w:rPr>
        <w:tab/>
      </w:r>
      <w:r>
        <w:rPr>
          <w:bCs/>
          <w:sz w:val="24"/>
        </w:rPr>
        <w:t>基金管理人的权利与义务</w:t>
      </w:r>
      <w:bookmarkEnd w:id="168"/>
    </w:p>
    <w:p w14:paraId="7C5D6C63">
      <w:pPr>
        <w:spacing w:line="360" w:lineRule="auto"/>
        <w:ind w:firstLine="480" w:firstLineChars="200"/>
        <w:rPr>
          <w:bCs/>
          <w:sz w:val="24"/>
        </w:rPr>
      </w:pPr>
      <w:r>
        <w:rPr>
          <w:bCs/>
          <w:sz w:val="24"/>
        </w:rPr>
        <w:t>1、根据《基金法》、《运作办法》及其他有关规定，基金管理人的权利包括但不限于：</w:t>
      </w:r>
    </w:p>
    <w:p w14:paraId="27140A74">
      <w:pPr>
        <w:spacing w:line="360" w:lineRule="auto"/>
        <w:ind w:firstLine="480" w:firstLineChars="200"/>
        <w:rPr>
          <w:bCs/>
          <w:sz w:val="24"/>
        </w:rPr>
      </w:pPr>
      <w:r>
        <w:rPr>
          <w:bCs/>
          <w:sz w:val="24"/>
        </w:rPr>
        <w:t>（1）依法募集</w:t>
      </w:r>
      <w:r>
        <w:rPr>
          <w:rFonts w:hint="eastAsia"/>
          <w:bCs/>
          <w:sz w:val="24"/>
        </w:rPr>
        <w:t>资金</w:t>
      </w:r>
      <w:r>
        <w:rPr>
          <w:bCs/>
          <w:sz w:val="24"/>
        </w:rPr>
        <w:t>；</w:t>
      </w:r>
    </w:p>
    <w:p w14:paraId="46E1BA9D">
      <w:pPr>
        <w:spacing w:line="360" w:lineRule="auto"/>
        <w:ind w:firstLine="480" w:firstLineChars="200"/>
        <w:rPr>
          <w:bCs/>
          <w:sz w:val="24"/>
        </w:rPr>
      </w:pPr>
      <w:r>
        <w:rPr>
          <w:bCs/>
          <w:sz w:val="24"/>
        </w:rPr>
        <w:t>（2）自《基金合同》生效之日起，根据法律法规和《基金合同》独立运用并管理基金财产；</w:t>
      </w:r>
    </w:p>
    <w:p w14:paraId="5CC0F4E5">
      <w:pPr>
        <w:spacing w:line="360" w:lineRule="auto"/>
        <w:ind w:firstLine="480" w:firstLineChars="200"/>
        <w:rPr>
          <w:bCs/>
          <w:sz w:val="24"/>
        </w:rPr>
      </w:pPr>
      <w:r>
        <w:rPr>
          <w:bCs/>
          <w:sz w:val="24"/>
        </w:rPr>
        <w:t>（3）依照《基金合同》收取基金管理费以及法律法规规定或中国证监会批准的其他费用；</w:t>
      </w:r>
    </w:p>
    <w:p w14:paraId="717FE98D">
      <w:pPr>
        <w:spacing w:line="360" w:lineRule="auto"/>
        <w:ind w:firstLine="480" w:firstLineChars="200"/>
        <w:rPr>
          <w:bCs/>
          <w:sz w:val="24"/>
        </w:rPr>
      </w:pPr>
      <w:r>
        <w:rPr>
          <w:bCs/>
          <w:sz w:val="24"/>
        </w:rPr>
        <w:t>（4）销售基金份额；</w:t>
      </w:r>
    </w:p>
    <w:p w14:paraId="532FC9CC">
      <w:pPr>
        <w:spacing w:line="360" w:lineRule="auto"/>
        <w:ind w:firstLine="480" w:firstLineChars="200"/>
        <w:rPr>
          <w:bCs/>
          <w:sz w:val="24"/>
        </w:rPr>
      </w:pPr>
      <w:r>
        <w:rPr>
          <w:bCs/>
          <w:sz w:val="24"/>
        </w:rPr>
        <w:t>（5）</w:t>
      </w:r>
      <w:bookmarkStart w:id="169" w:name="_Hlt88896155"/>
      <w:r>
        <w:rPr>
          <w:rFonts w:hint="eastAsia"/>
          <w:bCs/>
          <w:sz w:val="24"/>
        </w:rPr>
        <w:t>按照规定</w:t>
      </w:r>
      <w:r>
        <w:rPr>
          <w:bCs/>
          <w:sz w:val="24"/>
        </w:rPr>
        <w:t>召集</w:t>
      </w:r>
      <w:bookmarkEnd w:id="169"/>
      <w:r>
        <w:rPr>
          <w:bCs/>
          <w:sz w:val="24"/>
        </w:rPr>
        <w:t>基金份额持有人大会；</w:t>
      </w:r>
    </w:p>
    <w:p w14:paraId="6B5D6F73">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7A896E88">
      <w:pPr>
        <w:spacing w:line="360" w:lineRule="auto"/>
        <w:ind w:firstLine="480" w:firstLineChars="200"/>
        <w:rPr>
          <w:bCs/>
          <w:sz w:val="24"/>
        </w:rPr>
      </w:pPr>
      <w:r>
        <w:rPr>
          <w:bCs/>
          <w:sz w:val="24"/>
        </w:rPr>
        <w:t>（7）在基金托管人更换时，提名新的基金托管人；</w:t>
      </w:r>
    </w:p>
    <w:p w14:paraId="05625D02">
      <w:pPr>
        <w:spacing w:line="440" w:lineRule="atLeast"/>
        <w:ind w:firstLine="480" w:firstLineChars="200"/>
        <w:rPr>
          <w:bCs/>
          <w:sz w:val="24"/>
        </w:rPr>
      </w:pPr>
      <w:r>
        <w:rPr>
          <w:bCs/>
          <w:sz w:val="24"/>
        </w:rPr>
        <w:t>（8）选择、更换基金销售机构，对基金销售机构的相关行为进行监督和处理；</w:t>
      </w:r>
    </w:p>
    <w:p w14:paraId="2996C41C">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17EE2A5C">
      <w:pPr>
        <w:spacing w:line="440" w:lineRule="atLeast"/>
        <w:ind w:firstLine="480" w:firstLineChars="200"/>
        <w:rPr>
          <w:bCs/>
          <w:sz w:val="24"/>
        </w:rPr>
      </w:pPr>
      <w:r>
        <w:rPr>
          <w:bCs/>
          <w:sz w:val="24"/>
        </w:rPr>
        <w:t>（10）依据《基金合同》及有关法律规定决定基金收益的分配方案；</w:t>
      </w:r>
      <w:r>
        <w:rPr>
          <w:bCs/>
          <w:sz w:val="24"/>
        </w:rPr>
        <w:tab/>
      </w:r>
    </w:p>
    <w:p w14:paraId="26DBCA24">
      <w:pPr>
        <w:spacing w:line="440" w:lineRule="atLeast"/>
        <w:ind w:firstLine="480" w:firstLineChars="200"/>
        <w:rPr>
          <w:bCs/>
          <w:sz w:val="24"/>
        </w:rPr>
      </w:pPr>
      <w:r>
        <w:rPr>
          <w:bCs/>
          <w:sz w:val="24"/>
        </w:rPr>
        <w:t>（11）在《基金合同》约定的范围内，拒绝或暂停受理申购</w:t>
      </w:r>
      <w:r>
        <w:rPr>
          <w:rFonts w:hint="eastAsia"/>
          <w:bCs/>
          <w:sz w:val="24"/>
        </w:rPr>
        <w:t>、</w:t>
      </w:r>
      <w:r>
        <w:rPr>
          <w:bCs/>
          <w:sz w:val="24"/>
        </w:rPr>
        <w:t>赎回</w:t>
      </w:r>
      <w:r>
        <w:rPr>
          <w:rFonts w:hint="eastAsia"/>
          <w:bCs/>
          <w:sz w:val="24"/>
        </w:rPr>
        <w:t>与转换</w:t>
      </w:r>
      <w:r>
        <w:rPr>
          <w:bCs/>
          <w:sz w:val="24"/>
        </w:rPr>
        <w:t>申请；</w:t>
      </w:r>
    </w:p>
    <w:p w14:paraId="58E67BD4">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1D294910">
      <w:pPr>
        <w:spacing w:line="440" w:lineRule="atLeast"/>
        <w:ind w:firstLine="480" w:firstLineChars="200"/>
        <w:rPr>
          <w:bCs/>
          <w:sz w:val="24"/>
        </w:rPr>
      </w:pPr>
      <w:r>
        <w:rPr>
          <w:bCs/>
          <w:sz w:val="24"/>
        </w:rPr>
        <w:t>（13）在法律法规允许的前提下，为基金的利益依法为基金进行融资</w:t>
      </w:r>
      <w:r>
        <w:rPr>
          <w:rFonts w:hint="eastAsia"/>
          <w:bCs/>
          <w:sz w:val="24"/>
        </w:rPr>
        <w:t>；</w:t>
      </w:r>
    </w:p>
    <w:p w14:paraId="53E4A482">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0587E3D3">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493BCBE6">
      <w:pPr>
        <w:spacing w:line="440" w:lineRule="atLeast"/>
        <w:ind w:firstLine="480" w:firstLineChars="200"/>
        <w:rPr>
          <w:bCs/>
          <w:sz w:val="24"/>
        </w:rPr>
      </w:pPr>
      <w:bookmarkStart w:id="170" w:name="OLE_LINK41"/>
      <w:bookmarkStart w:id="171" w:name="OLE_LINK40"/>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bookmarkEnd w:id="170"/>
    <w:bookmarkEnd w:id="171"/>
    <w:p w14:paraId="160A23E1">
      <w:pPr>
        <w:spacing w:line="440" w:lineRule="atLeast"/>
        <w:ind w:firstLine="480" w:firstLineChars="200"/>
        <w:rPr>
          <w:bCs/>
          <w:sz w:val="24"/>
        </w:rPr>
      </w:pPr>
      <w:r>
        <w:rPr>
          <w:bCs/>
          <w:sz w:val="24"/>
        </w:rPr>
        <w:t>（17）法律法规及中国证监会规定的和《基金合同》约定的其他权利。</w:t>
      </w:r>
    </w:p>
    <w:p w14:paraId="1E0F22BE">
      <w:pPr>
        <w:spacing w:line="440" w:lineRule="atLeast"/>
        <w:ind w:firstLine="480" w:firstLineChars="200"/>
        <w:rPr>
          <w:bCs/>
          <w:sz w:val="24"/>
        </w:rPr>
      </w:pPr>
      <w:r>
        <w:rPr>
          <w:bCs/>
          <w:sz w:val="24"/>
        </w:rPr>
        <w:t>2、根据《基金法》、《运作办法》及其他有关规定，基金管理人的义务包括但不限于：</w:t>
      </w:r>
    </w:p>
    <w:p w14:paraId="45B488BF">
      <w:pPr>
        <w:spacing w:line="440" w:lineRule="atLeast"/>
        <w:ind w:firstLine="480" w:firstLineChars="200"/>
        <w:rPr>
          <w:bCs/>
          <w:sz w:val="24"/>
        </w:rPr>
      </w:pPr>
      <w:bookmarkStart w:id="172" w:name="_Toc523711669"/>
      <w:r>
        <w:rPr>
          <w:bCs/>
          <w:sz w:val="24"/>
        </w:rPr>
        <w:t>（1）依法募集</w:t>
      </w:r>
      <w:r>
        <w:rPr>
          <w:rFonts w:hint="eastAsia"/>
          <w:bCs/>
          <w:sz w:val="24"/>
        </w:rPr>
        <w:t>资金</w:t>
      </w:r>
      <w:r>
        <w:rPr>
          <w:bCs/>
          <w:sz w:val="24"/>
        </w:rPr>
        <w:t>，办理或者委托经中国证监会认定的其他机构办理基金份额的发售、申购、赎回和登记事宜；</w:t>
      </w:r>
    </w:p>
    <w:p w14:paraId="39EEEA4B">
      <w:pPr>
        <w:spacing w:line="440" w:lineRule="atLeast"/>
        <w:ind w:firstLine="480" w:firstLineChars="200"/>
        <w:rPr>
          <w:bCs/>
          <w:sz w:val="24"/>
        </w:rPr>
      </w:pPr>
      <w:r>
        <w:rPr>
          <w:bCs/>
          <w:sz w:val="24"/>
        </w:rPr>
        <w:t>（2）办理基金备案手续；</w:t>
      </w:r>
    </w:p>
    <w:p w14:paraId="1D9F1019">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7A39422E">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01ACDA46">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5F3E50C5">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bookmarkStart w:id="173" w:name="_Hlt88897298"/>
      <w:bookmarkEnd w:id="173"/>
    </w:p>
    <w:p w14:paraId="74AD8F40">
      <w:pPr>
        <w:spacing w:line="360" w:lineRule="auto"/>
        <w:ind w:firstLine="480" w:firstLineChars="200"/>
        <w:rPr>
          <w:bCs/>
          <w:sz w:val="24"/>
        </w:rPr>
      </w:pPr>
      <w:r>
        <w:rPr>
          <w:bCs/>
          <w:sz w:val="24"/>
        </w:rPr>
        <w:t>（7）依法接受基金托管人的监督；</w:t>
      </w:r>
    </w:p>
    <w:p w14:paraId="415D7A7E">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（8）采取适当合理的措施使计算基金份额认购、申购、赎回和注销价格的方法符合《基金合同》等法律文件的规定，按有关规定计算并公告基金净值信息，确定基金份额申购、赎回的价格；</w:t>
      </w:r>
    </w:p>
    <w:p w14:paraId="3A311182">
      <w:pPr>
        <w:spacing w:line="360" w:lineRule="auto"/>
        <w:ind w:firstLine="480" w:firstLineChars="200"/>
        <w:rPr>
          <w:bCs/>
          <w:sz w:val="24"/>
        </w:rPr>
      </w:pPr>
      <w:r>
        <w:rPr>
          <w:bCs/>
          <w:sz w:val="24"/>
        </w:rPr>
        <w:t>（9）进行基金会计核算并编制基金财务会计报告；</w:t>
      </w:r>
    </w:p>
    <w:p w14:paraId="07798AFC">
      <w:pPr>
        <w:spacing w:line="360" w:lineRule="auto"/>
        <w:ind w:firstLine="480" w:firstLineChars="200"/>
        <w:rPr>
          <w:bCs/>
          <w:sz w:val="24"/>
        </w:rPr>
      </w:pPr>
      <w:r>
        <w:rPr>
          <w:bCs/>
          <w:sz w:val="24"/>
        </w:rPr>
        <w:t>（10）编制季度报告、</w:t>
      </w:r>
      <w:r>
        <w:rPr>
          <w:rFonts w:hint="eastAsia"/>
          <w:bCs/>
          <w:sz w:val="24"/>
        </w:rPr>
        <w:t>中期</w:t>
      </w:r>
      <w:r>
        <w:rPr>
          <w:bCs/>
          <w:sz w:val="24"/>
        </w:rPr>
        <w:t>报告和年度报告；</w:t>
      </w:r>
    </w:p>
    <w:p w14:paraId="5CD5A875">
      <w:pPr>
        <w:spacing w:line="360" w:lineRule="auto"/>
        <w:ind w:firstLine="480" w:firstLineChars="200"/>
        <w:rPr>
          <w:bCs/>
          <w:sz w:val="24"/>
        </w:rPr>
      </w:pPr>
      <w:r>
        <w:rPr>
          <w:bCs/>
          <w:sz w:val="24"/>
        </w:rPr>
        <w:t>（11）严格按照《基金法》、《基金合同》及其他有关规定，履行信息披露及报告义务；</w:t>
      </w:r>
    </w:p>
    <w:p w14:paraId="0BAC7237">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71A6560F">
      <w:pPr>
        <w:spacing w:line="360" w:lineRule="auto"/>
        <w:ind w:firstLine="480" w:firstLineChars="200"/>
        <w:rPr>
          <w:bCs/>
          <w:sz w:val="24"/>
        </w:rPr>
      </w:pPr>
      <w:r>
        <w:rPr>
          <w:bCs/>
          <w:sz w:val="24"/>
        </w:rPr>
        <w:t>（13）按《基金合同》的约定确定基金收益分配方案，及时向基金份额持有人分配基金收益；</w:t>
      </w:r>
    </w:p>
    <w:p w14:paraId="1540727D">
      <w:pPr>
        <w:spacing w:line="360" w:lineRule="auto"/>
        <w:ind w:firstLine="480" w:firstLineChars="200"/>
        <w:rPr>
          <w:bCs/>
          <w:sz w:val="24"/>
        </w:rPr>
      </w:pPr>
      <w:r>
        <w:rPr>
          <w:bCs/>
          <w:sz w:val="24"/>
        </w:rPr>
        <w:t>（14）按规定受理申购与赎回申请，及时、足额支付赎回款项；</w:t>
      </w:r>
    </w:p>
    <w:p w14:paraId="6474F4C2">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75DE9E06">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15</w:t>
      </w:r>
      <w:r>
        <w:rPr>
          <w:bCs/>
          <w:sz w:val="24"/>
        </w:rPr>
        <w:t>年以上；</w:t>
      </w:r>
    </w:p>
    <w:p w14:paraId="78614D6E">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7E45B8A">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1E988A3D">
      <w:pPr>
        <w:spacing w:line="360" w:lineRule="auto"/>
        <w:ind w:firstLine="480" w:firstLineChars="200"/>
        <w:rPr>
          <w:bCs/>
          <w:sz w:val="24"/>
        </w:rPr>
      </w:pPr>
      <w:r>
        <w:rPr>
          <w:bCs/>
          <w:sz w:val="24"/>
        </w:rPr>
        <w:t>（19）面临解散、依法被撤销或者被依法宣告破产时，及时报告中国证监会并通知基金托管人；</w:t>
      </w:r>
    </w:p>
    <w:p w14:paraId="5CFBF61D">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491D99F7">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0FA873FF">
      <w:pPr>
        <w:spacing w:line="360" w:lineRule="auto"/>
        <w:ind w:firstLine="480" w:firstLineChars="200"/>
        <w:rPr>
          <w:bCs/>
          <w:sz w:val="24"/>
        </w:rPr>
      </w:pPr>
      <w:r>
        <w:rPr>
          <w:bCs/>
          <w:sz w:val="24"/>
        </w:rPr>
        <w:t>（22）当基金管理人将其义务委托第三方处理时，应当对第三方处理有关基金事务的行为承担责任；</w:t>
      </w:r>
    </w:p>
    <w:p w14:paraId="4C76BA41">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01D4276F">
      <w:pPr>
        <w:spacing w:line="360" w:lineRule="auto"/>
        <w:ind w:firstLine="480" w:firstLineChars="200"/>
        <w:rPr>
          <w:bCs/>
          <w:sz w:val="24"/>
        </w:rPr>
      </w:pPr>
      <w:r>
        <w:rPr>
          <w:bCs/>
          <w:sz w:val="24"/>
        </w:rPr>
        <w:t>（24）基金管理人在募集期间未能达到基金</w:t>
      </w:r>
      <w:bookmarkStart w:id="174" w:name="_Hlt88823209"/>
      <w:bookmarkEnd w:id="174"/>
      <w:r>
        <w:rPr>
          <w:bCs/>
          <w:sz w:val="24"/>
        </w:rPr>
        <w:t>的备案条件，《基金合同》不能生效，基金管理人承担</w:t>
      </w:r>
      <w:r>
        <w:rPr>
          <w:rFonts w:hint="eastAsia"/>
          <w:bCs/>
          <w:sz w:val="24"/>
        </w:rPr>
        <w:t>因</w:t>
      </w:r>
      <w:r>
        <w:rPr>
          <w:bCs/>
          <w:sz w:val="24"/>
        </w:rPr>
        <w:t>募集</w:t>
      </w:r>
      <w:r>
        <w:rPr>
          <w:rFonts w:hint="eastAsia"/>
          <w:bCs/>
          <w:sz w:val="24"/>
        </w:rPr>
        <w:t>行为而产生的债务和</w:t>
      </w:r>
      <w:r>
        <w:rPr>
          <w:bCs/>
          <w:sz w:val="24"/>
        </w:rPr>
        <w:t>费用，将已募集资金并加计银行同期存款利息在基金募集期结束后</w:t>
      </w:r>
      <w:r>
        <w:rPr>
          <w:rFonts w:hint="eastAsia"/>
          <w:bCs/>
          <w:sz w:val="24"/>
        </w:rPr>
        <w:t>30</w:t>
      </w:r>
      <w:r>
        <w:rPr>
          <w:bCs/>
          <w:sz w:val="24"/>
        </w:rPr>
        <w:t>日内退还基金认购人；</w:t>
      </w:r>
    </w:p>
    <w:p w14:paraId="42F97C4E">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782291E7">
      <w:pPr>
        <w:spacing w:line="360" w:lineRule="auto"/>
        <w:ind w:firstLine="480" w:firstLineChars="200"/>
        <w:rPr>
          <w:bCs/>
          <w:sz w:val="24"/>
        </w:rPr>
      </w:pPr>
      <w:r>
        <w:rPr>
          <w:bCs/>
          <w:sz w:val="24"/>
        </w:rPr>
        <w:t>（26）建立并保存基金份额持有人名册；</w:t>
      </w:r>
    </w:p>
    <w:p w14:paraId="61444C64">
      <w:pPr>
        <w:spacing w:line="360" w:lineRule="auto"/>
        <w:ind w:firstLine="480" w:firstLineChars="200"/>
        <w:rPr>
          <w:bCs/>
          <w:sz w:val="24"/>
        </w:rPr>
      </w:pPr>
      <w:r>
        <w:rPr>
          <w:bCs/>
          <w:sz w:val="24"/>
        </w:rPr>
        <w:t>（27）法律法规及中国证监会规定的和《基金合同》约定的其他义务。</w:t>
      </w:r>
    </w:p>
    <w:p w14:paraId="143393BD">
      <w:pPr>
        <w:tabs>
          <w:tab w:val="left" w:pos="3030"/>
        </w:tabs>
        <w:spacing w:line="360" w:lineRule="auto"/>
        <w:ind w:firstLine="480" w:firstLineChars="200"/>
        <w:rPr>
          <w:bCs/>
          <w:sz w:val="24"/>
        </w:rPr>
      </w:pPr>
      <w:bookmarkStart w:id="175" w:name="_Toc79392581"/>
      <w:bookmarkStart w:id="176" w:name="_Toc57530240"/>
      <w:bookmarkStart w:id="177" w:name="_Toc15118238"/>
      <w:r>
        <w:rPr>
          <w:bCs/>
          <w:sz w:val="24"/>
        </w:rPr>
        <w:t>二、基金托管人</w:t>
      </w:r>
      <w:bookmarkEnd w:id="172"/>
      <w:bookmarkEnd w:id="175"/>
      <w:bookmarkEnd w:id="176"/>
      <w:bookmarkEnd w:id="177"/>
    </w:p>
    <w:p w14:paraId="19B7735C">
      <w:pPr>
        <w:adjustRightInd w:val="0"/>
        <w:snapToGrid w:val="0"/>
        <w:spacing w:line="360" w:lineRule="auto"/>
        <w:ind w:firstLine="480" w:firstLineChars="200"/>
        <w:rPr>
          <w:bCs/>
          <w:sz w:val="24"/>
        </w:rPr>
      </w:pPr>
      <w:bookmarkStart w:id="178" w:name="_Toc15118239"/>
      <w:r>
        <w:rPr>
          <w:bCs/>
          <w:sz w:val="24"/>
        </w:rPr>
        <w:t>（一）</w:t>
      </w:r>
      <w:r>
        <w:rPr>
          <w:bCs/>
          <w:sz w:val="24"/>
        </w:rPr>
        <w:tab/>
      </w:r>
      <w:r>
        <w:rPr>
          <w:bCs/>
          <w:sz w:val="24"/>
        </w:rPr>
        <w:t>基金托管人简况</w:t>
      </w:r>
      <w:bookmarkEnd w:id="178"/>
    </w:p>
    <w:p w14:paraId="2DD13EA7">
      <w:pPr>
        <w:adjustRightInd w:val="0"/>
        <w:snapToGrid w:val="0"/>
        <w:spacing w:line="360" w:lineRule="auto"/>
        <w:ind w:firstLine="480" w:firstLineChars="200"/>
        <w:rPr>
          <w:bCs/>
          <w:sz w:val="24"/>
        </w:rPr>
      </w:pPr>
      <w:r>
        <w:rPr>
          <w:bCs/>
          <w:sz w:val="24"/>
        </w:rPr>
        <w:t>名称：</w:t>
      </w:r>
      <w:r>
        <w:rPr>
          <w:rFonts w:hint="eastAsia" w:ascii="宋体" w:hAnsi="宋体"/>
          <w:sz w:val="24"/>
        </w:rPr>
        <w:t>中国建设银行股份有限公司</w:t>
      </w:r>
      <w:r>
        <w:rPr>
          <w:rFonts w:hint="eastAsia"/>
          <w:bCs/>
          <w:sz w:val="24"/>
        </w:rPr>
        <w:t>（简称：中国建设银行）</w:t>
      </w:r>
    </w:p>
    <w:p w14:paraId="4F5D6947">
      <w:pPr>
        <w:adjustRightInd w:val="0"/>
        <w:snapToGrid w:val="0"/>
        <w:spacing w:line="360" w:lineRule="auto"/>
        <w:ind w:firstLine="480" w:firstLineChars="200"/>
        <w:rPr>
          <w:bCs/>
          <w:sz w:val="24"/>
        </w:rPr>
      </w:pPr>
      <w:r>
        <w:rPr>
          <w:bCs/>
          <w:sz w:val="24"/>
        </w:rPr>
        <w:t>住所：</w:t>
      </w:r>
      <w:r>
        <w:rPr>
          <w:rFonts w:hint="eastAsia" w:hAnsi="宋体"/>
          <w:sz w:val="24"/>
        </w:rPr>
        <w:t>北京市西城区金融大街25号</w:t>
      </w:r>
    </w:p>
    <w:p w14:paraId="4D9CB61D">
      <w:pPr>
        <w:adjustRightInd w:val="0"/>
        <w:snapToGrid w:val="0"/>
        <w:spacing w:line="360" w:lineRule="auto"/>
        <w:ind w:firstLine="480" w:firstLineChars="200"/>
        <w:rPr>
          <w:bCs/>
          <w:sz w:val="24"/>
        </w:rPr>
      </w:pPr>
      <w:r>
        <w:rPr>
          <w:bCs/>
          <w:sz w:val="24"/>
        </w:rPr>
        <w:t>法定代表人：</w:t>
      </w:r>
      <w:r>
        <w:rPr>
          <w:rFonts w:hint="eastAsia" w:hAnsi="宋体"/>
          <w:sz w:val="24"/>
        </w:rPr>
        <w:t>田国立</w:t>
      </w:r>
    </w:p>
    <w:p w14:paraId="100350E7">
      <w:pPr>
        <w:adjustRightInd w:val="0"/>
        <w:snapToGrid w:val="0"/>
        <w:spacing w:line="360" w:lineRule="auto"/>
        <w:ind w:firstLine="480" w:firstLineChars="200"/>
        <w:rPr>
          <w:bCs/>
          <w:sz w:val="24"/>
        </w:rPr>
      </w:pPr>
      <w:r>
        <w:rPr>
          <w:bCs/>
          <w:sz w:val="24"/>
        </w:rPr>
        <w:t>成立时间：</w:t>
      </w:r>
      <w:r>
        <w:rPr>
          <w:rFonts w:hint="eastAsia"/>
          <w:sz w:val="24"/>
        </w:rPr>
        <w:t>2004年09月17日</w:t>
      </w:r>
    </w:p>
    <w:p w14:paraId="6A4363A4">
      <w:pPr>
        <w:adjustRightInd w:val="0"/>
        <w:snapToGrid w:val="0"/>
        <w:spacing w:line="360" w:lineRule="auto"/>
        <w:ind w:firstLine="480" w:firstLineChars="200"/>
        <w:rPr>
          <w:bCs/>
          <w:sz w:val="24"/>
        </w:rPr>
      </w:pPr>
      <w:bookmarkStart w:id="179" w:name="OLE_LINK51"/>
      <w:bookmarkStart w:id="180" w:name="OLE_LINK50"/>
      <w:r>
        <w:rPr>
          <w:rFonts w:hint="eastAsia"/>
          <w:bCs/>
          <w:sz w:val="24"/>
        </w:rPr>
        <w:t>批准设立机关和批准设立文号：中国银行业监督管理委员会银监复</w:t>
      </w:r>
      <w:r>
        <w:rPr>
          <w:bCs/>
          <w:sz w:val="24"/>
        </w:rPr>
        <w:t>[2004]143</w:t>
      </w:r>
      <w:r>
        <w:rPr>
          <w:rFonts w:hint="eastAsia"/>
          <w:bCs/>
          <w:sz w:val="24"/>
        </w:rPr>
        <w:t>号</w:t>
      </w:r>
    </w:p>
    <w:bookmarkEnd w:id="179"/>
    <w:bookmarkEnd w:id="180"/>
    <w:p w14:paraId="36526D7C">
      <w:pPr>
        <w:adjustRightInd w:val="0"/>
        <w:snapToGrid w:val="0"/>
        <w:spacing w:line="360" w:lineRule="auto"/>
        <w:ind w:firstLine="480" w:firstLineChars="200"/>
        <w:rPr>
          <w:bCs/>
          <w:sz w:val="24"/>
        </w:rPr>
      </w:pPr>
      <w:bookmarkStart w:id="181" w:name="OLE_LINK52"/>
      <w:bookmarkStart w:id="182" w:name="OLE_LINK53"/>
      <w:r>
        <w:rPr>
          <w:bCs/>
          <w:sz w:val="24"/>
        </w:rPr>
        <w:t>组织形式</w:t>
      </w:r>
      <w:r>
        <w:rPr>
          <w:rFonts w:hint="eastAsia"/>
          <w:bCs/>
          <w:sz w:val="24"/>
        </w:rPr>
        <w:t>：</w:t>
      </w:r>
      <w:r>
        <w:rPr>
          <w:rFonts w:hAnsi="宋体"/>
          <w:sz w:val="24"/>
        </w:rPr>
        <w:t>股份有限公司</w:t>
      </w:r>
    </w:p>
    <w:bookmarkEnd w:id="181"/>
    <w:bookmarkEnd w:id="182"/>
    <w:p w14:paraId="133EFEE6">
      <w:pPr>
        <w:adjustRightInd w:val="0"/>
        <w:snapToGrid w:val="0"/>
        <w:spacing w:line="360" w:lineRule="auto"/>
        <w:ind w:firstLine="480" w:firstLineChars="200"/>
        <w:rPr>
          <w:bCs/>
          <w:sz w:val="24"/>
        </w:rPr>
      </w:pPr>
      <w:r>
        <w:rPr>
          <w:bCs/>
          <w:sz w:val="24"/>
        </w:rPr>
        <w:t>注册资本：</w:t>
      </w:r>
      <w:r>
        <w:rPr>
          <w:rFonts w:hint="eastAsia"/>
          <w:sz w:val="24"/>
        </w:rPr>
        <w:t>贰仟伍佰亿壹仟零玖拾柒万柒仟肆佰捌拾陆元整</w:t>
      </w:r>
    </w:p>
    <w:p w14:paraId="72C570A7">
      <w:pPr>
        <w:adjustRightInd w:val="0"/>
        <w:snapToGrid w:val="0"/>
        <w:spacing w:line="360" w:lineRule="auto"/>
        <w:ind w:firstLine="480" w:firstLineChars="200"/>
        <w:rPr>
          <w:bCs/>
          <w:sz w:val="24"/>
        </w:rPr>
      </w:pPr>
      <w:bookmarkStart w:id="183" w:name="OLE_LINK55"/>
      <w:bookmarkStart w:id="184" w:name="OLE_LINK54"/>
      <w:r>
        <w:rPr>
          <w:bCs/>
          <w:sz w:val="24"/>
        </w:rPr>
        <w:t>存续期间：</w:t>
      </w:r>
      <w:r>
        <w:rPr>
          <w:rFonts w:hAnsi="宋体"/>
          <w:sz w:val="24"/>
        </w:rPr>
        <w:t>持续经营</w:t>
      </w:r>
    </w:p>
    <w:bookmarkEnd w:id="183"/>
    <w:bookmarkEnd w:id="184"/>
    <w:p w14:paraId="1B7FB23A">
      <w:pPr>
        <w:adjustRightInd w:val="0"/>
        <w:snapToGrid w:val="0"/>
        <w:spacing w:line="360" w:lineRule="auto"/>
        <w:ind w:firstLine="480" w:firstLineChars="200"/>
        <w:rPr>
          <w:rFonts w:hAnsi="宋体"/>
          <w:sz w:val="24"/>
        </w:rPr>
      </w:pPr>
      <w:r>
        <w:rPr>
          <w:bCs/>
          <w:sz w:val="24"/>
        </w:rPr>
        <w:t>基金托管</w:t>
      </w:r>
      <w:r>
        <w:rPr>
          <w:rFonts w:hint="eastAsia"/>
          <w:bCs/>
          <w:sz w:val="24"/>
        </w:rPr>
        <w:t>业务批准</w:t>
      </w:r>
      <w:r>
        <w:rPr>
          <w:bCs/>
          <w:sz w:val="24"/>
        </w:rPr>
        <w:t>文号：</w:t>
      </w:r>
      <w:r>
        <w:rPr>
          <w:rFonts w:hint="eastAsia" w:hAnsi="宋体"/>
          <w:sz w:val="24"/>
        </w:rPr>
        <w:t>中国证监会证监基字[1998]12号</w:t>
      </w:r>
    </w:p>
    <w:p w14:paraId="0CE522C8">
      <w:pPr>
        <w:spacing w:line="360" w:lineRule="auto"/>
        <w:ind w:firstLine="480" w:firstLineChars="200"/>
        <w:rPr>
          <w:bCs/>
          <w:sz w:val="24"/>
        </w:rPr>
      </w:pPr>
      <w:bookmarkStart w:id="185" w:name="_Toc15118240"/>
      <w:r>
        <w:rPr>
          <w:bCs/>
          <w:sz w:val="24"/>
        </w:rPr>
        <w:t>（二）</w:t>
      </w:r>
      <w:r>
        <w:rPr>
          <w:bCs/>
          <w:sz w:val="24"/>
        </w:rPr>
        <w:tab/>
      </w:r>
      <w:r>
        <w:rPr>
          <w:bCs/>
          <w:sz w:val="24"/>
        </w:rPr>
        <w:t>基金托管人的权利与义务</w:t>
      </w:r>
      <w:bookmarkEnd w:id="185"/>
    </w:p>
    <w:p w14:paraId="4D73FF9D">
      <w:pPr>
        <w:spacing w:line="360" w:lineRule="auto"/>
        <w:ind w:firstLine="480" w:firstLineChars="200"/>
        <w:rPr>
          <w:bCs/>
          <w:sz w:val="24"/>
        </w:rPr>
      </w:pPr>
      <w:r>
        <w:rPr>
          <w:bCs/>
          <w:sz w:val="24"/>
        </w:rPr>
        <w:t>1、根据《基金法》、《运作办法》及其他有关规定，基金托管人的权利包括但不限于：</w:t>
      </w:r>
    </w:p>
    <w:p w14:paraId="76220346">
      <w:pPr>
        <w:spacing w:line="360" w:lineRule="auto"/>
        <w:ind w:firstLine="480" w:firstLineChars="200"/>
        <w:rPr>
          <w:bCs/>
          <w:sz w:val="24"/>
        </w:rPr>
      </w:pPr>
      <w:r>
        <w:rPr>
          <w:bCs/>
          <w:sz w:val="24"/>
        </w:rPr>
        <w:t>（1）自《基金合同》生效之日起，依法律法规和《基金合同》的规定安全保管基金财产；</w:t>
      </w:r>
    </w:p>
    <w:p w14:paraId="11E47B16">
      <w:pPr>
        <w:spacing w:line="360" w:lineRule="auto"/>
        <w:ind w:firstLine="480" w:firstLineChars="200"/>
        <w:rPr>
          <w:bCs/>
          <w:sz w:val="24"/>
        </w:rPr>
      </w:pPr>
      <w:r>
        <w:rPr>
          <w:bCs/>
          <w:sz w:val="24"/>
        </w:rPr>
        <w:t>（2）依《基金合同》约定获得基金托管费以及法律法规规定或监管部门批准的其他费用；</w:t>
      </w:r>
    </w:p>
    <w:p w14:paraId="0552A8C7">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F218D18">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账户等投资所需账户，为</w:t>
      </w:r>
      <w:r>
        <w:rPr>
          <w:bCs/>
          <w:sz w:val="24"/>
        </w:rPr>
        <w:t>基金办理证券</w:t>
      </w:r>
      <w:r>
        <w:rPr>
          <w:rFonts w:hint="eastAsia"/>
          <w:bCs/>
          <w:sz w:val="24"/>
        </w:rPr>
        <w:t>、期货</w:t>
      </w:r>
      <w:r>
        <w:rPr>
          <w:bCs/>
          <w:sz w:val="24"/>
        </w:rPr>
        <w:t>交易资金清算</w:t>
      </w:r>
      <w:r>
        <w:rPr>
          <w:rFonts w:hint="eastAsia"/>
          <w:bCs/>
          <w:sz w:val="24"/>
        </w:rPr>
        <w:t>；</w:t>
      </w:r>
    </w:p>
    <w:p w14:paraId="552EB167">
      <w:pPr>
        <w:spacing w:line="360" w:lineRule="auto"/>
        <w:ind w:firstLine="480" w:firstLineChars="200"/>
        <w:rPr>
          <w:bCs/>
          <w:sz w:val="24"/>
        </w:rPr>
      </w:pPr>
      <w:r>
        <w:rPr>
          <w:bCs/>
          <w:sz w:val="24"/>
        </w:rPr>
        <w:t>（5）提议召开或召集基金份额持有人大会；</w:t>
      </w:r>
    </w:p>
    <w:p w14:paraId="7B589488">
      <w:pPr>
        <w:spacing w:line="360" w:lineRule="auto"/>
        <w:ind w:firstLine="480" w:firstLineChars="200"/>
        <w:rPr>
          <w:bCs/>
          <w:sz w:val="24"/>
        </w:rPr>
      </w:pPr>
      <w:r>
        <w:rPr>
          <w:bCs/>
          <w:sz w:val="24"/>
        </w:rPr>
        <w:t>（6）在基金管理人更换时，提名新的基金管理人；</w:t>
      </w:r>
    </w:p>
    <w:p w14:paraId="104716A0">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123BBD49">
      <w:pPr>
        <w:spacing w:line="360" w:lineRule="auto"/>
        <w:ind w:firstLine="480" w:firstLineChars="200"/>
        <w:rPr>
          <w:bCs/>
          <w:sz w:val="24"/>
        </w:rPr>
      </w:pPr>
      <w:r>
        <w:rPr>
          <w:bCs/>
          <w:sz w:val="24"/>
        </w:rPr>
        <w:t>2、根据《基金法》、《运作办法》及其他有关规定，基金托管人的义务包括但不限于：</w:t>
      </w:r>
    </w:p>
    <w:p w14:paraId="18D96619">
      <w:pPr>
        <w:spacing w:line="360" w:lineRule="auto"/>
        <w:ind w:firstLine="480" w:firstLineChars="200"/>
        <w:rPr>
          <w:bCs/>
          <w:sz w:val="24"/>
        </w:rPr>
      </w:pPr>
      <w:r>
        <w:rPr>
          <w:bCs/>
          <w:sz w:val="24"/>
        </w:rPr>
        <w:t>（1）以诚实信用、勤勉尽责的原则持有并安全保管基金财产；</w:t>
      </w:r>
    </w:p>
    <w:p w14:paraId="672E98FB">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01AFD577">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19CE882">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0B909880">
      <w:pPr>
        <w:spacing w:line="360" w:lineRule="auto"/>
        <w:ind w:firstLine="480" w:firstLineChars="200"/>
        <w:rPr>
          <w:bCs/>
          <w:sz w:val="24"/>
        </w:rPr>
      </w:pPr>
      <w:r>
        <w:rPr>
          <w:bCs/>
          <w:sz w:val="24"/>
        </w:rPr>
        <w:t>（5）保管由基金管理人代表基金签订的与基金有关的重大合同及有关凭证；</w:t>
      </w:r>
    </w:p>
    <w:p w14:paraId="453725BD">
      <w:pPr>
        <w:spacing w:line="360" w:lineRule="auto"/>
        <w:ind w:firstLine="480" w:firstLineChars="200"/>
        <w:rPr>
          <w:bCs/>
          <w:sz w:val="24"/>
        </w:rPr>
      </w:pPr>
      <w:r>
        <w:rPr>
          <w:bCs/>
          <w:sz w:val="24"/>
        </w:rPr>
        <w:t>（6）按规定开设基金财产的资金账户和证券账户</w:t>
      </w:r>
      <w:r>
        <w:rPr>
          <w:rFonts w:hint="eastAsia"/>
          <w:bCs/>
          <w:sz w:val="24"/>
        </w:rPr>
        <w:t>等投资所需账户，按</w:t>
      </w:r>
      <w:r>
        <w:rPr>
          <w:bCs/>
          <w:sz w:val="24"/>
        </w:rPr>
        <w:t>照《基金合同》的约定，根据基金管理人的投资指令，及时办理清算、交割事宜；</w:t>
      </w:r>
    </w:p>
    <w:p w14:paraId="6FAFA92F">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40FA74FF">
      <w:pPr>
        <w:spacing w:line="360" w:lineRule="auto"/>
        <w:ind w:firstLine="480" w:firstLineChars="200"/>
        <w:rPr>
          <w:bCs/>
          <w:sz w:val="24"/>
        </w:rPr>
      </w:pPr>
      <w:r>
        <w:rPr>
          <w:bCs/>
          <w:sz w:val="24"/>
        </w:rPr>
        <w:t>（8）复核、审查基金管理人计算的基金资产净值、基金份额净值</w:t>
      </w:r>
      <w:r>
        <w:rPr>
          <w:rFonts w:hint="eastAsia"/>
          <w:bCs/>
          <w:sz w:val="24"/>
        </w:rPr>
        <w:t>、</w:t>
      </w:r>
      <w:r>
        <w:rPr>
          <w:bCs/>
          <w:sz w:val="24"/>
        </w:rPr>
        <w:t>基金份额申购、赎回价格；</w:t>
      </w:r>
    </w:p>
    <w:p w14:paraId="63673D77">
      <w:pPr>
        <w:spacing w:line="360" w:lineRule="auto"/>
        <w:ind w:firstLine="480" w:firstLineChars="200"/>
        <w:rPr>
          <w:bCs/>
          <w:sz w:val="24"/>
        </w:rPr>
      </w:pPr>
      <w:r>
        <w:rPr>
          <w:bCs/>
          <w:sz w:val="24"/>
        </w:rPr>
        <w:t>（9）办理与基金托管业务活动有关的信息披露事项；</w:t>
      </w:r>
    </w:p>
    <w:p w14:paraId="0AADEE7A">
      <w:pPr>
        <w:spacing w:line="360" w:lineRule="auto"/>
        <w:ind w:firstLine="480" w:firstLineChars="200"/>
        <w:rPr>
          <w:bCs/>
          <w:sz w:val="24"/>
        </w:rPr>
      </w:pPr>
      <w:r>
        <w:rPr>
          <w:bCs/>
          <w:sz w:val="24"/>
        </w:rPr>
        <w:t>（10）对基金财务会计报告、</w:t>
      </w:r>
      <w:r>
        <w:rPr>
          <w:rFonts w:hint="eastAsia"/>
          <w:bCs/>
          <w:sz w:val="24"/>
        </w:rPr>
        <w:t>季度报告、中期</w:t>
      </w:r>
      <w:r>
        <w:rPr>
          <w:bCs/>
          <w:sz w:val="24"/>
        </w:rPr>
        <w:t>报告和年度报告出具意见，说明基金管理人在各重要方面的运作是否严格按照《基金合同》的规定进行；如果基金管理人有未执行《基金合同》规定的行为，还应当说明基金托管人是否采取了适当的措施；</w:t>
      </w:r>
    </w:p>
    <w:p w14:paraId="4DA2758B">
      <w:pPr>
        <w:spacing w:line="360" w:lineRule="auto"/>
        <w:ind w:firstLine="480" w:firstLineChars="200"/>
        <w:rPr>
          <w:bCs/>
          <w:sz w:val="24"/>
        </w:rPr>
      </w:pPr>
      <w:r>
        <w:rPr>
          <w:bCs/>
          <w:sz w:val="24"/>
        </w:rPr>
        <w:t>（11）保存基金托管业务活动的记录、账册、报表和其他相关资料</w:t>
      </w:r>
      <w:r>
        <w:rPr>
          <w:rFonts w:hint="eastAsia"/>
        </w:rPr>
        <w:t>15</w:t>
      </w:r>
      <w:r>
        <w:rPr>
          <w:bCs/>
          <w:sz w:val="24"/>
        </w:rPr>
        <w:t>年以上；</w:t>
      </w:r>
    </w:p>
    <w:p w14:paraId="6C842A50">
      <w:pPr>
        <w:spacing w:line="360" w:lineRule="auto"/>
        <w:ind w:firstLine="480" w:firstLineChars="200"/>
        <w:rPr>
          <w:bCs/>
          <w:sz w:val="24"/>
        </w:rPr>
      </w:pPr>
      <w:r>
        <w:rPr>
          <w:bCs/>
          <w:sz w:val="24"/>
        </w:rPr>
        <w:t>（12）建立并保存基金份额持有人名册；</w:t>
      </w:r>
    </w:p>
    <w:p w14:paraId="25583095">
      <w:pPr>
        <w:spacing w:line="360" w:lineRule="auto"/>
        <w:ind w:firstLine="480" w:firstLineChars="200"/>
        <w:rPr>
          <w:bCs/>
          <w:sz w:val="24"/>
        </w:rPr>
      </w:pPr>
      <w:r>
        <w:rPr>
          <w:bCs/>
          <w:sz w:val="24"/>
        </w:rPr>
        <w:t>（13）按规定制作相关账册并与基金管理人核对；</w:t>
      </w:r>
    </w:p>
    <w:p w14:paraId="434C7ECC">
      <w:pPr>
        <w:spacing w:line="360" w:lineRule="auto"/>
        <w:ind w:firstLine="480" w:firstLineChars="200"/>
        <w:rPr>
          <w:bCs/>
          <w:sz w:val="24"/>
        </w:rPr>
      </w:pPr>
      <w:r>
        <w:rPr>
          <w:bCs/>
          <w:sz w:val="24"/>
        </w:rPr>
        <w:t>（14）依据基金管理人的指令或有关规定向基金份额持有人支付基金收益和赎回款项；</w:t>
      </w:r>
    </w:p>
    <w:p w14:paraId="68A93A90">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3F389A14">
      <w:pPr>
        <w:spacing w:line="360" w:lineRule="auto"/>
        <w:ind w:firstLine="480" w:firstLineChars="200"/>
        <w:rPr>
          <w:bCs/>
          <w:sz w:val="24"/>
        </w:rPr>
      </w:pPr>
      <w:r>
        <w:rPr>
          <w:bCs/>
          <w:sz w:val="24"/>
        </w:rPr>
        <w:t>（16）按照法律法规和《基金合同》的规定监督基金管理人的投资运作；</w:t>
      </w:r>
    </w:p>
    <w:p w14:paraId="797BBD17">
      <w:pPr>
        <w:spacing w:line="360" w:lineRule="auto"/>
        <w:ind w:firstLine="480" w:firstLineChars="200"/>
        <w:rPr>
          <w:bCs/>
          <w:sz w:val="24"/>
        </w:rPr>
      </w:pPr>
      <w:r>
        <w:rPr>
          <w:bCs/>
          <w:sz w:val="24"/>
        </w:rPr>
        <w:t>（17）参加基金财产清算小组，参与基金财产的保管、清理、估价、变现和分配；</w:t>
      </w:r>
    </w:p>
    <w:p w14:paraId="1B1214AB">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1FAF9A99">
      <w:pPr>
        <w:spacing w:line="360" w:lineRule="auto"/>
        <w:ind w:firstLine="480" w:firstLineChars="200"/>
        <w:rPr>
          <w:bCs/>
          <w:sz w:val="24"/>
        </w:rPr>
      </w:pPr>
      <w:r>
        <w:rPr>
          <w:bCs/>
          <w:sz w:val="24"/>
        </w:rPr>
        <w:t>（19）因违反《基金合同》导致基金财产损失时，应承担赔偿责任，其赔偿责任不因其退任而免除；</w:t>
      </w:r>
    </w:p>
    <w:p w14:paraId="2ECA9515">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86" w:name="_Hlt88825668"/>
      <w:bookmarkEnd w:id="186"/>
      <w:r>
        <w:rPr>
          <w:bCs/>
          <w:sz w:val="24"/>
        </w:rPr>
        <w:t>；</w:t>
      </w:r>
    </w:p>
    <w:p w14:paraId="2CC614A1">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461241B3">
      <w:pPr>
        <w:spacing w:line="360" w:lineRule="auto"/>
        <w:ind w:firstLine="480" w:firstLineChars="200"/>
        <w:rPr>
          <w:bCs/>
          <w:sz w:val="24"/>
        </w:rPr>
      </w:pPr>
      <w:r>
        <w:rPr>
          <w:bCs/>
          <w:sz w:val="24"/>
        </w:rPr>
        <w:t>（22）</w:t>
      </w:r>
      <w:bookmarkStart w:id="187" w:name="_Toc523711670"/>
      <w:r>
        <w:rPr>
          <w:bCs/>
          <w:sz w:val="24"/>
        </w:rPr>
        <w:t>法律法规及中国证监会规定的和《基金合同》约定的其他义务。</w:t>
      </w:r>
    </w:p>
    <w:bookmarkEnd w:id="187"/>
    <w:p w14:paraId="456F485E">
      <w:pPr>
        <w:spacing w:line="360" w:lineRule="auto"/>
        <w:ind w:firstLine="480" w:firstLineChars="200"/>
        <w:rPr>
          <w:bCs/>
          <w:sz w:val="24"/>
        </w:rPr>
      </w:pPr>
      <w:bookmarkStart w:id="188" w:name="_Toc79392582"/>
      <w:r>
        <w:rPr>
          <w:bCs/>
          <w:sz w:val="24"/>
        </w:rPr>
        <w:t>三、基金份额持有人</w:t>
      </w:r>
      <w:bookmarkEnd w:id="188"/>
    </w:p>
    <w:p w14:paraId="59381DE8">
      <w:pPr>
        <w:spacing w:line="360" w:lineRule="auto"/>
        <w:ind w:firstLine="480" w:firstLineChars="200"/>
        <w:rPr>
          <w:bCs/>
          <w:sz w:val="24"/>
        </w:rPr>
      </w:pPr>
      <w:r>
        <w:rPr>
          <w:bCs/>
          <w:sz w:val="24"/>
        </w:rPr>
        <w:t>基金投资者</w:t>
      </w:r>
      <w:r>
        <w:rPr>
          <w:rFonts w:hint="eastAsia"/>
          <w:bCs/>
          <w:sz w:val="24"/>
        </w:rPr>
        <w:t>持有</w:t>
      </w:r>
      <w:r>
        <w:rPr>
          <w:bCs/>
          <w:sz w:val="24"/>
        </w:rPr>
        <w:t>本基金</w:t>
      </w:r>
      <w:bookmarkStart w:id="189" w:name="_Hlt88899909"/>
      <w:bookmarkEnd w:id="189"/>
      <w:r>
        <w:rPr>
          <w:bCs/>
          <w:sz w:val="24"/>
        </w:rPr>
        <w:t>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58E02C5D">
      <w:pPr>
        <w:spacing w:line="360" w:lineRule="auto"/>
        <w:ind w:firstLine="480" w:firstLineChars="200"/>
        <w:rPr>
          <w:bCs/>
          <w:sz w:val="24"/>
        </w:rPr>
      </w:pPr>
      <w:r>
        <w:rPr>
          <w:bCs/>
          <w:sz w:val="24"/>
        </w:rPr>
        <w:t>每份基金份额具有同等的合法权益。</w:t>
      </w:r>
    </w:p>
    <w:p w14:paraId="2B12D8E2">
      <w:pPr>
        <w:spacing w:line="360" w:lineRule="auto"/>
        <w:ind w:firstLine="480" w:firstLineChars="200"/>
        <w:rPr>
          <w:bCs/>
          <w:sz w:val="24"/>
        </w:rPr>
      </w:pPr>
      <w:r>
        <w:rPr>
          <w:bCs/>
          <w:sz w:val="24"/>
        </w:rPr>
        <w:t>1、根据《基金法》、《运作办法》及其他有关规定，基金份额持有人的权利包括但不限于：</w:t>
      </w:r>
    </w:p>
    <w:p w14:paraId="0D171B90">
      <w:pPr>
        <w:spacing w:line="360" w:lineRule="auto"/>
        <w:ind w:firstLine="480" w:firstLineChars="200"/>
        <w:rPr>
          <w:bCs/>
          <w:sz w:val="24"/>
        </w:rPr>
      </w:pPr>
      <w:r>
        <w:rPr>
          <w:bCs/>
          <w:sz w:val="24"/>
        </w:rPr>
        <w:t>（1）分享基金财产收益；</w:t>
      </w:r>
    </w:p>
    <w:p w14:paraId="4A892566">
      <w:pPr>
        <w:spacing w:line="360" w:lineRule="auto"/>
        <w:ind w:firstLine="480" w:firstLineChars="200"/>
        <w:rPr>
          <w:bCs/>
          <w:sz w:val="24"/>
        </w:rPr>
      </w:pPr>
      <w:r>
        <w:rPr>
          <w:bCs/>
          <w:sz w:val="24"/>
        </w:rPr>
        <w:t>（2）参与分配清算后的剩余基金财产；</w:t>
      </w:r>
      <w:bookmarkStart w:id="190" w:name="_Hlt88825574"/>
      <w:bookmarkEnd w:id="190"/>
    </w:p>
    <w:p w14:paraId="0A6C9BD7">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03A33C29">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28479516">
      <w:pPr>
        <w:spacing w:line="360" w:lineRule="auto"/>
        <w:ind w:firstLine="480" w:firstLineChars="200"/>
        <w:rPr>
          <w:bCs/>
          <w:sz w:val="24"/>
        </w:rPr>
      </w:pPr>
      <w:r>
        <w:rPr>
          <w:bCs/>
          <w:sz w:val="24"/>
        </w:rPr>
        <w:t>（5）出席或者委派代表出席基金份额持有人大会，对基金份额持有人大会审议事项行使表决权；</w:t>
      </w:r>
    </w:p>
    <w:p w14:paraId="5D2F3C91">
      <w:pPr>
        <w:spacing w:line="360" w:lineRule="auto"/>
        <w:ind w:firstLine="480" w:firstLineChars="200"/>
        <w:rPr>
          <w:bCs/>
          <w:sz w:val="24"/>
        </w:rPr>
      </w:pPr>
      <w:r>
        <w:rPr>
          <w:bCs/>
          <w:sz w:val="24"/>
        </w:rPr>
        <w:t>（6）查阅或者复制公开披露的基金信息资料；</w:t>
      </w:r>
    </w:p>
    <w:p w14:paraId="78335CC4">
      <w:pPr>
        <w:spacing w:line="360" w:lineRule="auto"/>
        <w:ind w:firstLine="480" w:firstLineChars="200"/>
        <w:rPr>
          <w:bCs/>
          <w:sz w:val="24"/>
        </w:rPr>
      </w:pPr>
      <w:r>
        <w:rPr>
          <w:bCs/>
          <w:sz w:val="24"/>
        </w:rPr>
        <w:t>（7）监督基金管理人的投资运作；</w:t>
      </w:r>
    </w:p>
    <w:p w14:paraId="657AC017">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312819FC">
      <w:pPr>
        <w:spacing w:line="360" w:lineRule="auto"/>
        <w:ind w:firstLine="480" w:firstLineChars="200"/>
        <w:rPr>
          <w:bCs/>
          <w:sz w:val="24"/>
        </w:rPr>
      </w:pPr>
      <w:r>
        <w:rPr>
          <w:bCs/>
          <w:sz w:val="24"/>
        </w:rPr>
        <w:t>（9）法律法规及中国证监会规定的和《基金合同》约定的其他权利。</w:t>
      </w:r>
    </w:p>
    <w:p w14:paraId="6A79940A">
      <w:pPr>
        <w:spacing w:line="360" w:lineRule="auto"/>
        <w:ind w:firstLine="480" w:firstLineChars="200"/>
        <w:rPr>
          <w:bCs/>
          <w:sz w:val="24"/>
        </w:rPr>
      </w:pPr>
      <w:r>
        <w:rPr>
          <w:bCs/>
          <w:sz w:val="24"/>
        </w:rPr>
        <w:t>2、根据《基金法》、《运作办法》及其他有关规定，基金份额持有人的义务包括但不限于：</w:t>
      </w:r>
    </w:p>
    <w:p w14:paraId="55312603">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598C2DE2">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71C92D69">
      <w:pPr>
        <w:spacing w:line="360" w:lineRule="auto"/>
        <w:ind w:firstLine="480" w:firstLineChars="200"/>
        <w:rPr>
          <w:bCs/>
          <w:sz w:val="24"/>
        </w:rPr>
      </w:pPr>
      <w:r>
        <w:rPr>
          <w:bCs/>
          <w:sz w:val="24"/>
        </w:rPr>
        <w:t>（3）关注基金信息披露，及时行使权利和履行义务；</w:t>
      </w:r>
    </w:p>
    <w:p w14:paraId="4DE00E14">
      <w:pPr>
        <w:spacing w:line="360" w:lineRule="auto"/>
        <w:ind w:firstLine="480" w:firstLineChars="200"/>
        <w:rPr>
          <w:bCs/>
          <w:sz w:val="24"/>
        </w:rPr>
      </w:pPr>
      <w:bookmarkStart w:id="191" w:name="OLE_LINK57"/>
      <w:bookmarkStart w:id="192" w:name="OLE_LINK56"/>
      <w:r>
        <w:rPr>
          <w:bCs/>
          <w:sz w:val="24"/>
        </w:rPr>
        <w:t>（4）缴纳基金认购、申购款项及法律法规和《基金合同》所规定的费用；</w:t>
      </w:r>
    </w:p>
    <w:bookmarkEnd w:id="191"/>
    <w:bookmarkEnd w:id="192"/>
    <w:p w14:paraId="2788F5B3">
      <w:pPr>
        <w:spacing w:line="360" w:lineRule="auto"/>
        <w:ind w:firstLine="480" w:firstLineChars="200"/>
        <w:rPr>
          <w:bCs/>
          <w:sz w:val="24"/>
        </w:rPr>
      </w:pPr>
      <w:r>
        <w:rPr>
          <w:bCs/>
          <w:sz w:val="24"/>
        </w:rPr>
        <w:t>（5）在其持有的基金份额范围内，承担基金亏损或者《基金合同》终止的有限责任；</w:t>
      </w:r>
    </w:p>
    <w:p w14:paraId="4C46A519">
      <w:pPr>
        <w:spacing w:line="360" w:lineRule="auto"/>
        <w:ind w:firstLine="480" w:firstLineChars="200"/>
        <w:rPr>
          <w:bCs/>
          <w:sz w:val="24"/>
        </w:rPr>
      </w:pPr>
      <w:r>
        <w:rPr>
          <w:bCs/>
          <w:sz w:val="24"/>
        </w:rPr>
        <w:t>（6）不从事任何有损基金及其他《基金合同》当事人合法权益的活动；</w:t>
      </w:r>
    </w:p>
    <w:p w14:paraId="4D389E73">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102390F9">
      <w:pPr>
        <w:spacing w:line="360" w:lineRule="auto"/>
        <w:ind w:firstLine="480" w:firstLineChars="200"/>
        <w:rPr>
          <w:bCs/>
          <w:sz w:val="24"/>
        </w:rPr>
      </w:pPr>
      <w:r>
        <w:rPr>
          <w:bCs/>
          <w:sz w:val="24"/>
        </w:rPr>
        <w:t>（8）返还在基金交易过程中因任何原因获得的不当得利；</w:t>
      </w:r>
    </w:p>
    <w:p w14:paraId="3F7D6936">
      <w:pPr>
        <w:spacing w:line="360" w:lineRule="auto"/>
        <w:ind w:firstLine="480" w:firstLineChars="200"/>
        <w:rPr>
          <w:bCs/>
          <w:sz w:val="24"/>
        </w:rPr>
      </w:pPr>
      <w:r>
        <w:rPr>
          <w:rFonts w:hint="eastAsia"/>
          <w:bCs/>
          <w:sz w:val="24"/>
        </w:rPr>
        <w:t>（</w:t>
      </w:r>
      <w:r>
        <w:rPr>
          <w:bCs/>
          <w:sz w:val="24"/>
        </w:rPr>
        <w:t>9</w:t>
      </w:r>
      <w:r>
        <w:rPr>
          <w:rFonts w:hint="eastAsia"/>
          <w:bCs/>
          <w:sz w:val="24"/>
        </w:rPr>
        <w:t>）</w:t>
      </w:r>
      <w:r>
        <w:rPr>
          <w:bCs/>
          <w:sz w:val="24"/>
        </w:rPr>
        <w:t>法律法规及中国证监会规定的和《基金合同》约定的其他义务。</w:t>
      </w:r>
    </w:p>
    <w:p w14:paraId="493A24C4">
      <w:pPr>
        <w:pStyle w:val="2"/>
        <w:spacing w:before="0" w:after="0"/>
        <w:jc w:val="center"/>
        <w:rPr>
          <w:rFonts w:ascii="Times New Roman"/>
          <w:color w:val="auto"/>
          <w:sz w:val="30"/>
        </w:rPr>
      </w:pPr>
      <w:r>
        <w:rPr>
          <w:rFonts w:ascii="Times New Roman"/>
          <w:b w:val="0"/>
          <w:bCs/>
          <w:color w:val="auto"/>
        </w:rPr>
        <w:br w:type="page"/>
      </w:r>
      <w:bookmarkStart w:id="193" w:name="_Toc18567"/>
      <w:bookmarkStart w:id="194" w:name="_Toc123102455"/>
      <w:bookmarkStart w:id="195" w:name="_Toc3771"/>
      <w:bookmarkStart w:id="196" w:name="_Toc4559"/>
      <w:bookmarkStart w:id="197" w:name="_Toc6447"/>
      <w:bookmarkStart w:id="198" w:name="_Toc123051454"/>
      <w:bookmarkStart w:id="199" w:name="_Toc141703888"/>
      <w:bookmarkStart w:id="200" w:name="_Toc25783"/>
      <w:bookmarkStart w:id="201" w:name="_Toc3321"/>
      <w:bookmarkStart w:id="202" w:name="_Toc9706"/>
      <w:bookmarkStart w:id="203" w:name="_Toc11030"/>
      <w:bookmarkStart w:id="204" w:name="_Toc7058"/>
      <w:bookmarkStart w:id="205" w:name="_Toc139991738"/>
      <w:bookmarkStart w:id="206" w:name="_Toc123112236"/>
      <w:bookmarkStart w:id="207" w:name="_Toc79392583"/>
      <w:bookmarkStart w:id="208" w:name="_Toc425241710"/>
      <w:bookmarkStart w:id="209" w:name="_Toc10650"/>
      <w:bookmarkStart w:id="210" w:name="_Toc98560354"/>
      <w:r>
        <w:rPr>
          <w:rFonts w:ascii="Times New Roman"/>
          <w:color w:val="auto"/>
          <w:sz w:val="30"/>
        </w:rPr>
        <w:t>第八部分基金份额持有人大会</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56A15F79">
      <w:pPr>
        <w:tabs>
          <w:tab w:val="left" w:pos="1080"/>
        </w:tabs>
        <w:spacing w:line="360" w:lineRule="auto"/>
        <w:ind w:left="1075" w:leftChars="199" w:hanging="657" w:hangingChars="274"/>
        <w:rPr>
          <w:bCs/>
          <w:sz w:val="24"/>
        </w:rPr>
      </w:pPr>
    </w:p>
    <w:p w14:paraId="07D890DC">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1A39EA9E">
      <w:pPr>
        <w:spacing w:line="360" w:lineRule="auto"/>
        <w:ind w:firstLine="480" w:firstLineChars="200"/>
        <w:rPr>
          <w:bCs/>
          <w:sz w:val="24"/>
        </w:rPr>
      </w:pPr>
      <w:r>
        <w:rPr>
          <w:rFonts w:hint="eastAsia"/>
          <w:bCs/>
          <w:sz w:val="24"/>
        </w:rPr>
        <w:t>本基金份额持有人大会不设日常机构。</w:t>
      </w:r>
    </w:p>
    <w:p w14:paraId="3AEA66B2">
      <w:pPr>
        <w:spacing w:line="360" w:lineRule="auto"/>
        <w:ind w:firstLine="480" w:firstLineChars="200"/>
        <w:rPr>
          <w:bCs/>
          <w:sz w:val="24"/>
        </w:rPr>
      </w:pPr>
      <w:bookmarkStart w:id="211" w:name="_Toc15641220"/>
      <w:bookmarkStart w:id="212" w:name="_Toc57530243"/>
      <w:bookmarkStart w:id="213" w:name="_Toc79392584"/>
      <w:r>
        <w:rPr>
          <w:bCs/>
          <w:sz w:val="24"/>
        </w:rPr>
        <w:t>一、召开事由</w:t>
      </w:r>
      <w:bookmarkEnd w:id="211"/>
      <w:bookmarkEnd w:id="212"/>
      <w:bookmarkEnd w:id="213"/>
    </w:p>
    <w:p w14:paraId="4D729673">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，法律法规、中国证监会另有规定或基金合同另有约定的除外</w:t>
      </w:r>
      <w:r>
        <w:rPr>
          <w:bCs/>
          <w:sz w:val="24"/>
        </w:rPr>
        <w:t>：</w:t>
      </w:r>
    </w:p>
    <w:p w14:paraId="4002A72C">
      <w:pPr>
        <w:spacing w:line="440" w:lineRule="atLeast"/>
        <w:ind w:firstLine="480" w:firstLineChars="200"/>
        <w:rPr>
          <w:bCs/>
          <w:sz w:val="24"/>
        </w:rPr>
      </w:pPr>
      <w:r>
        <w:rPr>
          <w:bCs/>
          <w:sz w:val="24"/>
        </w:rPr>
        <w:t>（1）终止《基金合同》；</w:t>
      </w:r>
    </w:p>
    <w:p w14:paraId="40D42451">
      <w:pPr>
        <w:spacing w:line="440" w:lineRule="atLeast"/>
        <w:ind w:firstLine="480" w:firstLineChars="200"/>
        <w:rPr>
          <w:bCs/>
          <w:sz w:val="24"/>
        </w:rPr>
      </w:pPr>
      <w:r>
        <w:rPr>
          <w:bCs/>
          <w:sz w:val="24"/>
        </w:rPr>
        <w:t>（2）更换基金管理人；</w:t>
      </w:r>
    </w:p>
    <w:p w14:paraId="25820F65">
      <w:pPr>
        <w:spacing w:line="440" w:lineRule="atLeast"/>
        <w:ind w:firstLine="480" w:firstLineChars="200"/>
        <w:rPr>
          <w:bCs/>
          <w:sz w:val="24"/>
        </w:rPr>
      </w:pPr>
      <w:r>
        <w:rPr>
          <w:bCs/>
          <w:sz w:val="24"/>
        </w:rPr>
        <w:t>（3）更换基金托管人；</w:t>
      </w:r>
    </w:p>
    <w:p w14:paraId="0995529D">
      <w:pPr>
        <w:spacing w:line="440" w:lineRule="atLeast"/>
        <w:ind w:firstLine="480" w:firstLineChars="200"/>
        <w:rPr>
          <w:bCs/>
          <w:sz w:val="24"/>
        </w:rPr>
      </w:pPr>
      <w:r>
        <w:rPr>
          <w:bCs/>
          <w:sz w:val="24"/>
        </w:rPr>
        <w:t>（4）转换基金运作方式；</w:t>
      </w:r>
    </w:p>
    <w:p w14:paraId="408EF800">
      <w:pPr>
        <w:spacing w:line="440" w:lineRule="atLeast"/>
        <w:ind w:firstLine="480" w:firstLineChars="200"/>
        <w:rPr>
          <w:bCs/>
          <w:sz w:val="24"/>
        </w:rPr>
      </w:pPr>
      <w:r>
        <w:rPr>
          <w:bCs/>
          <w:sz w:val="24"/>
        </w:rPr>
        <w:t>（5）</w:t>
      </w:r>
      <w:r>
        <w:rPr>
          <w:rFonts w:hint="eastAsia"/>
          <w:bCs/>
          <w:sz w:val="24"/>
        </w:rPr>
        <w:t>调整</w:t>
      </w:r>
      <w:r>
        <w:rPr>
          <w:bCs/>
          <w:sz w:val="24"/>
        </w:rPr>
        <w:t>基金管理人、基金托管人的报酬标准</w:t>
      </w:r>
      <w:r>
        <w:rPr>
          <w:rFonts w:hint="eastAsia"/>
          <w:bCs/>
          <w:sz w:val="24"/>
        </w:rPr>
        <w:t>；</w:t>
      </w:r>
    </w:p>
    <w:p w14:paraId="47CCDCDC">
      <w:pPr>
        <w:spacing w:line="440" w:lineRule="atLeast"/>
        <w:ind w:firstLine="480" w:firstLineChars="200"/>
        <w:rPr>
          <w:bCs/>
          <w:sz w:val="24"/>
        </w:rPr>
      </w:pPr>
      <w:r>
        <w:rPr>
          <w:bCs/>
          <w:sz w:val="24"/>
        </w:rPr>
        <w:t>（6）变更基金类别；</w:t>
      </w:r>
    </w:p>
    <w:p w14:paraId="1941BAFE">
      <w:pPr>
        <w:spacing w:line="440" w:lineRule="atLeast"/>
        <w:ind w:firstLine="480" w:firstLineChars="200"/>
        <w:rPr>
          <w:bCs/>
          <w:sz w:val="24"/>
        </w:rPr>
      </w:pPr>
      <w:r>
        <w:rPr>
          <w:bCs/>
          <w:sz w:val="24"/>
        </w:rPr>
        <w:t>（7）本基金与其他基金的合并；</w:t>
      </w:r>
    </w:p>
    <w:p w14:paraId="09AF584D">
      <w:pPr>
        <w:spacing w:line="440" w:lineRule="atLeast"/>
        <w:ind w:firstLine="480" w:firstLineChars="200"/>
        <w:rPr>
          <w:bCs/>
          <w:sz w:val="24"/>
        </w:rPr>
      </w:pPr>
      <w:r>
        <w:rPr>
          <w:bCs/>
          <w:sz w:val="24"/>
        </w:rPr>
        <w:t>（8）变更基金投资目标、范围或策略；</w:t>
      </w:r>
    </w:p>
    <w:p w14:paraId="26DB3407">
      <w:pPr>
        <w:spacing w:line="440" w:lineRule="atLeast"/>
        <w:ind w:firstLine="480" w:firstLineChars="200"/>
        <w:rPr>
          <w:bCs/>
          <w:sz w:val="24"/>
        </w:rPr>
      </w:pPr>
      <w:r>
        <w:rPr>
          <w:bCs/>
          <w:sz w:val="24"/>
        </w:rPr>
        <w:t>（9）变更基金份额持有人大会程序；</w:t>
      </w:r>
    </w:p>
    <w:p w14:paraId="4267B0E8">
      <w:pPr>
        <w:spacing w:line="440" w:lineRule="atLeast"/>
        <w:ind w:firstLine="480" w:firstLineChars="200"/>
        <w:rPr>
          <w:bCs/>
          <w:sz w:val="24"/>
        </w:rPr>
      </w:pPr>
      <w:r>
        <w:rPr>
          <w:bCs/>
          <w:sz w:val="24"/>
        </w:rPr>
        <w:t>（10）基金管理人或基金托管人要求召开基金份额持有人大会；</w:t>
      </w:r>
    </w:p>
    <w:p w14:paraId="1EFA8F3F">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0D562AFF">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3DBC3A93">
      <w:pPr>
        <w:spacing w:line="440" w:lineRule="atLeast"/>
        <w:ind w:firstLine="480" w:firstLineChars="200"/>
        <w:rPr>
          <w:bCs/>
          <w:sz w:val="24"/>
        </w:rPr>
      </w:pPr>
      <w:r>
        <w:rPr>
          <w:bCs/>
          <w:sz w:val="24"/>
        </w:rPr>
        <w:t>（13）法律法规、《基金合同》或中国证监会规定的其他应当召开基金份额持有人大会的事项。</w:t>
      </w:r>
    </w:p>
    <w:p w14:paraId="791FED3E">
      <w:pPr>
        <w:spacing w:line="360" w:lineRule="auto"/>
        <w:ind w:firstLine="480" w:firstLineChars="200"/>
        <w:rPr>
          <w:bCs/>
          <w:sz w:val="24"/>
        </w:rPr>
      </w:pPr>
      <w:r>
        <w:rPr>
          <w:bCs/>
          <w:sz w:val="24"/>
        </w:rPr>
        <w:t>2、以下情况可由基金管理人和基金托管人协商后修改，不需召开基金份额持有人大会：</w:t>
      </w:r>
    </w:p>
    <w:p w14:paraId="58DD6D8A">
      <w:pPr>
        <w:spacing w:line="360" w:lineRule="auto"/>
        <w:ind w:firstLine="480" w:firstLineChars="200"/>
        <w:rPr>
          <w:bCs/>
          <w:sz w:val="24"/>
        </w:rPr>
      </w:pPr>
      <w:r>
        <w:rPr>
          <w:rFonts w:hint="eastAsia"/>
          <w:bCs/>
          <w:sz w:val="24"/>
        </w:rPr>
        <w:t>（1）调低除基金管理费、基金托管费之外的其他应由本基金或基金份额持有人承担的费用；</w:t>
      </w:r>
    </w:p>
    <w:p w14:paraId="41C03773">
      <w:pPr>
        <w:spacing w:line="360" w:lineRule="auto"/>
        <w:ind w:firstLine="480" w:firstLineChars="200"/>
        <w:rPr>
          <w:bCs/>
          <w:sz w:val="24"/>
        </w:rPr>
      </w:pPr>
      <w:r>
        <w:rPr>
          <w:bCs/>
          <w:sz w:val="24"/>
        </w:rPr>
        <w:t>（</w:t>
      </w:r>
      <w:r>
        <w:rPr>
          <w:rFonts w:hint="eastAsia"/>
          <w:bCs/>
          <w:sz w:val="24"/>
        </w:rPr>
        <w:t>2</w:t>
      </w:r>
      <w:r>
        <w:rPr>
          <w:bCs/>
          <w:sz w:val="24"/>
        </w:rPr>
        <w:t>）法律法规要求增加的基金费用的收取；</w:t>
      </w:r>
    </w:p>
    <w:p w14:paraId="061C1B56">
      <w:pPr>
        <w:spacing w:line="360" w:lineRule="auto"/>
        <w:ind w:firstLine="480" w:firstLineChars="200"/>
        <w:rPr>
          <w:bCs/>
          <w:sz w:val="24"/>
        </w:rPr>
      </w:pPr>
      <w:r>
        <w:rPr>
          <w:bCs/>
          <w:sz w:val="24"/>
        </w:rPr>
        <w:t>（</w:t>
      </w:r>
      <w:r>
        <w:rPr>
          <w:rFonts w:hint="eastAsia"/>
          <w:bCs/>
          <w:sz w:val="24"/>
        </w:rPr>
        <w:t>3</w:t>
      </w:r>
      <w:r>
        <w:rPr>
          <w:bCs/>
          <w:sz w:val="24"/>
        </w:rPr>
        <w:t>）在法律法规</w:t>
      </w:r>
      <w:r>
        <w:rPr>
          <w:rFonts w:hint="eastAsia"/>
          <w:bCs/>
          <w:sz w:val="24"/>
        </w:rPr>
        <w:t>规定</w:t>
      </w:r>
      <w:r>
        <w:rPr>
          <w:bCs/>
          <w:sz w:val="24"/>
        </w:rPr>
        <w:t>和《基金合同》</w:t>
      </w:r>
      <w:r>
        <w:rPr>
          <w:rFonts w:hint="eastAsia"/>
          <w:bCs/>
          <w:sz w:val="24"/>
        </w:rPr>
        <w:t>约</w:t>
      </w:r>
      <w:r>
        <w:rPr>
          <w:bCs/>
          <w:sz w:val="24"/>
        </w:rPr>
        <w:t>定的范围内</w:t>
      </w:r>
      <w:r>
        <w:rPr>
          <w:rFonts w:hint="eastAsia"/>
          <w:bCs/>
          <w:sz w:val="24"/>
        </w:rPr>
        <w:t>，且在对现有基金份额持有人利益无实质性不利影响的前提下</w:t>
      </w:r>
      <w:r>
        <w:rPr>
          <w:bCs/>
          <w:sz w:val="24"/>
        </w:rPr>
        <w:t>调整本基金的申购费率、调低赎回费率</w:t>
      </w:r>
      <w:r>
        <w:rPr>
          <w:rFonts w:hint="eastAsia"/>
          <w:bCs/>
          <w:sz w:val="24"/>
        </w:rPr>
        <w:t>、变更或增加收费方式</w:t>
      </w:r>
      <w:r>
        <w:rPr>
          <w:bCs/>
          <w:sz w:val="24"/>
        </w:rPr>
        <w:t>；</w:t>
      </w:r>
    </w:p>
    <w:p w14:paraId="7F515C93">
      <w:pPr>
        <w:spacing w:line="360" w:lineRule="auto"/>
        <w:ind w:firstLine="480" w:firstLineChars="200"/>
        <w:rPr>
          <w:bCs/>
          <w:sz w:val="24"/>
        </w:rPr>
      </w:pPr>
      <w:r>
        <w:rPr>
          <w:bCs/>
          <w:sz w:val="24"/>
        </w:rPr>
        <w:t>（</w:t>
      </w:r>
      <w:r>
        <w:rPr>
          <w:rFonts w:hint="eastAsia"/>
          <w:bCs/>
          <w:sz w:val="24"/>
        </w:rPr>
        <w:t>4</w:t>
      </w:r>
      <w:r>
        <w:rPr>
          <w:bCs/>
          <w:sz w:val="24"/>
        </w:rPr>
        <w:t>）因相应的法律法规、登记机构的相关业务规则发生变动而应当对《基金合同》进行修改；</w:t>
      </w:r>
    </w:p>
    <w:p w14:paraId="6F59654A">
      <w:pPr>
        <w:spacing w:line="360" w:lineRule="auto"/>
        <w:ind w:firstLine="480" w:firstLineChars="200"/>
        <w:rPr>
          <w:bCs/>
          <w:sz w:val="24"/>
        </w:rPr>
      </w:pPr>
      <w:r>
        <w:rPr>
          <w:bCs/>
          <w:sz w:val="24"/>
        </w:rPr>
        <w:t>（</w:t>
      </w:r>
      <w:r>
        <w:rPr>
          <w:rFonts w:hint="eastAsia"/>
          <w:bCs/>
          <w:sz w:val="24"/>
        </w:rPr>
        <w:t>5</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538FCBAE">
      <w:pPr>
        <w:spacing w:line="360" w:lineRule="auto"/>
        <w:ind w:firstLine="480" w:firstLineChars="200"/>
        <w:rPr>
          <w:bCs/>
          <w:sz w:val="24"/>
        </w:rPr>
      </w:pPr>
      <w:r>
        <w:rPr>
          <w:rFonts w:hint="eastAsia"/>
          <w:bCs/>
          <w:sz w:val="24"/>
        </w:rPr>
        <w:t>（6）在法律法规允许的情况下，且在对现有基金份额持有人利益无实质性不利影响的前提下，基金推出新业务或服务；</w:t>
      </w:r>
    </w:p>
    <w:p w14:paraId="4E85BF88">
      <w:pPr>
        <w:spacing w:line="360" w:lineRule="auto"/>
        <w:ind w:firstLine="480" w:firstLineChars="200"/>
        <w:rPr>
          <w:bCs/>
          <w:sz w:val="24"/>
        </w:rPr>
      </w:pPr>
      <w:r>
        <w:rPr>
          <w:rFonts w:hint="eastAsia"/>
          <w:bCs/>
          <w:sz w:val="24"/>
        </w:rPr>
        <w:t>（7）在符合法律法规规定及本基金合同约定、并且对基金份额持有人利益无实质不利影响的前提下，增加</w:t>
      </w:r>
      <w:r>
        <w:rPr>
          <w:bCs/>
          <w:sz w:val="24"/>
        </w:rPr>
        <w:t>基金份额类别或</w:t>
      </w:r>
      <w:r>
        <w:rPr>
          <w:rFonts w:hint="eastAsia"/>
          <w:bCs/>
          <w:sz w:val="24"/>
        </w:rPr>
        <w:t>调整本基金份额类别的设置；</w:t>
      </w:r>
    </w:p>
    <w:p w14:paraId="7C119EC4">
      <w:pPr>
        <w:spacing w:line="360" w:lineRule="auto"/>
        <w:ind w:firstLine="480" w:firstLineChars="200"/>
        <w:rPr>
          <w:bCs/>
          <w:sz w:val="24"/>
        </w:rPr>
      </w:pPr>
      <w:r>
        <w:rPr>
          <w:rFonts w:hint="eastAsia"/>
          <w:bCs/>
          <w:sz w:val="24"/>
        </w:rPr>
        <w:t>（8）在不违反法律法规及对基金份额持有人利益无实质性不利影响的前提下，基金管理人、登记机构、销售机构调整有关基金认购、申购、赎回、转换、收益分配、非交易过户、转托管等业务的规则；</w:t>
      </w:r>
    </w:p>
    <w:p w14:paraId="4B04C7A7">
      <w:pPr>
        <w:spacing w:line="360" w:lineRule="auto"/>
        <w:ind w:firstLine="480" w:firstLineChars="200"/>
        <w:rPr>
          <w:bCs/>
          <w:sz w:val="24"/>
        </w:rPr>
      </w:pPr>
      <w:r>
        <w:rPr>
          <w:bCs/>
          <w:sz w:val="24"/>
        </w:rPr>
        <w:t>（</w:t>
      </w:r>
      <w:r>
        <w:rPr>
          <w:rFonts w:hint="eastAsia"/>
          <w:bCs/>
          <w:sz w:val="24"/>
        </w:rPr>
        <w:t>9</w:t>
      </w:r>
      <w:r>
        <w:rPr>
          <w:bCs/>
          <w:sz w:val="24"/>
        </w:rPr>
        <w:t>）按照法律法规和《基金合同》规定不需召开基金份额持有人大会的其他情形。</w:t>
      </w:r>
    </w:p>
    <w:p w14:paraId="116C34A7">
      <w:pPr>
        <w:spacing w:line="360" w:lineRule="auto"/>
        <w:ind w:firstLine="480" w:firstLineChars="200"/>
        <w:rPr>
          <w:bCs/>
          <w:sz w:val="24"/>
        </w:rPr>
      </w:pPr>
      <w:bookmarkStart w:id="214" w:name="_Toc79392585"/>
      <w:bookmarkStart w:id="215" w:name="_Toc57530244"/>
      <w:bookmarkStart w:id="216" w:name="_Toc15641221"/>
      <w:r>
        <w:rPr>
          <w:rFonts w:hint="eastAsia"/>
          <w:bCs/>
          <w:sz w:val="24"/>
        </w:rPr>
        <w:t>二、会议召集人及召集方式</w:t>
      </w:r>
      <w:bookmarkEnd w:id="214"/>
      <w:bookmarkEnd w:id="215"/>
      <w:bookmarkEnd w:id="216"/>
    </w:p>
    <w:p w14:paraId="7F2C9C1E">
      <w:pPr>
        <w:spacing w:line="360" w:lineRule="auto"/>
        <w:ind w:firstLine="480" w:firstLineChars="200"/>
        <w:rPr>
          <w:bCs/>
          <w:sz w:val="24"/>
        </w:rPr>
      </w:pPr>
      <w:bookmarkStart w:id="217" w:name="_Toc57530245"/>
      <w:bookmarkStart w:id="218" w:name="_Toc15641222"/>
      <w:r>
        <w:rPr>
          <w:bCs/>
          <w:sz w:val="24"/>
        </w:rPr>
        <w:t>1、除法律法规规定或《基金合同》另有约定外，基金份额持有人大会由基金管理人召集；</w:t>
      </w:r>
    </w:p>
    <w:p w14:paraId="6D6E269A">
      <w:pPr>
        <w:spacing w:line="360" w:lineRule="auto"/>
        <w:ind w:firstLine="480" w:firstLineChars="200"/>
        <w:rPr>
          <w:bCs/>
          <w:sz w:val="24"/>
        </w:rPr>
      </w:pPr>
      <w:r>
        <w:rPr>
          <w:bCs/>
          <w:sz w:val="24"/>
        </w:rPr>
        <w:t>2、基金管理人未按规定召集或不能召集时，由基金托管人召集；</w:t>
      </w:r>
    </w:p>
    <w:p w14:paraId="35CBDDF4">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p>
    <w:p w14:paraId="690EA4CB">
      <w:pPr>
        <w:spacing w:line="360" w:lineRule="auto"/>
        <w:rPr>
          <w:bCs/>
          <w:sz w:val="24"/>
        </w:rPr>
      </w:pP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p>
    <w:p w14:paraId="71D4E0B3">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0EBD34E2">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0BA26D57">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71494EA9">
      <w:pPr>
        <w:spacing w:line="360" w:lineRule="auto"/>
        <w:ind w:firstLine="480" w:firstLineChars="200"/>
        <w:rPr>
          <w:bCs/>
          <w:sz w:val="24"/>
        </w:rPr>
      </w:pPr>
      <w:r>
        <w:rPr>
          <w:bCs/>
          <w:sz w:val="24"/>
        </w:rPr>
        <w:t>6、基金份额持有人会议的召集人负责选择确定开会时间、地点、方式和权益登记日。</w:t>
      </w:r>
    </w:p>
    <w:p w14:paraId="245BA21B">
      <w:pPr>
        <w:spacing w:line="360" w:lineRule="auto"/>
        <w:ind w:firstLine="480" w:firstLineChars="200"/>
        <w:rPr>
          <w:bCs/>
          <w:sz w:val="24"/>
        </w:rPr>
      </w:pPr>
      <w:bookmarkStart w:id="219" w:name="_Toc79392586"/>
      <w:r>
        <w:rPr>
          <w:bCs/>
          <w:sz w:val="24"/>
        </w:rPr>
        <w:t>三、召开基金份额持有人大会的通知时间、通知内容、通知方式</w:t>
      </w:r>
      <w:bookmarkEnd w:id="217"/>
      <w:bookmarkEnd w:id="218"/>
      <w:bookmarkEnd w:id="219"/>
    </w:p>
    <w:p w14:paraId="6A66B142">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00AB2DD0">
      <w:pPr>
        <w:spacing w:line="360" w:lineRule="auto"/>
        <w:ind w:firstLine="480" w:firstLineChars="200"/>
        <w:rPr>
          <w:bCs/>
          <w:sz w:val="24"/>
        </w:rPr>
      </w:pPr>
      <w:r>
        <w:rPr>
          <w:bCs/>
          <w:sz w:val="24"/>
        </w:rPr>
        <w:t>（1）会议召开的时间、地点和会议形式；</w:t>
      </w:r>
    </w:p>
    <w:p w14:paraId="42092934">
      <w:pPr>
        <w:spacing w:line="360" w:lineRule="auto"/>
        <w:ind w:firstLine="480" w:firstLineChars="200"/>
        <w:rPr>
          <w:bCs/>
          <w:sz w:val="24"/>
        </w:rPr>
      </w:pPr>
      <w:r>
        <w:rPr>
          <w:bCs/>
          <w:sz w:val="24"/>
        </w:rPr>
        <w:t>（2）会议拟审议的事项、议事程序和表决方式；</w:t>
      </w:r>
    </w:p>
    <w:p w14:paraId="747E82E9">
      <w:pPr>
        <w:spacing w:line="360" w:lineRule="auto"/>
        <w:ind w:firstLine="480" w:firstLineChars="200"/>
        <w:rPr>
          <w:bCs/>
          <w:sz w:val="24"/>
        </w:rPr>
      </w:pPr>
      <w:r>
        <w:rPr>
          <w:bCs/>
          <w:sz w:val="24"/>
        </w:rPr>
        <w:t>（3）有权出席基金份额持有人大会的基金份额持有人的权益登记日；</w:t>
      </w:r>
    </w:p>
    <w:p w14:paraId="347113D7">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7112E7DC">
      <w:pPr>
        <w:spacing w:line="360" w:lineRule="auto"/>
        <w:ind w:firstLine="480" w:firstLineChars="200"/>
        <w:rPr>
          <w:bCs/>
          <w:sz w:val="24"/>
        </w:rPr>
      </w:pPr>
      <w:r>
        <w:rPr>
          <w:bCs/>
          <w:sz w:val="24"/>
        </w:rPr>
        <w:t>（5）会务常设联系人姓名及联系电话；</w:t>
      </w:r>
    </w:p>
    <w:p w14:paraId="7D55CB12">
      <w:pPr>
        <w:spacing w:line="360" w:lineRule="auto"/>
        <w:ind w:firstLine="480" w:firstLineChars="200"/>
        <w:rPr>
          <w:bCs/>
          <w:sz w:val="24"/>
        </w:rPr>
      </w:pPr>
      <w:r>
        <w:rPr>
          <w:bCs/>
          <w:sz w:val="24"/>
        </w:rPr>
        <w:t>（6）出席会议者必须准备的文件和必须履行的手续；</w:t>
      </w:r>
    </w:p>
    <w:p w14:paraId="5F5C5DF5">
      <w:pPr>
        <w:spacing w:line="360" w:lineRule="auto"/>
        <w:ind w:firstLine="480" w:firstLineChars="200"/>
        <w:rPr>
          <w:bCs/>
          <w:sz w:val="24"/>
        </w:rPr>
      </w:pPr>
      <w:r>
        <w:rPr>
          <w:bCs/>
          <w:sz w:val="24"/>
        </w:rPr>
        <w:t>（7）召集人需要通知的其他事项。</w:t>
      </w:r>
    </w:p>
    <w:p w14:paraId="758D79E9">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F8ACDCA">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1B0598D3">
      <w:pPr>
        <w:spacing w:line="360" w:lineRule="auto"/>
        <w:ind w:firstLine="480" w:firstLineChars="200"/>
        <w:rPr>
          <w:bCs/>
          <w:sz w:val="24"/>
        </w:rPr>
      </w:pPr>
      <w:bookmarkStart w:id="220" w:name="_Toc15641223"/>
      <w:bookmarkStart w:id="221" w:name="_Toc57530246"/>
      <w:bookmarkStart w:id="222" w:name="_Toc79392587"/>
      <w:r>
        <w:rPr>
          <w:bCs/>
          <w:sz w:val="24"/>
        </w:rPr>
        <w:t>四、基金份额持有人出席会议的方式</w:t>
      </w:r>
      <w:bookmarkEnd w:id="220"/>
      <w:bookmarkEnd w:id="221"/>
      <w:bookmarkEnd w:id="222"/>
    </w:p>
    <w:p w14:paraId="40C49358">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505575C1">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79933E55">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0CB3F30">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3043D51A">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会议通知载明的</w:t>
      </w:r>
      <w:r>
        <w:rPr>
          <w:bCs/>
          <w:sz w:val="24"/>
        </w:rPr>
        <w:t>形式在表决截</w:t>
      </w:r>
      <w:r>
        <w:rPr>
          <w:rFonts w:hint="eastAsia"/>
          <w:bCs/>
          <w:sz w:val="24"/>
        </w:rPr>
        <w:t>止</w:t>
      </w:r>
      <w:r>
        <w:rPr>
          <w:bCs/>
          <w:sz w:val="24"/>
        </w:rPr>
        <w:t>日以前送达至召集人指定的地址</w:t>
      </w:r>
      <w:r>
        <w:rPr>
          <w:rFonts w:hint="eastAsia"/>
          <w:bCs/>
          <w:sz w:val="24"/>
        </w:rPr>
        <w:t>或系统</w:t>
      </w:r>
      <w:r>
        <w:rPr>
          <w:bCs/>
          <w:sz w:val="24"/>
        </w:rPr>
        <w:t>。</w:t>
      </w:r>
    </w:p>
    <w:p w14:paraId="355316EB">
      <w:pPr>
        <w:spacing w:line="360" w:lineRule="auto"/>
        <w:ind w:firstLine="480" w:firstLineChars="200"/>
        <w:rPr>
          <w:bCs/>
          <w:sz w:val="24"/>
        </w:rPr>
      </w:pPr>
      <w:r>
        <w:rPr>
          <w:bCs/>
          <w:sz w:val="24"/>
        </w:rPr>
        <w:t>在同时符合以下条件时，通讯开会的方式视为有效：</w:t>
      </w:r>
    </w:p>
    <w:p w14:paraId="4FA3125B">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3E0416DC">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DEDBBAE">
      <w:pPr>
        <w:spacing w:line="360" w:lineRule="auto"/>
        <w:ind w:firstLine="540" w:firstLineChars="225"/>
        <w:rPr>
          <w:bCs/>
          <w:sz w:val="24"/>
        </w:rPr>
      </w:pPr>
      <w:r>
        <w:rPr>
          <w:bCs/>
          <w:sz w:val="24"/>
        </w:rPr>
        <w:t>（3）本人直接出具表决意见或授权他人代表出具表决意见的，基金份额持有人所持有的基金份额不小于在权益登记日基金总份额的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本人直接出具表决意见或授权他人代表出具表决意见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基金总份额三分之一以上（含三分之一）基金份额的持有人直接出具表决意见或授权他人代表出具表决意见；</w:t>
      </w:r>
    </w:p>
    <w:p w14:paraId="6445E02B">
      <w:pPr>
        <w:spacing w:line="360" w:lineRule="auto"/>
        <w:ind w:firstLine="480" w:firstLineChars="200"/>
        <w:rPr>
          <w:bCs/>
          <w:sz w:val="24"/>
        </w:rPr>
      </w:pPr>
      <w:r>
        <w:rPr>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7B5C948">
      <w:pPr>
        <w:spacing w:line="360" w:lineRule="auto"/>
        <w:ind w:firstLine="480"/>
        <w:rPr>
          <w:bCs/>
          <w:sz w:val="24"/>
        </w:rPr>
      </w:pPr>
      <w:bookmarkStart w:id="223" w:name="OLE_LINK58"/>
      <w:bookmarkStart w:id="224" w:name="OLE_LINK59"/>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bookmarkEnd w:id="223"/>
    <w:bookmarkEnd w:id="224"/>
    <w:p w14:paraId="43F7AC11">
      <w:pPr>
        <w:spacing w:line="360" w:lineRule="auto"/>
        <w:ind w:firstLine="480" w:firstLineChars="200"/>
        <w:rPr>
          <w:bCs/>
          <w:sz w:val="24"/>
        </w:rPr>
      </w:pPr>
      <w:bookmarkStart w:id="225" w:name="_Toc57530247"/>
      <w:bookmarkStart w:id="226" w:name="_Toc79392588"/>
      <w:bookmarkStart w:id="227" w:name="_Toc15641224"/>
      <w:r>
        <w:rPr>
          <w:bCs/>
          <w:sz w:val="24"/>
        </w:rPr>
        <w:t>五、议事内容与程序</w:t>
      </w:r>
      <w:bookmarkEnd w:id="225"/>
      <w:bookmarkEnd w:id="226"/>
      <w:bookmarkEnd w:id="227"/>
    </w:p>
    <w:p w14:paraId="0F90EB02">
      <w:pPr>
        <w:spacing w:line="360" w:lineRule="auto"/>
        <w:ind w:firstLine="480" w:firstLineChars="200"/>
        <w:rPr>
          <w:bCs/>
          <w:sz w:val="24"/>
        </w:rPr>
      </w:pPr>
      <w:r>
        <w:rPr>
          <w:bCs/>
          <w:sz w:val="24"/>
        </w:rPr>
        <w:t>1、议事内容及提案权</w:t>
      </w:r>
    </w:p>
    <w:p w14:paraId="4594759B">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6B7098E4">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59A65E02">
      <w:pPr>
        <w:spacing w:line="360" w:lineRule="auto"/>
        <w:ind w:firstLine="480" w:firstLineChars="200"/>
        <w:rPr>
          <w:bCs/>
          <w:sz w:val="24"/>
        </w:rPr>
      </w:pPr>
      <w:r>
        <w:rPr>
          <w:bCs/>
          <w:sz w:val="24"/>
        </w:rPr>
        <w:t>基金份额持有人大会不得对未事先公告的议事内容进行表决。</w:t>
      </w:r>
    </w:p>
    <w:p w14:paraId="5E71643E">
      <w:pPr>
        <w:spacing w:line="360" w:lineRule="auto"/>
        <w:ind w:firstLine="480" w:firstLineChars="200"/>
        <w:rPr>
          <w:bCs/>
          <w:sz w:val="24"/>
        </w:rPr>
      </w:pPr>
      <w:r>
        <w:rPr>
          <w:bCs/>
          <w:sz w:val="24"/>
        </w:rPr>
        <w:t>2、议事程序</w:t>
      </w:r>
    </w:p>
    <w:p w14:paraId="3F1F7F7B">
      <w:pPr>
        <w:spacing w:line="360" w:lineRule="auto"/>
        <w:ind w:firstLine="480" w:firstLineChars="200"/>
        <w:rPr>
          <w:bCs/>
          <w:sz w:val="24"/>
        </w:rPr>
      </w:pPr>
      <w:r>
        <w:rPr>
          <w:bCs/>
          <w:sz w:val="24"/>
        </w:rPr>
        <w:t>（1）现场开会</w:t>
      </w:r>
    </w:p>
    <w:p w14:paraId="366A6D2C">
      <w:pPr>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2BEB0282">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71CC00AD">
      <w:pPr>
        <w:spacing w:line="360" w:lineRule="auto"/>
        <w:ind w:firstLine="480" w:firstLineChars="200"/>
        <w:rPr>
          <w:bCs/>
          <w:sz w:val="24"/>
        </w:rPr>
      </w:pPr>
      <w:r>
        <w:rPr>
          <w:bCs/>
          <w:sz w:val="24"/>
        </w:rPr>
        <w:t>（2）通讯开会</w:t>
      </w:r>
    </w:p>
    <w:p w14:paraId="3A42E9AE">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340B835D">
      <w:pPr>
        <w:spacing w:line="360" w:lineRule="auto"/>
        <w:ind w:firstLine="480" w:firstLineChars="200"/>
        <w:rPr>
          <w:bCs/>
          <w:sz w:val="24"/>
        </w:rPr>
      </w:pPr>
      <w:bookmarkStart w:id="228" w:name="_Toc57530248"/>
      <w:bookmarkStart w:id="229" w:name="_Toc79392589"/>
      <w:bookmarkStart w:id="230" w:name="_Toc15641225"/>
      <w:r>
        <w:rPr>
          <w:bCs/>
          <w:sz w:val="24"/>
        </w:rPr>
        <w:t>六、表决</w:t>
      </w:r>
      <w:bookmarkEnd w:id="228"/>
      <w:bookmarkEnd w:id="229"/>
      <w:bookmarkEnd w:id="230"/>
    </w:p>
    <w:p w14:paraId="38BB67BE">
      <w:pPr>
        <w:spacing w:line="360" w:lineRule="auto"/>
        <w:ind w:firstLine="480" w:firstLineChars="200"/>
        <w:rPr>
          <w:bCs/>
          <w:sz w:val="24"/>
        </w:rPr>
      </w:pPr>
      <w:r>
        <w:rPr>
          <w:bCs/>
          <w:sz w:val="24"/>
        </w:rPr>
        <w:t>基金份额持有人所持每份基金份额有一票表决权。</w:t>
      </w:r>
    </w:p>
    <w:p w14:paraId="0887BF84">
      <w:pPr>
        <w:spacing w:line="360" w:lineRule="auto"/>
        <w:ind w:firstLine="480" w:firstLineChars="200"/>
        <w:rPr>
          <w:bCs/>
          <w:sz w:val="24"/>
        </w:rPr>
      </w:pPr>
      <w:r>
        <w:rPr>
          <w:bCs/>
          <w:sz w:val="24"/>
        </w:rPr>
        <w:t>基金份额持有人大会决议分为一般决议和特别决议：</w:t>
      </w:r>
    </w:p>
    <w:p w14:paraId="5ACAD61C">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3284E1FD">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、本基金与其他基金合并（法律法规、中国证监会另有规定或《基金合同》另有约定的除外）以特别决议通</w:t>
      </w:r>
      <w:r>
        <w:rPr>
          <w:bCs/>
          <w:sz w:val="24"/>
        </w:rPr>
        <w:t>过方为有效。</w:t>
      </w:r>
    </w:p>
    <w:p w14:paraId="2EDE7D61">
      <w:pPr>
        <w:spacing w:line="360" w:lineRule="auto"/>
        <w:ind w:firstLine="480" w:firstLineChars="200"/>
        <w:rPr>
          <w:bCs/>
          <w:sz w:val="24"/>
        </w:rPr>
      </w:pPr>
      <w:r>
        <w:rPr>
          <w:bCs/>
          <w:sz w:val="24"/>
        </w:rPr>
        <w:t>基金份额持有人大会采取记名方式进行投票表决。</w:t>
      </w:r>
    </w:p>
    <w:p w14:paraId="287CBD3E">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5474C68B">
      <w:pPr>
        <w:spacing w:line="360" w:lineRule="auto"/>
        <w:ind w:firstLine="480" w:firstLineChars="200"/>
        <w:rPr>
          <w:bCs/>
          <w:sz w:val="24"/>
        </w:rPr>
      </w:pPr>
      <w:r>
        <w:rPr>
          <w:bCs/>
          <w:sz w:val="24"/>
        </w:rPr>
        <w:t>基金份额持有人大会的各项提案或同一项提案内并列的各项议题应当分开审议、逐项表决。</w:t>
      </w:r>
    </w:p>
    <w:p w14:paraId="1EF1A63A">
      <w:pPr>
        <w:spacing w:line="360" w:lineRule="auto"/>
        <w:ind w:firstLine="480" w:firstLineChars="200"/>
        <w:rPr>
          <w:bCs/>
          <w:sz w:val="24"/>
        </w:rPr>
      </w:pPr>
      <w:bookmarkStart w:id="231" w:name="_Toc15641226"/>
      <w:bookmarkStart w:id="232" w:name="_Toc79392590"/>
      <w:bookmarkStart w:id="233" w:name="_Toc57530249"/>
      <w:r>
        <w:rPr>
          <w:bCs/>
          <w:sz w:val="24"/>
        </w:rPr>
        <w:t>七、计票</w:t>
      </w:r>
      <w:bookmarkEnd w:id="231"/>
      <w:bookmarkEnd w:id="232"/>
      <w:bookmarkEnd w:id="233"/>
    </w:p>
    <w:p w14:paraId="3782CFD8">
      <w:pPr>
        <w:spacing w:line="360" w:lineRule="auto"/>
        <w:ind w:firstLine="480" w:firstLineChars="200"/>
        <w:rPr>
          <w:bCs/>
          <w:sz w:val="24"/>
        </w:rPr>
      </w:pPr>
      <w:r>
        <w:rPr>
          <w:bCs/>
          <w:sz w:val="24"/>
        </w:rPr>
        <w:t>1、现场开会</w:t>
      </w:r>
    </w:p>
    <w:p w14:paraId="306C63F7">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4943D40B">
      <w:pPr>
        <w:spacing w:line="360" w:lineRule="auto"/>
        <w:ind w:firstLine="480" w:firstLineChars="200"/>
        <w:rPr>
          <w:bCs/>
          <w:sz w:val="24"/>
        </w:rPr>
      </w:pPr>
      <w:r>
        <w:rPr>
          <w:bCs/>
          <w:sz w:val="24"/>
        </w:rPr>
        <w:t>（2）监票人应当在基金份额持有人表决后立即进行清点并由大会主持人当场公布计票结果。</w:t>
      </w:r>
    </w:p>
    <w:p w14:paraId="4A2A979E">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5F075845">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37D24108">
      <w:pPr>
        <w:spacing w:line="360" w:lineRule="auto"/>
        <w:ind w:firstLine="480" w:firstLineChars="200"/>
        <w:rPr>
          <w:bCs/>
          <w:sz w:val="24"/>
        </w:rPr>
      </w:pPr>
      <w:r>
        <w:rPr>
          <w:bCs/>
          <w:sz w:val="24"/>
        </w:rPr>
        <w:t>2、通讯开会</w:t>
      </w:r>
    </w:p>
    <w:p w14:paraId="1815B450">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4" w:name="_Toc57530250"/>
      <w:bookmarkStart w:id="235" w:name="_Toc15641227"/>
      <w:bookmarkStart w:id="236" w:name="_Toc79392591"/>
      <w:r>
        <w:rPr>
          <w:bCs/>
          <w:sz w:val="24"/>
        </w:rPr>
        <w:t>。基金管理人或基金托管人拒派代表对表决意见的计票进行监督的，不影响计票和表决结果。</w:t>
      </w:r>
    </w:p>
    <w:p w14:paraId="13B323D4">
      <w:pPr>
        <w:spacing w:line="360" w:lineRule="auto"/>
        <w:ind w:firstLine="480" w:firstLineChars="200"/>
        <w:rPr>
          <w:bCs/>
          <w:sz w:val="24"/>
        </w:rPr>
      </w:pPr>
      <w:r>
        <w:rPr>
          <w:bCs/>
          <w:sz w:val="24"/>
        </w:rPr>
        <w:t>八、生效与公告</w:t>
      </w:r>
      <w:bookmarkEnd w:id="234"/>
      <w:bookmarkEnd w:id="235"/>
      <w:bookmarkEnd w:id="236"/>
    </w:p>
    <w:p w14:paraId="5A72296C">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68ABF0EB">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w:t>
      </w:r>
      <w:bookmarkStart w:id="237" w:name="_Hlt88820702"/>
      <w:bookmarkEnd w:id="237"/>
      <w:r>
        <w:rPr>
          <w:bCs/>
          <w:sz w:val="24"/>
        </w:rPr>
        <w:t>如果采用通讯方式进行表决，在公告基金份额持有人大会决议时，必须将公证书全文、公证机构、公证员姓名等一同公告。</w:t>
      </w:r>
    </w:p>
    <w:p w14:paraId="27465BA9">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513738A3">
      <w:pPr>
        <w:spacing w:line="360" w:lineRule="auto"/>
        <w:ind w:firstLine="480" w:firstLineChars="200"/>
        <w:rPr>
          <w:bCs/>
          <w:sz w:val="24"/>
        </w:rPr>
      </w:pPr>
      <w:bookmarkStart w:id="238" w:name="OLE_LINK60"/>
      <w:bookmarkStart w:id="239" w:name="OLE_LINK61"/>
      <w:bookmarkStart w:id="240" w:name="_Toc3963"/>
      <w:bookmarkStart w:id="241" w:name="_Toc1745"/>
      <w:r>
        <w:rPr>
          <w:rFonts w:hint="eastAsia"/>
          <w:bCs/>
          <w:sz w:val="24"/>
        </w:rPr>
        <w:t>九、本部分对基金份额持有人大会召开事由、召开条件、议事程序、表决条件等规定，凡是直接引用法律法规的部分，如将来法律法规修改导致相关内容被取消或变更的，基金管理人经</w:t>
      </w:r>
      <w:r>
        <w:rPr>
          <w:bCs/>
          <w:sz w:val="24"/>
        </w:rPr>
        <w:t>与基金托管人协商一致并</w:t>
      </w:r>
      <w:r>
        <w:rPr>
          <w:rFonts w:hint="eastAsia"/>
          <w:bCs/>
          <w:sz w:val="24"/>
        </w:rPr>
        <w:t>提前公告后，可直接对本部分内容进行修改和调整，无需召开基金份额持有人大会审议。</w:t>
      </w:r>
    </w:p>
    <w:bookmarkEnd w:id="238"/>
    <w:bookmarkEnd w:id="239"/>
    <w:p w14:paraId="4E84A1AD">
      <w:pPr>
        <w:pStyle w:val="2"/>
        <w:jc w:val="center"/>
        <w:rPr>
          <w:rFonts w:ascii="Times New Roman"/>
          <w:color w:val="auto"/>
        </w:rPr>
      </w:pPr>
      <w:r>
        <w:rPr>
          <w:rFonts w:ascii="Times New Roman"/>
          <w:b w:val="0"/>
          <w:bCs/>
          <w:color w:val="auto"/>
        </w:rPr>
        <w:br w:type="page"/>
      </w:r>
      <w:bookmarkStart w:id="242" w:name="_Toc139991739"/>
      <w:bookmarkStart w:id="243" w:name="_Toc31821"/>
      <w:bookmarkStart w:id="244" w:name="_Toc123102456"/>
      <w:bookmarkStart w:id="245" w:name="_Toc16164"/>
      <w:bookmarkStart w:id="246" w:name="_Toc98560355"/>
      <w:bookmarkStart w:id="247" w:name="_Toc3080"/>
      <w:bookmarkStart w:id="248" w:name="_Toc3572"/>
      <w:bookmarkStart w:id="249" w:name="_Toc21735"/>
      <w:bookmarkStart w:id="250" w:name="_Toc10398"/>
      <w:bookmarkStart w:id="251" w:name="_Toc425241711"/>
      <w:bookmarkStart w:id="252" w:name="_Toc725"/>
      <w:bookmarkStart w:id="253" w:name="_Toc18206"/>
      <w:bookmarkStart w:id="254" w:name="_Toc123112237"/>
      <w:bookmarkStart w:id="255" w:name="_Toc123051455"/>
      <w:bookmarkStart w:id="256" w:name="_Toc141703889"/>
      <w:r>
        <w:rPr>
          <w:rFonts w:ascii="Times New Roman"/>
          <w:color w:val="auto"/>
          <w:sz w:val="30"/>
        </w:rPr>
        <w:t>第九部分基金管理人、基金托管人的更换条件和程序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513B493B">
      <w:pPr>
        <w:autoSpaceDE w:val="0"/>
        <w:autoSpaceDN w:val="0"/>
        <w:spacing w:line="360" w:lineRule="auto"/>
        <w:textAlignment w:val="bottom"/>
        <w:rPr>
          <w:bCs/>
          <w:sz w:val="24"/>
        </w:rPr>
      </w:pPr>
      <w:bookmarkStart w:id="257" w:name="_Toc57530252"/>
      <w:bookmarkStart w:id="258" w:name="_Toc79392593"/>
      <w:bookmarkStart w:id="259" w:name="_Toc15118245"/>
    </w:p>
    <w:p w14:paraId="6A753F09">
      <w:pPr>
        <w:spacing w:line="360" w:lineRule="auto"/>
        <w:ind w:firstLine="480" w:firstLineChars="200"/>
        <w:rPr>
          <w:bCs/>
          <w:sz w:val="24"/>
        </w:rPr>
      </w:pPr>
      <w:r>
        <w:rPr>
          <w:bCs/>
          <w:sz w:val="24"/>
        </w:rPr>
        <w:t>一、基金管理人和基金托管人职责终止的情形</w:t>
      </w:r>
      <w:bookmarkEnd w:id="257"/>
      <w:bookmarkEnd w:id="258"/>
      <w:bookmarkEnd w:id="259"/>
    </w:p>
    <w:p w14:paraId="2F003DF9">
      <w:pPr>
        <w:spacing w:line="360" w:lineRule="auto"/>
        <w:ind w:firstLine="480" w:firstLineChars="200"/>
        <w:rPr>
          <w:bCs/>
          <w:sz w:val="24"/>
        </w:rPr>
      </w:pPr>
      <w:bookmarkStart w:id="260" w:name="_Toc22005971"/>
      <w:r>
        <w:rPr>
          <w:bCs/>
          <w:sz w:val="24"/>
        </w:rPr>
        <w:t>（一）</w:t>
      </w:r>
      <w:r>
        <w:rPr>
          <w:bCs/>
          <w:sz w:val="24"/>
        </w:rPr>
        <w:tab/>
      </w:r>
      <w:r>
        <w:rPr>
          <w:bCs/>
          <w:sz w:val="24"/>
        </w:rPr>
        <w:t>基金管理人职责终止的情形</w:t>
      </w:r>
      <w:bookmarkEnd w:id="260"/>
    </w:p>
    <w:p w14:paraId="37563D0B">
      <w:pPr>
        <w:spacing w:line="360" w:lineRule="auto"/>
        <w:ind w:firstLine="480" w:firstLineChars="200"/>
        <w:rPr>
          <w:bCs/>
          <w:sz w:val="24"/>
        </w:rPr>
      </w:pPr>
      <w:r>
        <w:rPr>
          <w:bCs/>
          <w:sz w:val="24"/>
        </w:rPr>
        <w:t>有下列情形之一的，基金管理人职责终止：</w:t>
      </w:r>
    </w:p>
    <w:p w14:paraId="0270A2B2">
      <w:pPr>
        <w:spacing w:line="360" w:lineRule="auto"/>
        <w:ind w:firstLine="480" w:firstLineChars="200"/>
        <w:rPr>
          <w:bCs/>
          <w:sz w:val="24"/>
        </w:rPr>
      </w:pPr>
      <w:r>
        <w:rPr>
          <w:bCs/>
          <w:sz w:val="24"/>
        </w:rPr>
        <w:t>1、被依法取消基金管理资格；</w:t>
      </w:r>
    </w:p>
    <w:p w14:paraId="361E3605">
      <w:pPr>
        <w:spacing w:line="360" w:lineRule="auto"/>
        <w:ind w:firstLine="480" w:firstLineChars="200"/>
        <w:rPr>
          <w:bCs/>
          <w:sz w:val="24"/>
        </w:rPr>
      </w:pPr>
      <w:r>
        <w:rPr>
          <w:bCs/>
          <w:sz w:val="24"/>
        </w:rPr>
        <w:t>2、被基金份额持有人大会解任；</w:t>
      </w:r>
    </w:p>
    <w:p w14:paraId="400B2FDE">
      <w:pPr>
        <w:spacing w:line="360" w:lineRule="auto"/>
        <w:ind w:firstLine="480" w:firstLineChars="200"/>
        <w:rPr>
          <w:bCs/>
          <w:sz w:val="24"/>
        </w:rPr>
      </w:pPr>
      <w:r>
        <w:rPr>
          <w:bCs/>
          <w:sz w:val="24"/>
        </w:rPr>
        <w:t>3、依法解散、被依法撤销或被依法宣告破产；</w:t>
      </w:r>
    </w:p>
    <w:p w14:paraId="08381E29">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6BE9BB72">
      <w:pPr>
        <w:spacing w:line="360" w:lineRule="auto"/>
        <w:ind w:firstLine="480" w:firstLineChars="200"/>
        <w:rPr>
          <w:bCs/>
          <w:sz w:val="24"/>
        </w:rPr>
      </w:pPr>
      <w:bookmarkStart w:id="261" w:name="_Toc22005972"/>
      <w:r>
        <w:rPr>
          <w:bCs/>
          <w:sz w:val="24"/>
        </w:rPr>
        <w:t>（二）</w:t>
      </w:r>
      <w:r>
        <w:rPr>
          <w:bCs/>
          <w:sz w:val="24"/>
        </w:rPr>
        <w:tab/>
      </w:r>
      <w:r>
        <w:rPr>
          <w:bCs/>
          <w:sz w:val="24"/>
        </w:rPr>
        <w:t>基金托管人职责终止的情形</w:t>
      </w:r>
      <w:bookmarkEnd w:id="261"/>
    </w:p>
    <w:p w14:paraId="00C8F93B">
      <w:pPr>
        <w:spacing w:line="360" w:lineRule="auto"/>
        <w:ind w:firstLine="480" w:firstLineChars="200"/>
        <w:rPr>
          <w:bCs/>
          <w:sz w:val="24"/>
        </w:rPr>
      </w:pPr>
      <w:r>
        <w:rPr>
          <w:bCs/>
          <w:sz w:val="24"/>
        </w:rPr>
        <w:t>有下列情形之一的，基金托管人职责终止：</w:t>
      </w:r>
    </w:p>
    <w:p w14:paraId="390E06CE">
      <w:pPr>
        <w:spacing w:line="360" w:lineRule="auto"/>
        <w:ind w:firstLine="480" w:firstLineChars="200"/>
        <w:rPr>
          <w:bCs/>
          <w:sz w:val="24"/>
        </w:rPr>
      </w:pPr>
      <w:r>
        <w:rPr>
          <w:bCs/>
          <w:sz w:val="24"/>
        </w:rPr>
        <w:t>1、被依法取消基金托管资格；</w:t>
      </w:r>
    </w:p>
    <w:p w14:paraId="6A27D36B">
      <w:pPr>
        <w:spacing w:line="360" w:lineRule="auto"/>
        <w:ind w:firstLine="480" w:firstLineChars="200"/>
        <w:rPr>
          <w:bCs/>
          <w:sz w:val="24"/>
        </w:rPr>
      </w:pPr>
      <w:r>
        <w:rPr>
          <w:bCs/>
          <w:sz w:val="24"/>
        </w:rPr>
        <w:t>2、被基金份额持有人大会解任；</w:t>
      </w:r>
    </w:p>
    <w:p w14:paraId="14E69939">
      <w:pPr>
        <w:spacing w:line="360" w:lineRule="auto"/>
        <w:ind w:firstLine="480" w:firstLineChars="200"/>
        <w:rPr>
          <w:bCs/>
          <w:sz w:val="24"/>
        </w:rPr>
      </w:pPr>
      <w:r>
        <w:rPr>
          <w:bCs/>
          <w:sz w:val="24"/>
        </w:rPr>
        <w:t>3、依法解散、被依法撤销或被依法宣告破产；</w:t>
      </w:r>
    </w:p>
    <w:p w14:paraId="6D90E204">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6A3BAA23">
      <w:pPr>
        <w:spacing w:line="360" w:lineRule="auto"/>
        <w:ind w:firstLine="480" w:firstLineChars="200"/>
        <w:rPr>
          <w:bCs/>
          <w:sz w:val="24"/>
        </w:rPr>
      </w:pPr>
      <w:bookmarkStart w:id="262" w:name="_Toc57530253"/>
      <w:bookmarkStart w:id="263" w:name="_Toc15118246"/>
      <w:bookmarkStart w:id="264" w:name="_Toc79392594"/>
      <w:r>
        <w:rPr>
          <w:bCs/>
          <w:sz w:val="24"/>
        </w:rPr>
        <w:t>二、基金管理人和基金托管人的更换程序</w:t>
      </w:r>
      <w:bookmarkEnd w:id="262"/>
      <w:bookmarkEnd w:id="263"/>
      <w:bookmarkEnd w:id="264"/>
    </w:p>
    <w:p w14:paraId="0DFAF621">
      <w:pPr>
        <w:spacing w:line="360" w:lineRule="auto"/>
        <w:ind w:firstLine="480" w:firstLineChars="200"/>
        <w:rPr>
          <w:bCs/>
          <w:sz w:val="24"/>
        </w:rPr>
      </w:pPr>
      <w:bookmarkStart w:id="265" w:name="_Toc22005974"/>
      <w:r>
        <w:rPr>
          <w:bCs/>
          <w:sz w:val="24"/>
        </w:rPr>
        <w:t>（一）</w:t>
      </w:r>
      <w:r>
        <w:rPr>
          <w:bCs/>
          <w:sz w:val="24"/>
        </w:rPr>
        <w:tab/>
      </w:r>
      <w:r>
        <w:rPr>
          <w:bCs/>
          <w:sz w:val="24"/>
        </w:rPr>
        <w:t>基金管理人的更换程序</w:t>
      </w:r>
      <w:bookmarkEnd w:id="265"/>
    </w:p>
    <w:p w14:paraId="6FC11BAA">
      <w:pPr>
        <w:spacing w:line="360" w:lineRule="auto"/>
        <w:ind w:firstLine="480" w:firstLineChars="200"/>
        <w:rPr>
          <w:bCs/>
          <w:sz w:val="24"/>
        </w:rPr>
      </w:pPr>
      <w:r>
        <w:rPr>
          <w:bCs/>
          <w:sz w:val="24"/>
        </w:rPr>
        <w:t>1、提名：新任基金管理人由基金托管人或由单独或合计持有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5E4F3421">
      <w:pPr>
        <w:spacing w:line="360" w:lineRule="auto"/>
        <w:ind w:firstLine="480" w:firstLineChars="200"/>
        <w:rPr>
          <w:bCs/>
          <w:sz w:val="24"/>
        </w:rPr>
      </w:pPr>
      <w:r>
        <w:rPr>
          <w:bCs/>
          <w:sz w:val="24"/>
        </w:rPr>
        <w:t>2、决议：基金份额持有人大会在基金管理人职责终止后</w:t>
      </w:r>
      <w:r>
        <w:rPr>
          <w:rFonts w:hint="eastAsia"/>
          <w:bCs/>
          <w:sz w:val="24"/>
        </w:rPr>
        <w:t>6</w:t>
      </w:r>
      <w:r>
        <w:rPr>
          <w:bCs/>
          <w:sz w:val="24"/>
        </w:rPr>
        <w:t>个月内对被提名的</w:t>
      </w:r>
      <w:r>
        <w:rPr>
          <w:rFonts w:hint="eastAsia"/>
          <w:bCs/>
          <w:sz w:val="24"/>
        </w:rPr>
        <w:t>新任</w:t>
      </w:r>
      <w:r>
        <w:rPr>
          <w:bCs/>
          <w:sz w:val="24"/>
        </w:rPr>
        <w:t>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，新任基金管理人应当符合法律法规及中国证监会规定的资格条件</w:t>
      </w:r>
      <w:r>
        <w:rPr>
          <w:bCs/>
          <w:sz w:val="24"/>
        </w:rPr>
        <w:t>；</w:t>
      </w:r>
    </w:p>
    <w:p w14:paraId="1F8FBB12">
      <w:pPr>
        <w:spacing w:line="360" w:lineRule="auto"/>
        <w:ind w:firstLine="480" w:firstLineChars="200"/>
        <w:rPr>
          <w:bCs/>
          <w:sz w:val="24"/>
        </w:rPr>
      </w:pPr>
      <w:r>
        <w:rPr>
          <w:bCs/>
          <w:sz w:val="24"/>
        </w:rPr>
        <w:t>3、临时基金管理人：新任基金管理人产生之前，由中国证监会指定临时基金管理人；</w:t>
      </w:r>
    </w:p>
    <w:p w14:paraId="68085649">
      <w:pPr>
        <w:spacing w:line="360" w:lineRule="auto"/>
        <w:ind w:firstLine="480" w:firstLineChars="200"/>
        <w:rPr>
          <w:bCs/>
          <w:sz w:val="24"/>
        </w:rPr>
      </w:pPr>
      <w:r>
        <w:rPr>
          <w:bCs/>
          <w:sz w:val="24"/>
        </w:rPr>
        <w:t>4、</w:t>
      </w:r>
      <w:r>
        <w:rPr>
          <w:rFonts w:hint="eastAsia"/>
          <w:bCs/>
          <w:sz w:val="24"/>
        </w:rPr>
        <w:t>备案</w:t>
      </w:r>
      <w:r>
        <w:rPr>
          <w:bCs/>
          <w:sz w:val="24"/>
        </w:rPr>
        <w:t>：基金份额持有人大会</w:t>
      </w:r>
      <w:r>
        <w:rPr>
          <w:rFonts w:hint="eastAsia"/>
          <w:bCs/>
          <w:sz w:val="24"/>
        </w:rPr>
        <w:t>更换</w:t>
      </w:r>
      <w:r>
        <w:rPr>
          <w:bCs/>
          <w:sz w:val="24"/>
        </w:rPr>
        <w:t>基金管理人的决议须</w:t>
      </w:r>
      <w:r>
        <w:rPr>
          <w:rFonts w:hint="eastAsia"/>
          <w:bCs/>
          <w:sz w:val="24"/>
        </w:rPr>
        <w:t>报</w:t>
      </w:r>
      <w:r>
        <w:rPr>
          <w:bCs/>
          <w:sz w:val="24"/>
        </w:rPr>
        <w:t>中国证监会</w:t>
      </w:r>
      <w:r>
        <w:rPr>
          <w:rFonts w:hint="eastAsia"/>
          <w:bCs/>
          <w:sz w:val="24"/>
        </w:rPr>
        <w:t>备案</w:t>
      </w:r>
      <w:r>
        <w:rPr>
          <w:bCs/>
          <w:sz w:val="24"/>
        </w:rPr>
        <w:t>；</w:t>
      </w:r>
    </w:p>
    <w:p w14:paraId="22E329EE">
      <w:pPr>
        <w:spacing w:line="360" w:lineRule="auto"/>
        <w:ind w:firstLine="480" w:firstLineChars="200"/>
        <w:rPr>
          <w:bCs/>
          <w:sz w:val="24"/>
        </w:rPr>
      </w:pPr>
      <w:r>
        <w:rPr>
          <w:bCs/>
          <w:sz w:val="24"/>
        </w:rPr>
        <w:t>5、公告：基金管理人更换后，由基金托管人在</w:t>
      </w:r>
      <w:r>
        <w:rPr>
          <w:rFonts w:hint="eastAsia"/>
          <w:bCs/>
          <w:sz w:val="24"/>
        </w:rPr>
        <w:t>更换基金管理人的基金份额持有人大会决议生效</w:t>
      </w:r>
      <w:r>
        <w:rPr>
          <w:bCs/>
          <w:sz w:val="24"/>
        </w:rPr>
        <w:t>后2日内在</w:t>
      </w:r>
      <w:r>
        <w:rPr>
          <w:rFonts w:hint="eastAsia"/>
          <w:bCs/>
          <w:sz w:val="24"/>
        </w:rPr>
        <w:t>指定媒介</w:t>
      </w:r>
      <w:r>
        <w:rPr>
          <w:bCs/>
          <w:sz w:val="24"/>
        </w:rPr>
        <w:t>公告</w:t>
      </w:r>
      <w:r>
        <w:rPr>
          <w:rFonts w:hint="eastAsia"/>
          <w:bCs/>
          <w:sz w:val="24"/>
        </w:rPr>
        <w:t>；</w:t>
      </w:r>
    </w:p>
    <w:p w14:paraId="7FCC4927">
      <w:pPr>
        <w:spacing w:line="360" w:lineRule="auto"/>
        <w:ind w:firstLine="480" w:firstLineChars="200"/>
        <w:rPr>
          <w:bCs/>
          <w:sz w:val="24"/>
        </w:rPr>
      </w:pPr>
      <w:r>
        <w:rPr>
          <w:bCs/>
          <w:sz w:val="24"/>
        </w:rPr>
        <w:t>6、交接：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bCs/>
          <w:sz w:val="24"/>
        </w:rPr>
        <w:t>或者</w:t>
      </w:r>
      <w:r>
        <w:rPr>
          <w:bCs/>
          <w:sz w:val="24"/>
        </w:rPr>
        <w:t>临时基金管理人应与基金托管人核对基金资产总</w:t>
      </w:r>
      <w:r>
        <w:rPr>
          <w:rFonts w:hint="eastAsia"/>
          <w:bCs/>
          <w:sz w:val="24"/>
        </w:rPr>
        <w:t>值；</w:t>
      </w:r>
    </w:p>
    <w:p w14:paraId="5B1F5820">
      <w:pPr>
        <w:spacing w:line="360" w:lineRule="auto"/>
        <w:ind w:firstLine="480" w:firstLineChars="200"/>
        <w:rPr>
          <w:bCs/>
          <w:sz w:val="24"/>
        </w:rPr>
      </w:pPr>
      <w:r>
        <w:rPr>
          <w:bCs/>
          <w:sz w:val="24"/>
        </w:rPr>
        <w:t>7、审计：基金管理人职责终止的，应当按照法律法规规定聘请会计师事务所对基金财产进行审计，并将审计结果予以公告，同时报中国证监会备案</w:t>
      </w:r>
      <w:r>
        <w:rPr>
          <w:rFonts w:hint="eastAsia"/>
          <w:bCs/>
          <w:sz w:val="24"/>
        </w:rPr>
        <w:t>，审计费用在基金财产中列支</w:t>
      </w:r>
      <w:r>
        <w:rPr>
          <w:bCs/>
          <w:sz w:val="24"/>
        </w:rPr>
        <w:t>；</w:t>
      </w:r>
    </w:p>
    <w:p w14:paraId="5C84A04F">
      <w:pPr>
        <w:spacing w:line="360" w:lineRule="auto"/>
        <w:ind w:firstLine="480" w:firstLineChars="200"/>
        <w:rPr>
          <w:bCs/>
          <w:sz w:val="24"/>
        </w:rPr>
      </w:pPr>
      <w:r>
        <w:rPr>
          <w:bCs/>
          <w:sz w:val="24"/>
        </w:rPr>
        <w:t>8、基金名称变更：基金管理人更换后，如果原任或新任基金管理人要求，应按其要求替换或删除基金名称中与原基金管理人有关的名称字样。</w:t>
      </w:r>
    </w:p>
    <w:p w14:paraId="6706EAFC">
      <w:pPr>
        <w:spacing w:line="360" w:lineRule="auto"/>
        <w:ind w:firstLine="480" w:firstLineChars="200"/>
        <w:rPr>
          <w:bCs/>
          <w:sz w:val="24"/>
        </w:rPr>
      </w:pPr>
      <w:bookmarkStart w:id="266" w:name="_Toc22005975"/>
      <w:r>
        <w:rPr>
          <w:bCs/>
          <w:sz w:val="24"/>
        </w:rPr>
        <w:t>（二）</w:t>
      </w:r>
      <w:r>
        <w:rPr>
          <w:bCs/>
          <w:sz w:val="24"/>
        </w:rPr>
        <w:tab/>
      </w:r>
      <w:r>
        <w:rPr>
          <w:bCs/>
          <w:sz w:val="24"/>
        </w:rPr>
        <w:t>基金托管人的更换程序</w:t>
      </w:r>
      <w:bookmarkEnd w:id="266"/>
    </w:p>
    <w:p w14:paraId="0F71C228">
      <w:pPr>
        <w:spacing w:line="360" w:lineRule="auto"/>
        <w:ind w:firstLine="480" w:firstLineChars="200"/>
        <w:rPr>
          <w:bCs/>
          <w:sz w:val="24"/>
        </w:rPr>
      </w:pPr>
      <w:r>
        <w:rPr>
          <w:bCs/>
          <w:sz w:val="24"/>
        </w:rPr>
        <w:t>1、提名：新任基金托管人由基金管理人或由单独或合计持有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1A322EA2">
      <w:pPr>
        <w:spacing w:line="360" w:lineRule="auto"/>
        <w:ind w:firstLine="480" w:firstLineChars="200"/>
        <w:rPr>
          <w:bCs/>
          <w:sz w:val="24"/>
        </w:rPr>
      </w:pPr>
      <w:r>
        <w:rPr>
          <w:bCs/>
          <w:sz w:val="24"/>
        </w:rPr>
        <w:t>2、决议：基金份额持有人大会在基金托管人职责终止后</w:t>
      </w:r>
      <w:r>
        <w:rPr>
          <w:rFonts w:hint="eastAsia"/>
          <w:bCs/>
          <w:sz w:val="24"/>
        </w:rPr>
        <w:t>6</w:t>
      </w:r>
      <w:r>
        <w:rPr>
          <w:bCs/>
          <w:sz w:val="24"/>
        </w:rPr>
        <w:t>个月内对被提名的</w:t>
      </w:r>
      <w:r>
        <w:rPr>
          <w:rFonts w:hint="eastAsia"/>
          <w:bCs/>
          <w:sz w:val="24"/>
        </w:rPr>
        <w:t>新任</w:t>
      </w:r>
      <w:r>
        <w:rPr>
          <w:bCs/>
          <w:sz w:val="24"/>
        </w:rPr>
        <w:t>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，新任基金托管人应当符合法律法规及中国证监会规定的资格条件</w:t>
      </w:r>
      <w:r>
        <w:rPr>
          <w:bCs/>
          <w:sz w:val="24"/>
        </w:rPr>
        <w:t>；</w:t>
      </w:r>
    </w:p>
    <w:p w14:paraId="1233B5E0">
      <w:pPr>
        <w:spacing w:line="360" w:lineRule="auto"/>
        <w:ind w:firstLine="480" w:firstLineChars="200"/>
        <w:rPr>
          <w:bCs/>
          <w:sz w:val="24"/>
        </w:rPr>
      </w:pPr>
      <w:r>
        <w:rPr>
          <w:bCs/>
          <w:sz w:val="24"/>
        </w:rPr>
        <w:t>3、临时基金托管人：新任基金托管人产生之前，由中国证监会指定临时基金托管人；</w:t>
      </w:r>
    </w:p>
    <w:p w14:paraId="64D50E9E">
      <w:pPr>
        <w:spacing w:line="360" w:lineRule="auto"/>
        <w:ind w:firstLine="480" w:firstLineChars="200"/>
        <w:rPr>
          <w:bCs/>
          <w:sz w:val="24"/>
        </w:rPr>
      </w:pPr>
      <w:r>
        <w:rPr>
          <w:bCs/>
          <w:sz w:val="24"/>
        </w:rPr>
        <w:t>4、</w:t>
      </w:r>
      <w:r>
        <w:rPr>
          <w:rFonts w:hint="eastAsia"/>
          <w:bCs/>
          <w:sz w:val="24"/>
        </w:rPr>
        <w:t>备案</w:t>
      </w:r>
      <w:r>
        <w:rPr>
          <w:bCs/>
          <w:sz w:val="24"/>
        </w:rPr>
        <w:t>：基金份额持有人大会更换基金托管人的决议须</w:t>
      </w:r>
      <w:r>
        <w:rPr>
          <w:rFonts w:hint="eastAsia"/>
          <w:bCs/>
          <w:sz w:val="24"/>
        </w:rPr>
        <w:t>报</w:t>
      </w:r>
      <w:r>
        <w:rPr>
          <w:bCs/>
          <w:sz w:val="24"/>
        </w:rPr>
        <w:t>中国证监会</w:t>
      </w:r>
      <w:r>
        <w:rPr>
          <w:rFonts w:hint="eastAsia"/>
          <w:bCs/>
          <w:sz w:val="24"/>
        </w:rPr>
        <w:t>备案</w:t>
      </w:r>
      <w:r>
        <w:rPr>
          <w:bCs/>
          <w:sz w:val="24"/>
        </w:rPr>
        <w:t>；</w:t>
      </w:r>
    </w:p>
    <w:p w14:paraId="5C9E9EBC">
      <w:pPr>
        <w:spacing w:line="360" w:lineRule="auto"/>
        <w:ind w:firstLine="480" w:firstLineChars="200"/>
        <w:rPr>
          <w:bCs/>
          <w:sz w:val="24"/>
        </w:rPr>
      </w:pPr>
      <w:r>
        <w:rPr>
          <w:bCs/>
          <w:sz w:val="24"/>
        </w:rPr>
        <w:t>5、公告：基金托管人更换后，由基金管理人在</w:t>
      </w:r>
      <w:r>
        <w:rPr>
          <w:rFonts w:hint="eastAsia" w:ascii="宋体" w:hAnsi="宋体"/>
          <w:sz w:val="24"/>
          <w:szCs w:val="24"/>
        </w:rPr>
        <w:t>更换基金托管人的基金份额持有人大会决议生效</w:t>
      </w:r>
      <w:r>
        <w:rPr>
          <w:bCs/>
          <w:sz w:val="24"/>
        </w:rPr>
        <w:t>后</w:t>
      </w:r>
      <w:r>
        <w:rPr>
          <w:rFonts w:hint="eastAsia"/>
          <w:bCs/>
          <w:sz w:val="24"/>
        </w:rPr>
        <w:t>2</w:t>
      </w:r>
      <w:r>
        <w:rPr>
          <w:bCs/>
          <w:sz w:val="24"/>
        </w:rPr>
        <w:t>日内在</w:t>
      </w:r>
      <w:r>
        <w:rPr>
          <w:rFonts w:hint="eastAsia"/>
          <w:bCs/>
          <w:sz w:val="24"/>
        </w:rPr>
        <w:t>指定媒介</w:t>
      </w:r>
      <w:r>
        <w:rPr>
          <w:bCs/>
          <w:sz w:val="24"/>
        </w:rPr>
        <w:t>公告</w:t>
      </w:r>
      <w:r>
        <w:rPr>
          <w:rFonts w:hint="eastAsia"/>
          <w:bCs/>
          <w:sz w:val="24"/>
        </w:rPr>
        <w:t>；</w:t>
      </w:r>
    </w:p>
    <w:p w14:paraId="4C3C7C3F">
      <w:pPr>
        <w:spacing w:line="360" w:lineRule="auto"/>
        <w:ind w:firstLine="480" w:firstLineChars="20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新任基金托管人或者临时基金托管人与基金管理人核对基金资产总</w:t>
      </w:r>
      <w:r>
        <w:rPr>
          <w:rFonts w:hint="eastAsia"/>
          <w:bCs/>
          <w:sz w:val="24"/>
        </w:rPr>
        <w:t>值；</w:t>
      </w:r>
    </w:p>
    <w:p w14:paraId="47775095">
      <w:pPr>
        <w:spacing w:line="360" w:lineRule="auto"/>
        <w:ind w:firstLine="480" w:firstLineChars="200"/>
        <w:rPr>
          <w:bCs/>
          <w:sz w:val="24"/>
        </w:rPr>
      </w:pPr>
      <w:r>
        <w:rPr>
          <w:bCs/>
          <w:sz w:val="24"/>
        </w:rPr>
        <w:t>7、审计：基金托管人职责终止的，应当按照法律法规规定聘请会计师事务所对基金财产进行审计，并将审计结果予以公告，同时报中国证监会备案</w:t>
      </w:r>
      <w:r>
        <w:rPr>
          <w:rFonts w:hint="eastAsia"/>
          <w:bCs/>
          <w:sz w:val="24"/>
        </w:rPr>
        <w:t>，审计费用从基金财产中列支</w:t>
      </w:r>
      <w:r>
        <w:rPr>
          <w:bCs/>
          <w:sz w:val="24"/>
        </w:rPr>
        <w:t>。</w:t>
      </w:r>
    </w:p>
    <w:p w14:paraId="475B39D9">
      <w:pPr>
        <w:spacing w:line="360" w:lineRule="auto"/>
        <w:ind w:firstLine="480" w:firstLineChars="200"/>
        <w:rPr>
          <w:bCs/>
          <w:sz w:val="24"/>
        </w:rPr>
      </w:pPr>
      <w:bookmarkStart w:id="267" w:name="_Toc1357"/>
      <w:r>
        <w:rPr>
          <w:bCs/>
          <w:sz w:val="24"/>
        </w:rPr>
        <w:t>（三）基金管理人与基金托管人同时更换的条件和程序</w:t>
      </w:r>
      <w:bookmarkEnd w:id="267"/>
    </w:p>
    <w:p w14:paraId="11C70BE2">
      <w:pPr>
        <w:spacing w:line="360" w:lineRule="auto"/>
        <w:ind w:firstLine="480" w:firstLineChars="20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1C1F8C9C">
      <w:pPr>
        <w:spacing w:line="360" w:lineRule="auto"/>
        <w:ind w:firstLine="480" w:firstLineChars="200"/>
        <w:rPr>
          <w:bCs/>
          <w:sz w:val="24"/>
        </w:rPr>
      </w:pPr>
      <w:r>
        <w:rPr>
          <w:bCs/>
          <w:sz w:val="24"/>
        </w:rPr>
        <w:t>2</w:t>
      </w:r>
      <w:r>
        <w:rPr>
          <w:rFonts w:hint="eastAsia"/>
          <w:bCs/>
          <w:sz w:val="24"/>
        </w:rPr>
        <w:t>、</w:t>
      </w:r>
      <w:r>
        <w:rPr>
          <w:bCs/>
          <w:sz w:val="24"/>
        </w:rPr>
        <w:t>基金管理人和基金托管人的更换分别按上述程序进行；</w:t>
      </w:r>
    </w:p>
    <w:p w14:paraId="0161F64C">
      <w:pPr>
        <w:spacing w:line="360" w:lineRule="auto"/>
        <w:ind w:firstLine="480" w:firstLineChars="20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后2日内在指定媒介上联合公告。</w:t>
      </w:r>
    </w:p>
    <w:p w14:paraId="263268E0">
      <w:pPr>
        <w:spacing w:line="360" w:lineRule="auto"/>
        <w:ind w:firstLine="480" w:firstLineChars="200"/>
        <w:rPr>
          <w:bCs/>
          <w:sz w:val="24"/>
        </w:rPr>
      </w:pPr>
      <w:r>
        <w:rPr>
          <w:rFonts w:hint="eastAsia"/>
          <w:bCs/>
          <w:sz w:val="24"/>
        </w:rPr>
        <w:t>（四）新基金管理人或临时基金管理人接受基金管理业务或新基金托管人或临时基金托管人接受基金财产和基金托管业务前，原基金管理人或基金托管人应继续履行相关职责，并保证不作出对基金份额持有人的利益造成损害的行为。原基金管理人或基金托管人在继续履行相关职责期间，仍有权按照本基金合同的约定收取基金管理费或基金托管费。</w:t>
      </w:r>
    </w:p>
    <w:p w14:paraId="76EE13BE">
      <w:pPr>
        <w:pStyle w:val="2"/>
        <w:spacing w:before="0" w:after="0"/>
        <w:jc w:val="center"/>
        <w:rPr>
          <w:rFonts w:ascii="Times New Roman"/>
          <w:color w:val="auto"/>
          <w:sz w:val="30"/>
        </w:rPr>
      </w:pPr>
      <w:r>
        <w:rPr>
          <w:rFonts w:ascii="Times New Roman"/>
          <w:b w:val="0"/>
          <w:bCs/>
          <w:color w:val="auto"/>
          <w:kern w:val="2"/>
        </w:rPr>
        <w:br w:type="page"/>
      </w:r>
      <w:bookmarkStart w:id="268" w:name="_Toc139991740"/>
      <w:bookmarkStart w:id="269" w:name="_Toc29408"/>
      <w:bookmarkStart w:id="270" w:name="_Toc425241712"/>
      <w:bookmarkStart w:id="271" w:name="_Toc5170"/>
      <w:bookmarkStart w:id="272" w:name="_Toc123112238"/>
      <w:bookmarkStart w:id="273" w:name="_Toc8791"/>
      <w:bookmarkStart w:id="274" w:name="_Toc21237"/>
      <w:bookmarkStart w:id="275" w:name="_Toc17198"/>
      <w:bookmarkStart w:id="276" w:name="_Toc141703890"/>
      <w:bookmarkStart w:id="277" w:name="_Toc48649708"/>
      <w:bookmarkStart w:id="278" w:name="_Toc32092"/>
      <w:bookmarkStart w:id="279" w:name="_Toc123051456"/>
      <w:bookmarkStart w:id="280" w:name="_Toc17920"/>
      <w:bookmarkStart w:id="281" w:name="_Toc123102457"/>
      <w:bookmarkStart w:id="282" w:name="_Toc79392622"/>
      <w:bookmarkStart w:id="283" w:name="_Toc32584"/>
      <w:bookmarkStart w:id="284" w:name="_Toc739"/>
      <w:bookmarkStart w:id="285" w:name="_Toc98560356"/>
      <w:bookmarkStart w:id="286" w:name="_Toc3329"/>
      <w:r>
        <w:rPr>
          <w:rFonts w:ascii="Times New Roman"/>
          <w:color w:val="auto"/>
          <w:sz w:val="30"/>
        </w:rPr>
        <w:t>第十部分基金的托管</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26785879">
      <w:pPr>
        <w:autoSpaceDE w:val="0"/>
        <w:autoSpaceDN w:val="0"/>
        <w:spacing w:line="360" w:lineRule="auto"/>
        <w:textAlignment w:val="bottom"/>
        <w:rPr>
          <w:bCs/>
          <w:sz w:val="24"/>
        </w:rPr>
      </w:pPr>
    </w:p>
    <w:p w14:paraId="71E6E02A">
      <w:pPr>
        <w:spacing w:line="360" w:lineRule="auto"/>
        <w:ind w:firstLine="480" w:firstLineChars="200"/>
        <w:rPr>
          <w:bCs/>
          <w:sz w:val="24"/>
        </w:rPr>
      </w:pPr>
      <w:r>
        <w:rPr>
          <w:bCs/>
          <w:sz w:val="24"/>
        </w:rPr>
        <w:t>基金托管人和基金管理人按照《基金法》、《基金合同》及其他有关规定订立托管协议。</w:t>
      </w:r>
    </w:p>
    <w:p w14:paraId="41328CAA">
      <w:pPr>
        <w:autoSpaceDE w:val="0"/>
        <w:autoSpaceDN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4B4B34B1">
      <w:pPr>
        <w:pStyle w:val="2"/>
        <w:spacing w:before="0" w:after="0"/>
        <w:jc w:val="center"/>
        <w:rPr>
          <w:rFonts w:ascii="Times New Roman"/>
          <w:color w:val="auto"/>
          <w:sz w:val="30"/>
        </w:rPr>
      </w:pPr>
      <w:r>
        <w:rPr>
          <w:rFonts w:ascii="Times New Roman"/>
          <w:b w:val="0"/>
          <w:bCs/>
          <w:color w:val="auto"/>
        </w:rPr>
        <w:br w:type="page"/>
      </w:r>
      <w:bookmarkStart w:id="287" w:name="_Toc123112239"/>
      <w:bookmarkStart w:id="288" w:name="_Toc123051457"/>
      <w:bookmarkStart w:id="289" w:name="_Toc14725"/>
      <w:bookmarkStart w:id="290" w:name="_Toc141703891"/>
      <w:bookmarkStart w:id="291" w:name="_Toc19520"/>
      <w:bookmarkStart w:id="292" w:name="_Toc2255"/>
      <w:bookmarkStart w:id="293" w:name="_Toc98560357"/>
      <w:bookmarkStart w:id="294" w:name="_Toc22674"/>
      <w:bookmarkStart w:id="295" w:name="_Toc48649710"/>
      <w:bookmarkStart w:id="296" w:name="_Toc3244"/>
      <w:bookmarkStart w:id="297" w:name="_Toc16789"/>
      <w:bookmarkStart w:id="298" w:name="_Toc123102458"/>
      <w:bookmarkStart w:id="299" w:name="_Toc79392624"/>
      <w:bookmarkStart w:id="300" w:name="_Toc26383"/>
      <w:bookmarkStart w:id="301" w:name="_Toc26152"/>
      <w:bookmarkStart w:id="302" w:name="_Toc21886"/>
      <w:bookmarkStart w:id="303" w:name="_Toc26084"/>
      <w:bookmarkStart w:id="304" w:name="_Toc425241713"/>
      <w:bookmarkStart w:id="305" w:name="_Toc139991741"/>
      <w:r>
        <w:rPr>
          <w:rFonts w:ascii="Times New Roman"/>
          <w:color w:val="auto"/>
          <w:sz w:val="30"/>
        </w:rPr>
        <w:t>第十一部分基金份额的登记</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1F314976">
      <w:pPr>
        <w:autoSpaceDE w:val="0"/>
        <w:autoSpaceDN w:val="0"/>
        <w:spacing w:line="360" w:lineRule="auto"/>
        <w:textAlignment w:val="bottom"/>
        <w:rPr>
          <w:bCs/>
          <w:sz w:val="24"/>
        </w:rPr>
      </w:pPr>
    </w:p>
    <w:p w14:paraId="40DC0191">
      <w:pPr>
        <w:spacing w:line="360" w:lineRule="auto"/>
        <w:ind w:firstLine="480" w:firstLineChars="200"/>
        <w:rPr>
          <w:bCs/>
          <w:sz w:val="24"/>
        </w:rPr>
      </w:pPr>
      <w:bookmarkStart w:id="306" w:name="OLE_LINK64"/>
      <w:bookmarkStart w:id="307" w:name="OLE_LINK65"/>
      <w:r>
        <w:rPr>
          <w:bCs/>
          <w:sz w:val="24"/>
        </w:rPr>
        <w:t>一、基金份额</w:t>
      </w:r>
      <w:r>
        <w:rPr>
          <w:rFonts w:hint="eastAsia"/>
          <w:bCs/>
          <w:sz w:val="24"/>
        </w:rPr>
        <w:t>的</w:t>
      </w:r>
      <w:r>
        <w:rPr>
          <w:bCs/>
          <w:sz w:val="24"/>
        </w:rPr>
        <w:t>登记业务</w:t>
      </w:r>
    </w:p>
    <w:p w14:paraId="5334FF60">
      <w:pPr>
        <w:spacing w:line="360" w:lineRule="auto"/>
        <w:ind w:firstLine="480" w:firstLineChars="20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3335EEB3">
      <w:pPr>
        <w:spacing w:line="360" w:lineRule="auto"/>
        <w:ind w:firstLine="480" w:firstLineChars="200"/>
        <w:rPr>
          <w:bCs/>
          <w:sz w:val="24"/>
        </w:rPr>
      </w:pPr>
      <w:r>
        <w:rPr>
          <w:bCs/>
          <w:sz w:val="24"/>
        </w:rPr>
        <w:t>二、基金登记业务办理机构</w:t>
      </w:r>
    </w:p>
    <w:p w14:paraId="3713274A">
      <w:pPr>
        <w:spacing w:line="360" w:lineRule="auto"/>
        <w:ind w:firstLine="480" w:firstLineChars="20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 w:val="24"/>
        </w:rPr>
        <w:t>和办理非交易过户</w:t>
      </w:r>
      <w:r>
        <w:rPr>
          <w:bCs/>
          <w:sz w:val="24"/>
        </w:rPr>
        <w:t>等事宜中的权利和义务，保护基金份额持有人的合法权益。</w:t>
      </w:r>
    </w:p>
    <w:bookmarkEnd w:id="306"/>
    <w:bookmarkEnd w:id="307"/>
    <w:p w14:paraId="74D708B0">
      <w:pPr>
        <w:spacing w:line="360" w:lineRule="auto"/>
        <w:ind w:firstLine="480" w:firstLineChars="200"/>
        <w:rPr>
          <w:bCs/>
          <w:sz w:val="24"/>
        </w:rPr>
      </w:pPr>
      <w:r>
        <w:rPr>
          <w:bCs/>
          <w:sz w:val="24"/>
        </w:rPr>
        <w:t>三、基金登记机构的权利</w:t>
      </w:r>
      <w:bookmarkStart w:id="308" w:name="_Hlt88820748"/>
      <w:bookmarkEnd w:id="308"/>
    </w:p>
    <w:p w14:paraId="78753AB9">
      <w:pPr>
        <w:spacing w:line="360" w:lineRule="auto"/>
        <w:ind w:firstLine="480" w:firstLineChars="200"/>
        <w:rPr>
          <w:bCs/>
          <w:sz w:val="24"/>
        </w:rPr>
      </w:pPr>
      <w:r>
        <w:rPr>
          <w:bCs/>
          <w:sz w:val="24"/>
        </w:rPr>
        <w:t>基金登记机构享有以下权利：</w:t>
      </w:r>
    </w:p>
    <w:p w14:paraId="445AD5E6">
      <w:pPr>
        <w:spacing w:line="360" w:lineRule="auto"/>
        <w:ind w:firstLine="480" w:firstLineChars="200"/>
        <w:rPr>
          <w:bCs/>
          <w:sz w:val="24"/>
        </w:rPr>
      </w:pPr>
      <w:r>
        <w:rPr>
          <w:bCs/>
          <w:sz w:val="24"/>
        </w:rPr>
        <w:t>1、取得登记费；</w:t>
      </w:r>
    </w:p>
    <w:p w14:paraId="6BCCBAC9">
      <w:pPr>
        <w:spacing w:line="360" w:lineRule="auto"/>
        <w:ind w:firstLine="480" w:firstLineChars="200"/>
        <w:rPr>
          <w:bCs/>
          <w:sz w:val="24"/>
        </w:rPr>
      </w:pPr>
      <w:r>
        <w:rPr>
          <w:bCs/>
          <w:sz w:val="24"/>
        </w:rPr>
        <w:t>2、建立和管理投资者基金账户；</w:t>
      </w:r>
    </w:p>
    <w:p w14:paraId="28268FE1">
      <w:pPr>
        <w:spacing w:line="360" w:lineRule="auto"/>
        <w:ind w:firstLine="480" w:firstLineChars="200"/>
        <w:rPr>
          <w:bCs/>
          <w:sz w:val="24"/>
        </w:rPr>
      </w:pPr>
      <w:r>
        <w:rPr>
          <w:bCs/>
          <w:sz w:val="24"/>
        </w:rPr>
        <w:t>3、保管基金份额持有人开户资料、交易资料、基金份额持有人名册等；</w:t>
      </w:r>
    </w:p>
    <w:p w14:paraId="6A6A8314">
      <w:pPr>
        <w:spacing w:line="360" w:lineRule="auto"/>
        <w:ind w:firstLine="480" w:firstLineChars="200"/>
        <w:rPr>
          <w:bCs/>
          <w:sz w:val="24"/>
        </w:rPr>
      </w:pPr>
      <w:r>
        <w:rPr>
          <w:bCs/>
          <w:sz w:val="24"/>
        </w:rPr>
        <w:t>4、在法律法规允许的范围内，对登记业务的办理时间</w:t>
      </w:r>
      <w:r>
        <w:rPr>
          <w:rFonts w:hint="eastAsia"/>
          <w:bCs/>
          <w:sz w:val="24"/>
        </w:rPr>
        <w:t>和相关业务规则</w:t>
      </w:r>
      <w:r>
        <w:rPr>
          <w:bCs/>
          <w:sz w:val="24"/>
        </w:rPr>
        <w:t>进行调整，并依照有关规定于开始实施前在指定媒介上公告；</w:t>
      </w:r>
    </w:p>
    <w:p w14:paraId="13337607">
      <w:pPr>
        <w:spacing w:line="360" w:lineRule="auto"/>
        <w:ind w:firstLine="480" w:firstLineChars="200"/>
        <w:rPr>
          <w:bCs/>
          <w:sz w:val="24"/>
        </w:rPr>
      </w:pPr>
      <w:r>
        <w:rPr>
          <w:bCs/>
          <w:sz w:val="24"/>
        </w:rPr>
        <w:t>5、</w:t>
      </w:r>
      <w:r>
        <w:rPr>
          <w:rFonts w:hint="eastAsia"/>
          <w:bCs/>
          <w:sz w:val="24"/>
        </w:rPr>
        <w:t>法律法规及中国证监会规定的和《基金合同》约定的其他</w:t>
      </w:r>
      <w:r>
        <w:rPr>
          <w:bCs/>
          <w:sz w:val="24"/>
        </w:rPr>
        <w:t>权利。</w:t>
      </w:r>
    </w:p>
    <w:p w14:paraId="3843A344">
      <w:pPr>
        <w:spacing w:line="360" w:lineRule="auto"/>
        <w:ind w:firstLine="480" w:firstLineChars="200"/>
        <w:rPr>
          <w:bCs/>
          <w:sz w:val="24"/>
        </w:rPr>
      </w:pPr>
      <w:r>
        <w:rPr>
          <w:bCs/>
          <w:sz w:val="24"/>
        </w:rPr>
        <w:t>四、基金登记机构的义务</w:t>
      </w:r>
    </w:p>
    <w:p w14:paraId="15DB2E70">
      <w:pPr>
        <w:spacing w:line="360" w:lineRule="auto"/>
        <w:ind w:firstLine="480" w:firstLineChars="200"/>
        <w:rPr>
          <w:bCs/>
          <w:sz w:val="24"/>
        </w:rPr>
      </w:pPr>
      <w:r>
        <w:rPr>
          <w:bCs/>
          <w:sz w:val="24"/>
        </w:rPr>
        <w:t>基金登记机构承担以下义务：</w:t>
      </w:r>
    </w:p>
    <w:p w14:paraId="14914426">
      <w:pPr>
        <w:spacing w:line="360" w:lineRule="auto"/>
        <w:ind w:firstLine="480" w:firstLineChars="200"/>
        <w:rPr>
          <w:bCs/>
          <w:sz w:val="24"/>
        </w:rPr>
      </w:pPr>
      <w:r>
        <w:rPr>
          <w:bCs/>
          <w:sz w:val="24"/>
        </w:rPr>
        <w:t>1、配备足够的专业人员办理本基金份额的登记业务；</w:t>
      </w:r>
    </w:p>
    <w:p w14:paraId="23F027E5">
      <w:pPr>
        <w:spacing w:line="360" w:lineRule="auto"/>
        <w:ind w:firstLine="480" w:firstLineChars="200"/>
        <w:rPr>
          <w:bCs/>
          <w:sz w:val="24"/>
        </w:rPr>
      </w:pPr>
      <w:r>
        <w:rPr>
          <w:bCs/>
          <w:sz w:val="24"/>
        </w:rPr>
        <w:t>2、严格按照法律法规和《基金合同》规定的条件办理本基金份额的登记业务；</w:t>
      </w:r>
    </w:p>
    <w:p w14:paraId="4F37379C">
      <w:pPr>
        <w:spacing w:line="360" w:lineRule="auto"/>
        <w:ind w:firstLine="480" w:firstLineChars="200"/>
        <w:rPr>
          <w:bCs/>
          <w:sz w:val="24"/>
        </w:rPr>
      </w:pPr>
      <w:r>
        <w:rPr>
          <w:bCs/>
          <w:sz w:val="24"/>
        </w:rPr>
        <w:t>3、</w:t>
      </w:r>
      <w:r>
        <w:rPr>
          <w:rFonts w:hint="eastAsia"/>
          <w:bCs/>
          <w:sz w:val="24"/>
        </w:rPr>
        <w:t>妥善保存登记数据，并将基金份额持有人名称、身份信息及基金份额明细等数据备份至中国证监会认定的机构。其保存期限自基金账户销户之日起不得少于20年</w:t>
      </w:r>
      <w:r>
        <w:rPr>
          <w:bCs/>
          <w:sz w:val="24"/>
        </w:rPr>
        <w:t>；</w:t>
      </w:r>
    </w:p>
    <w:p w14:paraId="145D3716">
      <w:pPr>
        <w:spacing w:line="360" w:lineRule="auto"/>
        <w:ind w:firstLine="480" w:firstLineChars="200"/>
        <w:rPr>
          <w:bCs/>
          <w:sz w:val="24"/>
        </w:rPr>
      </w:pPr>
      <w:r>
        <w:rPr>
          <w:bCs/>
          <w:sz w:val="24"/>
        </w:rPr>
        <w:t>4、对基金份额持有人的基金账户信息负有保密义务，因违反该保密义务对投资者或基金带来的损失，须承担相应的赔偿责任，但司法强制检查情形及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5717118B">
      <w:pPr>
        <w:spacing w:line="360" w:lineRule="auto"/>
        <w:ind w:firstLine="480" w:firstLineChars="200"/>
        <w:rPr>
          <w:bCs/>
          <w:sz w:val="24"/>
        </w:rPr>
      </w:pPr>
      <w:r>
        <w:rPr>
          <w:bCs/>
          <w:sz w:val="24"/>
        </w:rPr>
        <w:t>5、按《基金合同》及招募说明书规定为投资者办理非交易过户业务、提供其他必要的服务；</w:t>
      </w:r>
    </w:p>
    <w:p w14:paraId="2B08F76F">
      <w:pPr>
        <w:spacing w:line="360" w:lineRule="auto"/>
        <w:ind w:firstLine="480" w:firstLineChars="200"/>
        <w:rPr>
          <w:bCs/>
          <w:sz w:val="24"/>
        </w:rPr>
      </w:pPr>
      <w:r>
        <w:rPr>
          <w:bCs/>
          <w:sz w:val="24"/>
        </w:rPr>
        <w:t>6、接受基金管理人的监督；</w:t>
      </w:r>
    </w:p>
    <w:p w14:paraId="1209336C">
      <w:pPr>
        <w:spacing w:line="360" w:lineRule="auto"/>
        <w:ind w:firstLine="480" w:firstLineChars="200"/>
        <w:rPr>
          <w:bCs/>
          <w:sz w:val="24"/>
        </w:rPr>
      </w:pPr>
      <w:r>
        <w:rPr>
          <w:bCs/>
          <w:sz w:val="24"/>
        </w:rPr>
        <w:t>7、</w:t>
      </w:r>
      <w:r>
        <w:rPr>
          <w:rFonts w:hint="eastAsia"/>
          <w:bCs/>
          <w:sz w:val="24"/>
        </w:rPr>
        <w:t>如因登记机构的原因而造成基金管理人或者基金份额持有人损失的，依法承担相应的赔偿责任；</w:t>
      </w:r>
    </w:p>
    <w:p w14:paraId="06065E66">
      <w:pPr>
        <w:spacing w:line="360" w:lineRule="auto"/>
        <w:ind w:firstLine="480" w:firstLineChars="200"/>
        <w:rPr>
          <w:bCs/>
          <w:sz w:val="24"/>
        </w:rPr>
      </w:pPr>
      <w:r>
        <w:rPr>
          <w:rFonts w:hint="eastAsia"/>
          <w:bCs/>
          <w:sz w:val="24"/>
        </w:rPr>
        <w:t>8</w:t>
      </w:r>
      <w:r>
        <w:rPr>
          <w:bCs/>
          <w:sz w:val="24"/>
        </w:rPr>
        <w:t>、</w:t>
      </w:r>
      <w:r>
        <w:rPr>
          <w:rFonts w:hint="eastAsia"/>
          <w:bCs/>
          <w:sz w:val="24"/>
        </w:rPr>
        <w:t>法律法规及中国证监会规定的和《基金合同》约定的其他</w:t>
      </w:r>
      <w:r>
        <w:rPr>
          <w:bCs/>
          <w:sz w:val="24"/>
        </w:rPr>
        <w:t>义务。</w:t>
      </w:r>
    </w:p>
    <w:p w14:paraId="3D603051">
      <w:pPr>
        <w:pStyle w:val="2"/>
        <w:spacing w:before="0" w:after="0"/>
        <w:jc w:val="center"/>
        <w:rPr>
          <w:rFonts w:ascii="Times New Roman"/>
          <w:color w:val="auto"/>
          <w:sz w:val="30"/>
        </w:rPr>
      </w:pPr>
      <w:r>
        <w:rPr>
          <w:rFonts w:ascii="Times New Roman"/>
          <w:b w:val="0"/>
          <w:bCs/>
          <w:color w:val="auto"/>
        </w:rPr>
        <w:br w:type="page"/>
      </w:r>
      <w:bookmarkStart w:id="309" w:name="_Toc22538"/>
      <w:bookmarkStart w:id="310" w:name="_Toc16437"/>
      <w:bookmarkStart w:id="311" w:name="_Toc578"/>
      <w:bookmarkStart w:id="312" w:name="_Toc11351"/>
      <w:bookmarkStart w:id="313" w:name="_Toc801"/>
      <w:bookmarkStart w:id="314" w:name="_Toc11395"/>
      <w:bookmarkStart w:id="315" w:name="_Toc2981"/>
      <w:bookmarkStart w:id="316" w:name="_Toc5477"/>
      <w:bookmarkStart w:id="317" w:name="_Toc21917"/>
      <w:bookmarkStart w:id="318" w:name="_Toc425241714"/>
      <w:bookmarkStart w:id="319" w:name="_Toc3872"/>
      <w:r>
        <w:rPr>
          <w:rFonts w:ascii="Times New Roman"/>
          <w:color w:val="auto"/>
          <w:sz w:val="30"/>
        </w:rPr>
        <w:t>第十二部分基金的投资</w:t>
      </w:r>
      <w:bookmarkEnd w:id="309"/>
      <w:bookmarkEnd w:id="310"/>
      <w:bookmarkEnd w:id="311"/>
      <w:bookmarkEnd w:id="312"/>
      <w:bookmarkEnd w:id="313"/>
      <w:bookmarkEnd w:id="314"/>
      <w:bookmarkEnd w:id="315"/>
      <w:bookmarkEnd w:id="316"/>
      <w:bookmarkEnd w:id="317"/>
      <w:bookmarkEnd w:id="318"/>
      <w:bookmarkEnd w:id="319"/>
    </w:p>
    <w:p w14:paraId="2E2A7549">
      <w:pPr>
        <w:spacing w:line="360" w:lineRule="auto"/>
        <w:ind w:firstLine="480" w:firstLineChars="200"/>
        <w:rPr>
          <w:bCs/>
          <w:sz w:val="24"/>
        </w:rPr>
      </w:pPr>
    </w:p>
    <w:p w14:paraId="2DE22D8A">
      <w:pPr>
        <w:spacing w:line="360" w:lineRule="auto"/>
        <w:ind w:firstLine="480" w:firstLineChars="200"/>
        <w:rPr>
          <w:bCs/>
          <w:sz w:val="24"/>
        </w:rPr>
      </w:pPr>
      <w:r>
        <w:rPr>
          <w:rFonts w:hint="eastAsia"/>
          <w:bCs/>
          <w:sz w:val="24"/>
        </w:rPr>
        <w:t>一、投资目标</w:t>
      </w:r>
    </w:p>
    <w:p w14:paraId="58F9CD90">
      <w:pPr>
        <w:spacing w:line="360" w:lineRule="auto"/>
        <w:ind w:firstLine="480" w:firstLineChars="200"/>
        <w:rPr>
          <w:bCs/>
          <w:sz w:val="24"/>
        </w:rPr>
      </w:pPr>
      <w:r>
        <w:rPr>
          <w:rFonts w:hint="eastAsia"/>
          <w:bCs/>
          <w:sz w:val="24"/>
        </w:rPr>
        <w:t>本基金主要投资于具有稳定股息收益的优质成长性上市公司，以稳健收益为目标，追求长期的资产增值。</w:t>
      </w:r>
    </w:p>
    <w:p w14:paraId="025003A1">
      <w:pPr>
        <w:spacing w:line="360" w:lineRule="auto"/>
        <w:ind w:firstLine="480" w:firstLineChars="200"/>
        <w:rPr>
          <w:bCs/>
          <w:sz w:val="24"/>
        </w:rPr>
      </w:pPr>
      <w:r>
        <w:rPr>
          <w:bCs/>
          <w:sz w:val="24"/>
        </w:rPr>
        <w:t>二、投资范围</w:t>
      </w:r>
    </w:p>
    <w:p w14:paraId="52A7E3B2">
      <w:pPr>
        <w:spacing w:line="360" w:lineRule="auto"/>
        <w:ind w:firstLine="480"/>
        <w:rPr>
          <w:bCs/>
          <w:sz w:val="24"/>
        </w:rPr>
      </w:pPr>
      <w:r>
        <w:rPr>
          <w:rFonts w:hint="eastAsia"/>
          <w:bCs/>
          <w:sz w:val="24"/>
        </w:rPr>
        <w:t>本基金的投资范围为具有良好流动性的金融工具，包括国内依法发行上市的股票</w:t>
      </w:r>
      <w:r>
        <w:rPr>
          <w:rFonts w:hint="eastAsia" w:ascii="宋体" w:hAnsi="宋体"/>
          <w:sz w:val="24"/>
        </w:rPr>
        <w:t>（含中小板、创业板及其他经中国证监会核准上市的股票</w:t>
      </w:r>
      <w:r>
        <w:rPr>
          <w:rFonts w:hint="eastAsia"/>
          <w:bCs/>
          <w:sz w:val="24"/>
        </w:rPr>
        <w:t>、存托凭证</w:t>
      </w:r>
      <w:r>
        <w:rPr>
          <w:rFonts w:hint="eastAsia" w:ascii="宋体" w:hAnsi="宋体"/>
          <w:sz w:val="24"/>
        </w:rPr>
        <w:t>）</w:t>
      </w:r>
      <w:r>
        <w:rPr>
          <w:rFonts w:hint="eastAsia"/>
          <w:bCs/>
          <w:sz w:val="24"/>
        </w:rPr>
        <w:t>、债券（含国债、央行票据、金融债券、政府支持债券</w:t>
      </w:r>
      <w:r>
        <w:rPr>
          <w:bCs/>
          <w:sz w:val="24"/>
        </w:rPr>
        <w:t>、政府支持</w:t>
      </w:r>
      <w:r>
        <w:rPr>
          <w:rFonts w:hint="eastAsia"/>
          <w:bCs/>
          <w:sz w:val="24"/>
        </w:rPr>
        <w:t>机构</w:t>
      </w:r>
      <w:r>
        <w:rPr>
          <w:bCs/>
          <w:sz w:val="24"/>
        </w:rPr>
        <w:t>债券</w:t>
      </w:r>
      <w:r>
        <w:rPr>
          <w:rFonts w:hint="eastAsia"/>
          <w:bCs/>
          <w:sz w:val="24"/>
        </w:rPr>
        <w:t>、地方政府债券、企业债券、公司债券、可转换债券（含可分离交易可转换债券）、可交换公司债券、次级债券、中期票据、短期融资券、超短期融资券等）、</w:t>
      </w:r>
      <w:r>
        <w:rPr>
          <w:rFonts w:hint="eastAsia" w:ascii="宋体" w:hAnsi="宋体"/>
          <w:sz w:val="24"/>
        </w:rPr>
        <w:t>货币市场工具、</w:t>
      </w:r>
      <w:r>
        <w:rPr>
          <w:rFonts w:hint="eastAsia" w:ascii="宋体" w:hAnsi="宋体"/>
          <w:bCs/>
          <w:sz w:val="24"/>
        </w:rPr>
        <w:t>债券</w:t>
      </w:r>
      <w:r>
        <w:rPr>
          <w:rFonts w:ascii="宋体" w:hAnsi="宋体"/>
          <w:bCs/>
          <w:sz w:val="24"/>
        </w:rPr>
        <w:t>回购、同业存单、</w:t>
      </w:r>
      <w:r>
        <w:rPr>
          <w:rFonts w:hint="eastAsia" w:ascii="宋体" w:hAnsi="宋体"/>
          <w:bCs/>
          <w:sz w:val="24"/>
        </w:rPr>
        <w:t>银行存款（含协议存款、定期存款及其他银行存款</w:t>
      </w:r>
      <w:r>
        <w:rPr>
          <w:rFonts w:ascii="宋体" w:hAnsi="宋体"/>
          <w:bCs/>
          <w:sz w:val="24"/>
        </w:rPr>
        <w:t>）</w:t>
      </w:r>
      <w:r>
        <w:rPr>
          <w:rFonts w:hint="eastAsia" w:ascii="宋体" w:hAnsi="宋体"/>
          <w:bCs/>
          <w:sz w:val="24"/>
        </w:rPr>
        <w:t>、</w:t>
      </w:r>
      <w:r>
        <w:rPr>
          <w:rFonts w:hint="eastAsia" w:ascii="宋体" w:hAnsi="宋体"/>
          <w:sz w:val="24"/>
        </w:rPr>
        <w:t>权证、资产支持证券、股指期货</w:t>
      </w:r>
      <w:r>
        <w:rPr>
          <w:rFonts w:hint="eastAsia"/>
          <w:bCs/>
          <w:sz w:val="24"/>
        </w:rPr>
        <w:t>以及法律法规或中国证监会允许基金投资的其他金融工具（但须符合中国证监会相关规定）。</w:t>
      </w:r>
    </w:p>
    <w:p w14:paraId="0DD703F4">
      <w:pPr>
        <w:spacing w:line="360" w:lineRule="auto"/>
        <w:ind w:firstLine="480"/>
        <w:rPr>
          <w:bCs/>
        </w:rPr>
      </w:pPr>
      <w:r>
        <w:rPr>
          <w:rFonts w:hint="eastAsia"/>
          <w:bCs/>
          <w:sz w:val="24"/>
        </w:rPr>
        <w:t>如法律法规或监管机构以后允许基金投资其他品种，基金管理人在履行适当程序后，可以将其纳入投资范围。</w:t>
      </w:r>
    </w:p>
    <w:p w14:paraId="0CBF5B6B">
      <w:pPr>
        <w:spacing w:line="360" w:lineRule="auto"/>
        <w:ind w:firstLine="480"/>
        <w:rPr>
          <w:rFonts w:hAnsi="宋体"/>
          <w:bCs/>
        </w:rPr>
      </w:pPr>
      <w:r>
        <w:rPr>
          <w:rFonts w:hint="eastAsia"/>
          <w:bCs/>
          <w:sz w:val="24"/>
        </w:rPr>
        <w:t>基金的投资组合比例为：</w:t>
      </w:r>
      <w:r>
        <w:rPr>
          <w:rFonts w:hint="eastAsia" w:hAnsi="宋体"/>
          <w:bCs/>
          <w:sz w:val="24"/>
          <w:szCs w:val="24"/>
        </w:rPr>
        <w:t>股票资产</w:t>
      </w:r>
      <w:r>
        <w:rPr>
          <w:rFonts w:hint="eastAsia"/>
          <w:bCs/>
          <w:sz w:val="24"/>
        </w:rPr>
        <w:t>（</w:t>
      </w:r>
      <w:r>
        <w:rPr>
          <w:bCs/>
          <w:sz w:val="24"/>
        </w:rPr>
        <w:t>含存托凭证</w:t>
      </w:r>
      <w:r>
        <w:rPr>
          <w:rFonts w:hint="eastAsia"/>
          <w:bCs/>
          <w:sz w:val="24"/>
        </w:rPr>
        <w:t>）</w:t>
      </w:r>
      <w:r>
        <w:rPr>
          <w:rFonts w:hint="eastAsia" w:hAnsi="宋体"/>
          <w:bCs/>
          <w:sz w:val="24"/>
          <w:szCs w:val="24"/>
        </w:rPr>
        <w:t>占基金资产的</w:t>
      </w:r>
      <w:r>
        <w:rPr>
          <w:rFonts w:hAnsi="宋体"/>
          <w:bCs/>
          <w:sz w:val="24"/>
          <w:szCs w:val="24"/>
        </w:rPr>
        <w:t>50%-95%</w:t>
      </w:r>
      <w:r>
        <w:rPr>
          <w:rFonts w:hint="eastAsia"/>
          <w:bCs/>
          <w:sz w:val="24"/>
        </w:rPr>
        <w:t>，其中投资于股息优化型证券的比例不低于非现金基金资产的</w:t>
      </w:r>
      <w:r>
        <w:rPr>
          <w:bCs/>
          <w:sz w:val="24"/>
        </w:rPr>
        <w:t>80%</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w:t>
      </w:r>
      <w:r>
        <w:rPr>
          <w:rFonts w:hint="eastAsia" w:hAnsi="宋体"/>
          <w:bCs/>
          <w:sz w:val="24"/>
          <w:szCs w:val="24"/>
        </w:rPr>
        <w:t>本基金保留的现金或者投资于到期日在一年以内的政府债券的比例合计不低于基金资产净值的</w:t>
      </w:r>
      <w:r>
        <w:rPr>
          <w:rFonts w:hAnsi="宋体"/>
          <w:bCs/>
          <w:sz w:val="24"/>
          <w:szCs w:val="24"/>
        </w:rPr>
        <w:t>5%</w:t>
      </w:r>
      <w:r>
        <w:rPr>
          <w:rFonts w:hint="eastAsia" w:ascii="宋体" w:hAnsi="宋体"/>
          <w:sz w:val="24"/>
        </w:rPr>
        <w:t>，</w:t>
      </w:r>
      <w:r>
        <w:rPr>
          <w:rFonts w:hint="eastAsia" w:ascii="宋体" w:hAnsi="宋体"/>
          <w:kern w:val="0"/>
          <w:sz w:val="24"/>
        </w:rPr>
        <w:t>其中现金不包括结算备付金、存出保证金、应收申购款等</w:t>
      </w:r>
      <w:r>
        <w:rPr>
          <w:rFonts w:hint="eastAsia" w:hAnsi="宋体"/>
          <w:bCs/>
          <w:sz w:val="24"/>
          <w:szCs w:val="24"/>
        </w:rPr>
        <w:t>。</w:t>
      </w:r>
    </w:p>
    <w:p w14:paraId="2422DF0E">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68D3E4FD">
      <w:pPr>
        <w:spacing w:line="360" w:lineRule="auto"/>
        <w:ind w:firstLine="480" w:firstLineChars="200"/>
        <w:rPr>
          <w:bCs/>
          <w:sz w:val="24"/>
        </w:rPr>
      </w:pPr>
      <w:r>
        <w:rPr>
          <w:bCs/>
          <w:sz w:val="24"/>
        </w:rPr>
        <w:t>三、投资策略</w:t>
      </w:r>
    </w:p>
    <w:p w14:paraId="2404B400">
      <w:pPr>
        <w:spacing w:line="360" w:lineRule="auto"/>
        <w:ind w:firstLine="480"/>
        <w:rPr>
          <w:bCs/>
          <w:sz w:val="24"/>
        </w:rPr>
      </w:pPr>
      <w:r>
        <w:rPr>
          <w:rFonts w:hint="eastAsia"/>
          <w:bCs/>
          <w:sz w:val="24"/>
        </w:rPr>
        <w:t>本基金充分发挥基金管理人的研究优势，在分析和判断宏观经济周期和金融市场运行趋势的基础上，自上而下调整基金大类资产配置和股票行业配置策略，确定债券组合久期和债券类别配置；在严谨深入的股票和债券研究分析基础上，自下而上精选个券。其中，本基金在股票投资上突出对有稳定股息收益的股票的侧重，同时选取能够体现公司竞争比较优势、盈利能力、内生成长性因子和体现公司财务状况、抗周期波动和分红稳定性因子，力争投资于具有稳定股息收益的优质成长</w:t>
      </w:r>
      <w:r>
        <w:rPr>
          <w:bCs/>
          <w:sz w:val="24"/>
        </w:rPr>
        <w:t>性</w:t>
      </w:r>
      <w:r>
        <w:rPr>
          <w:rFonts w:hint="eastAsia"/>
          <w:bCs/>
          <w:sz w:val="24"/>
        </w:rPr>
        <w:t>上市公司。</w:t>
      </w:r>
    </w:p>
    <w:p w14:paraId="637A21AA">
      <w:pPr>
        <w:spacing w:line="360" w:lineRule="auto"/>
        <w:ind w:firstLine="480" w:firstLineChars="200"/>
        <w:rPr>
          <w:bCs/>
          <w:sz w:val="24"/>
        </w:rPr>
      </w:pPr>
      <w:r>
        <w:rPr>
          <w:rFonts w:hint="eastAsia"/>
          <w:bCs/>
          <w:sz w:val="24"/>
        </w:rPr>
        <w:t>1、资产配置</w:t>
      </w:r>
    </w:p>
    <w:p w14:paraId="5F6A6367">
      <w:pPr>
        <w:spacing w:line="360" w:lineRule="auto"/>
        <w:ind w:firstLine="480" w:firstLineChars="200"/>
        <w:rPr>
          <w:bCs/>
          <w:sz w:val="24"/>
        </w:rPr>
      </w:pPr>
      <w:r>
        <w:rPr>
          <w:rFonts w:hint="eastAsia"/>
          <w:bCs/>
          <w:sz w:val="24"/>
        </w:rPr>
        <w:t>本基金利用经交银施罗德研究团队修正后的投资时钟</w:t>
      </w:r>
      <w:r>
        <w:rPr>
          <w:bCs/>
          <w:sz w:val="24"/>
        </w:rPr>
        <w:t>分析框架，</w:t>
      </w:r>
      <w:r>
        <w:rPr>
          <w:rFonts w:hint="eastAsia"/>
          <w:bCs/>
          <w:sz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14:paraId="0F744ECC">
      <w:pPr>
        <w:spacing w:line="360" w:lineRule="auto"/>
        <w:ind w:firstLine="480" w:firstLineChars="200"/>
        <w:rPr>
          <w:bCs/>
          <w:sz w:val="24"/>
        </w:rPr>
      </w:pPr>
      <w:r>
        <w:rPr>
          <w:bCs/>
          <w:sz w:val="24"/>
        </w:rPr>
        <w:t>2</w:t>
      </w:r>
      <w:r>
        <w:rPr>
          <w:rFonts w:hint="eastAsia"/>
          <w:bCs/>
          <w:sz w:val="24"/>
        </w:rPr>
        <w:t>、股票投资</w:t>
      </w:r>
    </w:p>
    <w:p w14:paraId="7BFF9C8E">
      <w:pPr>
        <w:spacing w:line="360" w:lineRule="auto"/>
        <w:ind w:firstLine="480" w:firstLineChars="200"/>
        <w:rPr>
          <w:bCs/>
          <w:sz w:val="24"/>
        </w:rPr>
      </w:pPr>
      <w:r>
        <w:rPr>
          <w:rFonts w:hint="eastAsia"/>
          <w:bCs/>
          <w:sz w:val="24"/>
        </w:rPr>
        <w:t>本基金在股票选择上侧重于对“股息优化</w:t>
      </w:r>
      <w:r>
        <w:rPr>
          <w:bCs/>
          <w:sz w:val="24"/>
        </w:rPr>
        <w:t>型</w:t>
      </w:r>
      <w:r>
        <w:rPr>
          <w:rFonts w:hint="eastAsia"/>
          <w:bCs/>
          <w:sz w:val="24"/>
        </w:rPr>
        <w:t>”证券的</w:t>
      </w:r>
      <w:r>
        <w:rPr>
          <w:bCs/>
          <w:sz w:val="24"/>
        </w:rPr>
        <w:t>投资</w:t>
      </w:r>
      <w:r>
        <w:rPr>
          <w:rFonts w:hint="eastAsia"/>
          <w:bCs/>
          <w:sz w:val="24"/>
        </w:rPr>
        <w:t>，“</w:t>
      </w:r>
      <w:r>
        <w:rPr>
          <w:bCs/>
          <w:sz w:val="24"/>
        </w:rPr>
        <w:t>股息优化型</w:t>
      </w:r>
      <w:r>
        <w:rPr>
          <w:rFonts w:hint="eastAsia"/>
          <w:bCs/>
          <w:sz w:val="24"/>
        </w:rPr>
        <w:t>”证券是</w:t>
      </w:r>
      <w:r>
        <w:rPr>
          <w:bCs/>
          <w:sz w:val="24"/>
        </w:rPr>
        <w:t>指</w:t>
      </w:r>
      <w:r>
        <w:rPr>
          <w:rFonts w:hint="eastAsia"/>
          <w:bCs/>
          <w:sz w:val="24"/>
        </w:rPr>
        <w:t>有稳定</w:t>
      </w:r>
      <w:r>
        <w:rPr>
          <w:bCs/>
          <w:sz w:val="24"/>
        </w:rPr>
        <w:t>股息</w:t>
      </w:r>
      <w:r>
        <w:rPr>
          <w:rFonts w:hint="eastAsia"/>
          <w:bCs/>
          <w:sz w:val="24"/>
        </w:rPr>
        <w:t>收益</w:t>
      </w:r>
      <w:r>
        <w:rPr>
          <w:rFonts w:hint="eastAsia" w:hAnsi="宋体"/>
          <w:sz w:val="24"/>
          <w:szCs w:val="24"/>
        </w:rPr>
        <w:t>且具有成长</w:t>
      </w:r>
      <w:r>
        <w:rPr>
          <w:rFonts w:hAnsi="宋体"/>
          <w:sz w:val="24"/>
          <w:szCs w:val="24"/>
        </w:rPr>
        <w:t>性</w:t>
      </w:r>
      <w:r>
        <w:rPr>
          <w:rFonts w:hint="eastAsia" w:hAnsi="宋体"/>
          <w:sz w:val="24"/>
          <w:szCs w:val="24"/>
        </w:rPr>
        <w:t>的</w:t>
      </w:r>
      <w:r>
        <w:rPr>
          <w:rFonts w:hint="eastAsia"/>
          <w:bCs/>
          <w:sz w:val="24"/>
        </w:rPr>
        <w:t>优质上市公司发行的证券</w:t>
      </w:r>
      <w:r>
        <w:rPr>
          <w:bCs/>
          <w:sz w:val="24"/>
        </w:rPr>
        <w:t>。</w:t>
      </w:r>
      <w:r>
        <w:rPr>
          <w:rFonts w:hint="eastAsia"/>
          <w:bCs/>
          <w:sz w:val="24"/>
        </w:rPr>
        <w:t>本基金管理人对股息优化型证券的投资具体分以下几个层次进行：</w:t>
      </w:r>
    </w:p>
    <w:p w14:paraId="1825F97C">
      <w:pPr>
        <w:spacing w:line="360" w:lineRule="auto"/>
        <w:ind w:firstLine="480" w:firstLineChars="200"/>
        <w:rPr>
          <w:bCs/>
          <w:sz w:val="24"/>
        </w:rPr>
      </w:pPr>
      <w:r>
        <w:rPr>
          <w:rFonts w:hint="eastAsia"/>
          <w:bCs/>
          <w:sz w:val="24"/>
        </w:rPr>
        <w:t>首先</w:t>
      </w:r>
      <w:r>
        <w:rPr>
          <w:bCs/>
          <w:sz w:val="24"/>
        </w:rPr>
        <w:t>，</w:t>
      </w:r>
      <w:r>
        <w:rPr>
          <w:rFonts w:hint="eastAsia"/>
          <w:bCs/>
          <w:sz w:val="24"/>
        </w:rPr>
        <w:t>基金</w:t>
      </w:r>
      <w:r>
        <w:rPr>
          <w:bCs/>
          <w:sz w:val="24"/>
        </w:rPr>
        <w:t>管理人将</w:t>
      </w:r>
      <w:r>
        <w:rPr>
          <w:rFonts w:hint="eastAsia"/>
          <w:bCs/>
          <w:sz w:val="24"/>
        </w:rPr>
        <w:t>满足以下前</w:t>
      </w:r>
      <w:r>
        <w:rPr>
          <w:bCs/>
          <w:sz w:val="24"/>
        </w:rPr>
        <w:t>两项中任一项且</w:t>
      </w:r>
      <w:r>
        <w:rPr>
          <w:rFonts w:hint="eastAsia"/>
          <w:bCs/>
          <w:sz w:val="24"/>
        </w:rPr>
        <w:t>同时</w:t>
      </w:r>
      <w:r>
        <w:rPr>
          <w:bCs/>
          <w:sz w:val="24"/>
        </w:rPr>
        <w:t>满足第三项</w:t>
      </w:r>
      <w:r>
        <w:rPr>
          <w:rFonts w:hint="eastAsia"/>
          <w:bCs/>
          <w:sz w:val="24"/>
        </w:rPr>
        <w:t>特征的股票作为符合股息</w:t>
      </w:r>
      <w:r>
        <w:rPr>
          <w:bCs/>
          <w:sz w:val="24"/>
        </w:rPr>
        <w:t>率</w:t>
      </w:r>
      <w:r>
        <w:rPr>
          <w:rFonts w:hint="eastAsia"/>
          <w:bCs/>
          <w:sz w:val="24"/>
        </w:rPr>
        <w:t>要求的公司，构建备选股票池：</w:t>
      </w:r>
    </w:p>
    <w:p w14:paraId="03E0D44E">
      <w:pPr>
        <w:spacing w:line="360" w:lineRule="auto"/>
        <w:ind w:firstLine="480" w:firstLineChars="200"/>
        <w:rPr>
          <w:bCs/>
          <w:sz w:val="24"/>
        </w:rPr>
      </w:pPr>
      <w:r>
        <w:rPr>
          <w:rFonts w:hint="eastAsia"/>
          <w:bCs/>
          <w:sz w:val="24"/>
        </w:rPr>
        <w:t>1）在</w:t>
      </w:r>
      <w:r>
        <w:rPr>
          <w:bCs/>
          <w:sz w:val="24"/>
        </w:rPr>
        <w:t>过去两年中，至少</w:t>
      </w:r>
      <w:r>
        <w:rPr>
          <w:rFonts w:hint="eastAsia"/>
          <w:bCs/>
          <w:sz w:val="24"/>
        </w:rPr>
        <w:t>有</w:t>
      </w:r>
      <w:r>
        <w:rPr>
          <w:bCs/>
          <w:sz w:val="24"/>
        </w:rPr>
        <w:t>一年</w:t>
      </w:r>
      <w:r>
        <w:rPr>
          <w:rFonts w:hint="eastAsia"/>
          <w:bCs/>
          <w:sz w:val="24"/>
        </w:rPr>
        <w:t>实施</w:t>
      </w:r>
      <w:r>
        <w:rPr>
          <w:bCs/>
          <w:sz w:val="24"/>
        </w:rPr>
        <w:t>现金分红且</w:t>
      </w:r>
      <w:r>
        <w:rPr>
          <w:rFonts w:hint="eastAsia"/>
          <w:bCs/>
          <w:sz w:val="24"/>
        </w:rPr>
        <w:t>股息率（当年现金分红</w:t>
      </w:r>
      <w:r>
        <w:rPr>
          <w:bCs/>
          <w:sz w:val="24"/>
        </w:rPr>
        <w:t>/</w:t>
      </w:r>
      <w:r>
        <w:rPr>
          <w:rFonts w:hint="eastAsia"/>
          <w:bCs/>
          <w:sz w:val="24"/>
        </w:rPr>
        <w:t>股票的年均价（年均价</w:t>
      </w:r>
      <w:r>
        <w:rPr>
          <w:bCs/>
          <w:sz w:val="24"/>
        </w:rPr>
        <w:t>=</w:t>
      </w:r>
      <w:r>
        <w:rPr>
          <w:rFonts w:hint="eastAsia"/>
          <w:bCs/>
          <w:sz w:val="24"/>
        </w:rPr>
        <w:t>年成交额</w:t>
      </w:r>
      <w:r>
        <w:rPr>
          <w:bCs/>
          <w:sz w:val="24"/>
        </w:rPr>
        <w:t>/</w:t>
      </w:r>
      <w:r>
        <w:rPr>
          <w:rFonts w:hint="eastAsia"/>
          <w:bCs/>
          <w:sz w:val="24"/>
        </w:rPr>
        <w:t>年成交量））处于市场前</w:t>
      </w:r>
      <w:r>
        <w:rPr>
          <w:bCs/>
          <w:sz w:val="24"/>
        </w:rPr>
        <w:t>50%</w:t>
      </w:r>
    </w:p>
    <w:p w14:paraId="633D6809">
      <w:pPr>
        <w:spacing w:line="360" w:lineRule="auto"/>
        <w:ind w:firstLine="480" w:firstLineChars="200"/>
        <w:rPr>
          <w:bCs/>
          <w:sz w:val="24"/>
        </w:rPr>
      </w:pPr>
      <w:r>
        <w:rPr>
          <w:rFonts w:hint="eastAsia"/>
          <w:bCs/>
          <w:sz w:val="24"/>
        </w:rPr>
        <w:t>2）具有潜在股息优势（未来预期有稳定股息收益或具有较强分红意愿、且</w:t>
      </w:r>
      <w:r>
        <w:rPr>
          <w:bCs/>
          <w:sz w:val="24"/>
        </w:rPr>
        <w:t>股票估值合理</w:t>
      </w:r>
      <w:r>
        <w:rPr>
          <w:rFonts w:hint="eastAsia"/>
          <w:bCs/>
          <w:sz w:val="24"/>
        </w:rPr>
        <w:t>）</w:t>
      </w:r>
    </w:p>
    <w:p w14:paraId="45CD07D9">
      <w:pPr>
        <w:spacing w:line="360" w:lineRule="auto"/>
        <w:ind w:firstLine="480" w:firstLineChars="200"/>
        <w:rPr>
          <w:bCs/>
          <w:sz w:val="24"/>
        </w:rPr>
      </w:pPr>
      <w:r>
        <w:rPr>
          <w:bCs/>
          <w:sz w:val="24"/>
        </w:rPr>
        <w:t>3</w:t>
      </w:r>
      <w:r>
        <w:rPr>
          <w:rFonts w:hint="eastAsia"/>
          <w:bCs/>
          <w:sz w:val="24"/>
        </w:rPr>
        <w:t>）经营状况良好、无重大违法违规事项、股息分配与经营情况不存在重大异常。</w:t>
      </w:r>
    </w:p>
    <w:p w14:paraId="65B2DCDB">
      <w:pPr>
        <w:spacing w:line="360" w:lineRule="auto"/>
        <w:ind w:firstLine="480" w:firstLineChars="200"/>
        <w:rPr>
          <w:rFonts w:hAnsi="宋体"/>
          <w:sz w:val="24"/>
          <w:szCs w:val="24"/>
        </w:rPr>
      </w:pPr>
      <w:r>
        <w:rPr>
          <w:rFonts w:hint="eastAsia"/>
          <w:bCs/>
          <w:sz w:val="24"/>
        </w:rPr>
        <w:t>其次，</w:t>
      </w:r>
      <w:r>
        <w:rPr>
          <w:rFonts w:hAnsi="宋体"/>
          <w:sz w:val="24"/>
          <w:szCs w:val="24"/>
        </w:rPr>
        <w:t>在公司备选</w:t>
      </w:r>
      <w:r>
        <w:rPr>
          <w:rFonts w:hint="eastAsia" w:hAnsi="宋体"/>
          <w:sz w:val="24"/>
          <w:szCs w:val="24"/>
        </w:rPr>
        <w:t>股票池的基础上，本基金管理人将根据公司</w:t>
      </w:r>
      <w:r>
        <w:rPr>
          <w:rFonts w:hAnsi="宋体"/>
          <w:sz w:val="24"/>
          <w:szCs w:val="24"/>
        </w:rPr>
        <w:t>的竞争比较优势、</w:t>
      </w:r>
      <w:r>
        <w:rPr>
          <w:rFonts w:hint="eastAsia" w:hAnsi="宋体"/>
          <w:sz w:val="24"/>
          <w:szCs w:val="24"/>
        </w:rPr>
        <w:t>企业盈利能力、内生成长性和成长质量等因子，优选基本面良好且具有成长动能的优质上市公司。</w:t>
      </w:r>
    </w:p>
    <w:p w14:paraId="19CFB346">
      <w:pPr>
        <w:spacing w:line="360" w:lineRule="auto"/>
        <w:ind w:firstLine="480" w:firstLineChars="200"/>
        <w:rPr>
          <w:rFonts w:hAnsi="宋体"/>
          <w:sz w:val="24"/>
          <w:szCs w:val="24"/>
        </w:rPr>
      </w:pPr>
      <w:r>
        <w:rPr>
          <w:rFonts w:hAnsi="宋体"/>
          <w:sz w:val="24"/>
          <w:szCs w:val="24"/>
        </w:rPr>
        <w:t>1</w:t>
      </w:r>
      <w:r>
        <w:rPr>
          <w:rFonts w:hint="eastAsia" w:hAnsi="宋体"/>
          <w:sz w:val="24"/>
          <w:szCs w:val="24"/>
        </w:rPr>
        <w:t>）公司的竞争比较优势：重点考察公司的市场优势，包括市场地位和市场份额，在细分市场是否占据领先位置，是否具有品牌号召力或较高的行业知名度，在营销渠道及营销网络方面的优势和发展潜力等；资源优势，包括是否拥有独特优势的物资或非物质资源，比如市场资源、专利技术等；产品优势，包括是否拥有创新和受专利保护的具有市场竞争力的产品，对产品的定价能力等以及其他优势，例如是否受到中央或地方政府政策的扶持等因素；</w:t>
      </w:r>
    </w:p>
    <w:p w14:paraId="501D459E">
      <w:pPr>
        <w:spacing w:line="360" w:lineRule="auto"/>
        <w:ind w:firstLine="480" w:firstLineChars="200"/>
        <w:rPr>
          <w:rFonts w:hAnsi="宋体"/>
          <w:sz w:val="24"/>
          <w:szCs w:val="24"/>
        </w:rPr>
      </w:pPr>
      <w:r>
        <w:rPr>
          <w:rFonts w:hAnsi="宋体"/>
          <w:sz w:val="24"/>
          <w:szCs w:val="24"/>
        </w:rPr>
        <w:t>2</w:t>
      </w:r>
      <w:r>
        <w:rPr>
          <w:rFonts w:hint="eastAsia" w:hAnsi="宋体"/>
          <w:sz w:val="24"/>
          <w:szCs w:val="24"/>
        </w:rPr>
        <w:t>）企业盈利能力是企业成长潜力的体现，企业能否将自身各种优势转化为不断释放的盈利能力是其具有成长动能的主要标志。本</w:t>
      </w:r>
      <w:r>
        <w:rPr>
          <w:rFonts w:hAnsi="宋体"/>
          <w:sz w:val="24"/>
          <w:szCs w:val="24"/>
        </w:rPr>
        <w:t>基金拟</w:t>
      </w:r>
      <w:r>
        <w:rPr>
          <w:rFonts w:hint="eastAsia" w:hAnsi="宋体"/>
          <w:sz w:val="24"/>
          <w:szCs w:val="24"/>
        </w:rPr>
        <w:t>通过定量和定性相结合的</w:t>
      </w:r>
      <w:r>
        <w:rPr>
          <w:rFonts w:hAnsi="宋体"/>
          <w:sz w:val="24"/>
          <w:szCs w:val="24"/>
        </w:rPr>
        <w:t>方法</w:t>
      </w:r>
      <w:r>
        <w:rPr>
          <w:rFonts w:hint="eastAsia" w:hAnsi="宋体"/>
          <w:sz w:val="24"/>
          <w:szCs w:val="24"/>
        </w:rPr>
        <w:t>对</w:t>
      </w:r>
      <w:r>
        <w:rPr>
          <w:rFonts w:hAnsi="宋体"/>
          <w:sz w:val="24"/>
          <w:szCs w:val="24"/>
        </w:rPr>
        <w:t>企业盈利能力进行</w:t>
      </w:r>
      <w:r>
        <w:rPr>
          <w:rFonts w:hint="eastAsia" w:hAnsi="宋体"/>
          <w:sz w:val="24"/>
          <w:szCs w:val="24"/>
        </w:rPr>
        <w:t>分析。定量分析主要是通过上市公司主营业务收入增长率和利润增长率等财务指标进行分析，定性分析主要考察上市公司盈利能力的质量和可靠性，即对上市公司的技术优势、资源优势和商业模式优势的分析，判断推动上市公司主营业务收入或上市公司利润增长的原因和可望保持的时间，进而判断上市公司盈利能力的持续性。</w:t>
      </w:r>
    </w:p>
    <w:p w14:paraId="0E04994A">
      <w:pPr>
        <w:spacing w:line="360" w:lineRule="auto"/>
        <w:ind w:firstLine="480" w:firstLineChars="200"/>
        <w:rPr>
          <w:rFonts w:hAnsi="宋体"/>
          <w:sz w:val="24"/>
          <w:szCs w:val="24"/>
        </w:rPr>
      </w:pPr>
      <w:r>
        <w:rPr>
          <w:rFonts w:hAnsi="宋体"/>
          <w:sz w:val="24"/>
          <w:szCs w:val="24"/>
        </w:rPr>
        <w:t>3</w:t>
      </w:r>
      <w:r>
        <w:rPr>
          <w:rFonts w:hint="eastAsia" w:hAnsi="宋体"/>
          <w:sz w:val="24"/>
          <w:szCs w:val="24"/>
        </w:rPr>
        <w:t>）</w:t>
      </w:r>
      <w:r>
        <w:rPr>
          <w:rFonts w:hAnsi="宋体"/>
          <w:sz w:val="24"/>
          <w:szCs w:val="24"/>
        </w:rPr>
        <w:t>内生成长性和成长质量</w:t>
      </w:r>
      <w:r>
        <w:rPr>
          <w:rFonts w:hint="eastAsia" w:hAnsi="宋体"/>
          <w:sz w:val="24"/>
          <w:szCs w:val="24"/>
        </w:rPr>
        <w:t>：本基金将从上市公司的</w:t>
      </w:r>
      <w:r>
        <w:rPr>
          <w:rFonts w:hAnsi="宋体"/>
          <w:sz w:val="24"/>
          <w:szCs w:val="24"/>
        </w:rPr>
        <w:t>发展战略</w:t>
      </w:r>
      <w:r>
        <w:rPr>
          <w:rFonts w:hint="eastAsia" w:hAnsi="宋体"/>
          <w:sz w:val="24"/>
          <w:szCs w:val="24"/>
        </w:rPr>
        <w:t>、公司的创新能力、商业模式、市场竞争力、公司治理结构等多角度研判上市公司的成长性和成长质量，考察公司是否具有以下一项或多项优势：</w:t>
      </w:r>
    </w:p>
    <w:p w14:paraId="61796C05">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1 \* GB3</w:instrText>
      </w:r>
      <w:r>
        <w:rPr>
          <w:rFonts w:hAnsi="宋体"/>
          <w:sz w:val="24"/>
          <w:szCs w:val="24"/>
        </w:rPr>
        <w:fldChar w:fldCharType="separate"/>
      </w:r>
      <w:r>
        <w:rPr>
          <w:rFonts w:hint="eastAsia" w:hAnsi="宋体"/>
          <w:sz w:val="24"/>
          <w:szCs w:val="24"/>
        </w:rPr>
        <w:t>①</w:t>
      </w:r>
      <w:r>
        <w:rPr>
          <w:rFonts w:hAnsi="宋体"/>
          <w:sz w:val="24"/>
          <w:szCs w:val="24"/>
        </w:rPr>
        <w:fldChar w:fldCharType="end"/>
      </w:r>
      <w:r>
        <w:rPr>
          <w:rFonts w:hint="eastAsia" w:hAnsi="宋体"/>
          <w:sz w:val="24"/>
          <w:szCs w:val="24"/>
        </w:rPr>
        <w:t>公司的发展战略符合产业的发展方向和国家产业政策，有利于支持公司的持续成长；</w:t>
      </w:r>
    </w:p>
    <w:p w14:paraId="0A31E83E">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2 \* GB3</w:instrText>
      </w:r>
      <w:r>
        <w:rPr>
          <w:rFonts w:hAnsi="宋体"/>
          <w:sz w:val="24"/>
          <w:szCs w:val="24"/>
        </w:rPr>
        <w:fldChar w:fldCharType="separate"/>
      </w:r>
      <w:r>
        <w:rPr>
          <w:rFonts w:hint="eastAsia" w:hAnsi="宋体"/>
          <w:sz w:val="24"/>
          <w:szCs w:val="24"/>
        </w:rPr>
        <w:t>②</w:t>
      </w:r>
      <w:r>
        <w:rPr>
          <w:rFonts w:hAnsi="宋体"/>
          <w:sz w:val="24"/>
          <w:szCs w:val="24"/>
        </w:rPr>
        <w:fldChar w:fldCharType="end"/>
      </w:r>
      <w:r>
        <w:rPr>
          <w:rFonts w:hint="eastAsia" w:hAnsi="宋体"/>
          <w:sz w:val="24"/>
          <w:szCs w:val="24"/>
        </w:rPr>
        <w:t>公司创新能力较强，新产品、高技术含量产品的收入比例不断提高；</w:t>
      </w:r>
    </w:p>
    <w:p w14:paraId="37A73FA2">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3 \* GB3</w:instrText>
      </w:r>
      <w:r>
        <w:rPr>
          <w:rFonts w:hAnsi="宋体"/>
          <w:sz w:val="24"/>
          <w:szCs w:val="24"/>
        </w:rPr>
        <w:fldChar w:fldCharType="separate"/>
      </w:r>
      <w:r>
        <w:rPr>
          <w:rFonts w:hint="eastAsia" w:hAnsi="宋体"/>
          <w:sz w:val="24"/>
          <w:szCs w:val="24"/>
        </w:rPr>
        <w:t>③</w:t>
      </w:r>
      <w:r>
        <w:rPr>
          <w:rFonts w:hAnsi="宋体"/>
          <w:sz w:val="24"/>
          <w:szCs w:val="24"/>
        </w:rPr>
        <w:fldChar w:fldCharType="end"/>
      </w:r>
      <w:r>
        <w:rPr>
          <w:rFonts w:hint="eastAsia" w:hAnsi="宋体"/>
          <w:sz w:val="24"/>
          <w:szCs w:val="24"/>
        </w:rPr>
        <w:t>公司在资源、技术、人才、资金、销售网络等方面具有难以模仿的竞争优势，有利于公司不断提高市场占有率；</w:t>
      </w:r>
    </w:p>
    <w:p w14:paraId="2640EAAB">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4 \* GB3</w:instrText>
      </w:r>
      <w:r>
        <w:rPr>
          <w:rFonts w:hAnsi="宋体"/>
          <w:sz w:val="24"/>
          <w:szCs w:val="24"/>
        </w:rPr>
        <w:fldChar w:fldCharType="separate"/>
      </w:r>
      <w:r>
        <w:rPr>
          <w:rFonts w:hint="eastAsia" w:hAnsi="宋体"/>
          <w:sz w:val="24"/>
          <w:szCs w:val="24"/>
        </w:rPr>
        <w:t>④</w:t>
      </w:r>
      <w:r>
        <w:rPr>
          <w:rFonts w:hAnsi="宋体"/>
          <w:sz w:val="24"/>
          <w:szCs w:val="24"/>
        </w:rPr>
        <w:fldChar w:fldCharType="end"/>
      </w:r>
      <w:r>
        <w:rPr>
          <w:rFonts w:hint="eastAsia" w:hAnsi="宋体"/>
          <w:sz w:val="24"/>
          <w:szCs w:val="24"/>
        </w:rPr>
        <w:t>公司治理结构良好，管理层具有较强的经营管理能力。本基金在以上分析的基础上，选择那些短期内利润增长速度高于行业平均水平，并有可能在中长期保持较高增长速度的公司。</w:t>
      </w:r>
    </w:p>
    <w:p w14:paraId="7FAABFDF">
      <w:pPr>
        <w:spacing w:line="360" w:lineRule="auto"/>
        <w:ind w:firstLine="480" w:firstLineChars="200"/>
        <w:rPr>
          <w:bCs/>
          <w:sz w:val="24"/>
        </w:rPr>
      </w:pPr>
      <w:r>
        <w:rPr>
          <w:rFonts w:hint="eastAsia"/>
          <w:bCs/>
          <w:sz w:val="24"/>
        </w:rPr>
        <w:t>本基金投资存托凭证的策略依照境内上市交易的股票投资策略执行。</w:t>
      </w:r>
    </w:p>
    <w:p w14:paraId="23775A2B">
      <w:pPr>
        <w:spacing w:line="360" w:lineRule="auto"/>
        <w:ind w:firstLine="480" w:firstLineChars="200"/>
        <w:rPr>
          <w:bCs/>
          <w:sz w:val="24"/>
        </w:rPr>
      </w:pPr>
      <w:r>
        <w:rPr>
          <w:bCs/>
          <w:sz w:val="24"/>
        </w:rPr>
        <w:t>3</w:t>
      </w:r>
      <w:r>
        <w:rPr>
          <w:rFonts w:hint="eastAsia"/>
          <w:bCs/>
          <w:sz w:val="24"/>
        </w:rPr>
        <w:t>、债券投资</w:t>
      </w:r>
    </w:p>
    <w:p w14:paraId="34CAF85E">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69A6F255">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44AB8BF5">
      <w:pPr>
        <w:spacing w:line="360" w:lineRule="auto"/>
        <w:ind w:firstLine="480" w:firstLineChars="200"/>
        <w:rPr>
          <w:bCs/>
          <w:sz w:val="24"/>
        </w:rPr>
      </w:pPr>
      <w:r>
        <w:rPr>
          <w:bCs/>
          <w:sz w:val="24"/>
        </w:rPr>
        <w:t>4</w:t>
      </w:r>
      <w:r>
        <w:rPr>
          <w:rFonts w:hint="eastAsia"/>
          <w:bCs/>
          <w:sz w:val="24"/>
        </w:rPr>
        <w:t>、权证投资</w:t>
      </w:r>
    </w:p>
    <w:p w14:paraId="0425111F">
      <w:pPr>
        <w:spacing w:line="360" w:lineRule="auto"/>
        <w:ind w:firstLine="480" w:firstLineChars="200"/>
        <w:rPr>
          <w:bCs/>
          <w:sz w:val="24"/>
        </w:rPr>
      </w:pPr>
      <w:r>
        <w:rPr>
          <w:rFonts w:hint="eastAsia"/>
          <w:bCs/>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1D0E80F2">
      <w:pPr>
        <w:spacing w:line="360" w:lineRule="auto"/>
        <w:ind w:firstLine="480" w:firstLineChars="200"/>
        <w:rPr>
          <w:bCs/>
          <w:sz w:val="24"/>
        </w:rPr>
      </w:pPr>
      <w:r>
        <w:rPr>
          <w:bCs/>
          <w:sz w:val="24"/>
        </w:rPr>
        <w:t>5</w:t>
      </w:r>
      <w:r>
        <w:rPr>
          <w:rFonts w:hint="eastAsia"/>
          <w:bCs/>
          <w:sz w:val="24"/>
        </w:rPr>
        <w:t>、资产支持证券投资</w:t>
      </w:r>
    </w:p>
    <w:p w14:paraId="50757D9C">
      <w:pPr>
        <w:spacing w:line="360" w:lineRule="auto"/>
        <w:ind w:firstLine="480" w:firstLineChars="200"/>
        <w:rPr>
          <w:bCs/>
          <w:sz w:val="24"/>
        </w:rPr>
      </w:pPr>
      <w:r>
        <w:rPr>
          <w:rFonts w:hint="eastAsia"/>
          <w:bCs/>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46609E44">
      <w:pPr>
        <w:spacing w:line="360" w:lineRule="auto"/>
        <w:ind w:firstLine="480" w:firstLineChars="200"/>
        <w:rPr>
          <w:bCs/>
          <w:sz w:val="24"/>
        </w:rPr>
      </w:pPr>
      <w:r>
        <w:rPr>
          <w:bCs/>
          <w:sz w:val="24"/>
        </w:rPr>
        <w:t>6</w:t>
      </w:r>
      <w:r>
        <w:rPr>
          <w:rFonts w:hint="eastAsia"/>
          <w:bCs/>
          <w:sz w:val="24"/>
        </w:rPr>
        <w:t>、股指期货投资</w:t>
      </w:r>
    </w:p>
    <w:p w14:paraId="03A47352">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56E8B162">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37E9D6F7">
      <w:pPr>
        <w:spacing w:line="360" w:lineRule="auto"/>
        <w:ind w:firstLine="480" w:firstLineChars="200"/>
        <w:rPr>
          <w:bCs/>
          <w:sz w:val="24"/>
        </w:rPr>
      </w:pPr>
      <w:r>
        <w:rPr>
          <w:bCs/>
          <w:sz w:val="24"/>
        </w:rPr>
        <w:t>四、投资限制</w:t>
      </w:r>
    </w:p>
    <w:p w14:paraId="20E89DD2">
      <w:pPr>
        <w:spacing w:line="360" w:lineRule="auto"/>
        <w:ind w:firstLine="480" w:firstLineChars="200"/>
        <w:rPr>
          <w:bCs/>
          <w:sz w:val="24"/>
        </w:rPr>
      </w:pPr>
      <w:r>
        <w:rPr>
          <w:bCs/>
          <w:sz w:val="24"/>
        </w:rPr>
        <w:t>1、组合限制</w:t>
      </w:r>
    </w:p>
    <w:p w14:paraId="16FB3DD5">
      <w:pPr>
        <w:spacing w:line="360" w:lineRule="auto"/>
        <w:ind w:firstLine="480" w:firstLineChars="200"/>
        <w:rPr>
          <w:bCs/>
          <w:sz w:val="24"/>
        </w:rPr>
      </w:pPr>
      <w:r>
        <w:rPr>
          <w:bCs/>
          <w:sz w:val="24"/>
        </w:rPr>
        <w:t>基金的投资组合应遵循以下限制：</w:t>
      </w:r>
    </w:p>
    <w:p w14:paraId="3F7FE53A">
      <w:pPr>
        <w:spacing w:line="360" w:lineRule="auto"/>
        <w:ind w:firstLine="480" w:firstLineChars="200"/>
        <w:rPr>
          <w:bCs/>
          <w:sz w:val="24"/>
        </w:rPr>
      </w:pPr>
      <w:r>
        <w:rPr>
          <w:rFonts w:hint="eastAsia"/>
          <w:bCs/>
          <w:sz w:val="24"/>
        </w:rPr>
        <w:t>（</w:t>
      </w:r>
      <w:r>
        <w:rPr>
          <w:bCs/>
          <w:sz w:val="24"/>
        </w:rPr>
        <w:t>1</w:t>
      </w:r>
      <w:r>
        <w:rPr>
          <w:rFonts w:hint="eastAsia"/>
          <w:bCs/>
          <w:sz w:val="24"/>
        </w:rPr>
        <w:t>）股票资产（</w:t>
      </w:r>
      <w:r>
        <w:rPr>
          <w:bCs/>
          <w:sz w:val="24"/>
        </w:rPr>
        <w:t>含存托凭证</w:t>
      </w:r>
      <w:r>
        <w:rPr>
          <w:rFonts w:hint="eastAsia"/>
          <w:bCs/>
          <w:sz w:val="24"/>
        </w:rPr>
        <w:t>）占基金资产的</w:t>
      </w:r>
      <w:r>
        <w:rPr>
          <w:bCs/>
          <w:sz w:val="24"/>
        </w:rPr>
        <w:t>50%-95%</w:t>
      </w:r>
      <w:r>
        <w:rPr>
          <w:rFonts w:hint="eastAsia"/>
          <w:bCs/>
          <w:sz w:val="24"/>
        </w:rPr>
        <w:t>，其中投资于股息优化型证券的比例不低于非现金基金资产的</w:t>
      </w:r>
      <w:r>
        <w:rPr>
          <w:bCs/>
          <w:sz w:val="24"/>
        </w:rPr>
        <w:t>80%</w:t>
      </w:r>
      <w:r>
        <w:rPr>
          <w:rFonts w:hint="eastAsia"/>
          <w:bCs/>
          <w:sz w:val="24"/>
        </w:rPr>
        <w:t>；</w:t>
      </w:r>
    </w:p>
    <w:p w14:paraId="2889BB89">
      <w:pPr>
        <w:spacing w:line="360" w:lineRule="auto"/>
        <w:ind w:firstLine="480" w:firstLineChars="200"/>
        <w:rPr>
          <w:bCs/>
          <w:sz w:val="24"/>
        </w:rPr>
      </w:pPr>
      <w:r>
        <w:rPr>
          <w:rFonts w:hint="eastAsia"/>
          <w:bCs/>
          <w:sz w:val="24"/>
        </w:rPr>
        <w:t>（</w:t>
      </w:r>
      <w:r>
        <w:rPr>
          <w:bCs/>
          <w:sz w:val="24"/>
        </w:rPr>
        <w:t>2</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后，保持不低于基金资产净值</w:t>
      </w:r>
      <w:r>
        <w:rPr>
          <w:bCs/>
          <w:sz w:val="24"/>
        </w:rPr>
        <w:t>5%</w:t>
      </w:r>
      <w:r>
        <w:rPr>
          <w:rFonts w:hint="eastAsia"/>
          <w:bCs/>
          <w:sz w:val="24"/>
        </w:rPr>
        <w:t>的现金或者到期日在一年以内的政府债券</w:t>
      </w:r>
      <w:r>
        <w:rPr>
          <w:rFonts w:hint="eastAsia" w:ascii="宋体" w:hAnsi="宋体"/>
          <w:kern w:val="0"/>
          <w:sz w:val="24"/>
        </w:rPr>
        <w:t>，其中现金不包括结算备付金、存出保证金、应收申购款等</w:t>
      </w:r>
      <w:r>
        <w:rPr>
          <w:rFonts w:hint="eastAsia"/>
          <w:bCs/>
          <w:sz w:val="24"/>
        </w:rPr>
        <w:t>；</w:t>
      </w:r>
    </w:p>
    <w:p w14:paraId="46EC4BF7">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722B0A5C">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r>
        <w:rPr>
          <w:rFonts w:hint="eastAsia"/>
          <w:bCs/>
          <w:sz w:val="24"/>
        </w:rPr>
        <w:t>%</w:t>
      </w:r>
      <w:r>
        <w:rPr>
          <w:bCs/>
          <w:sz w:val="24"/>
        </w:rPr>
        <w:t>；</w:t>
      </w:r>
    </w:p>
    <w:p w14:paraId="78395E22">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4BDD4226">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r>
        <w:rPr>
          <w:rFonts w:hint="eastAsia"/>
          <w:bCs/>
          <w:sz w:val="24"/>
        </w:rPr>
        <w:t>%</w:t>
      </w:r>
      <w:r>
        <w:rPr>
          <w:bCs/>
          <w:sz w:val="24"/>
        </w:rPr>
        <w:t>；</w:t>
      </w:r>
    </w:p>
    <w:p w14:paraId="023F9921">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5CE23AFD">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6DFDD7FF">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3E544B8C">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42E301B7">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14:paraId="19C5AABD">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4F33E5A8">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14FE456F">
      <w:pPr>
        <w:spacing w:line="360" w:lineRule="auto"/>
        <w:ind w:firstLine="480" w:firstLineChars="200"/>
        <w:rPr>
          <w:bCs/>
          <w:sz w:val="24"/>
        </w:rPr>
      </w:pPr>
      <w:bookmarkStart w:id="320" w:name="OLE_LINK66"/>
      <w:bookmarkStart w:id="321" w:name="OLE_LINK67"/>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w:t>
      </w:r>
      <w:r>
        <w:rPr>
          <w:bCs/>
          <w:sz w:val="24"/>
        </w:rPr>
        <w:t>1</w:t>
      </w:r>
      <w:r>
        <w:rPr>
          <w:rFonts w:hint="eastAsia"/>
          <w:bCs/>
          <w:sz w:val="24"/>
        </w:rPr>
        <w:t>年，债券回购到期后不得展期；</w:t>
      </w:r>
    </w:p>
    <w:bookmarkEnd w:id="320"/>
    <w:bookmarkEnd w:id="321"/>
    <w:p w14:paraId="79BA8046">
      <w:pPr>
        <w:spacing w:line="360" w:lineRule="auto"/>
        <w:ind w:firstLine="480" w:firstLineChars="200"/>
        <w:rPr>
          <w:bCs/>
          <w:sz w:val="24"/>
        </w:rPr>
      </w:pPr>
      <w:r>
        <w:rPr>
          <w:rFonts w:hint="eastAsia"/>
          <w:bCs/>
          <w:sz w:val="24"/>
        </w:rPr>
        <w:t>（</w:t>
      </w:r>
      <w:r>
        <w:rPr>
          <w:bCs/>
          <w:sz w:val="24"/>
        </w:rPr>
        <w:t>15</w:t>
      </w:r>
      <w:r>
        <w:rPr>
          <w:rFonts w:hint="eastAsia"/>
          <w:bCs/>
          <w:sz w:val="24"/>
        </w:rPr>
        <w:t>）</w:t>
      </w:r>
      <w:r>
        <w:rPr>
          <w:rFonts w:hint="eastAsia" w:ascii="宋体" w:cs="宋体"/>
          <w:color w:val="000000"/>
          <w:kern w:val="0"/>
          <w:sz w:val="24"/>
        </w:rPr>
        <w:t>当</w:t>
      </w:r>
      <w:r>
        <w:rPr>
          <w:rFonts w:hint="eastAsia"/>
          <w:bCs/>
          <w:sz w:val="24"/>
        </w:rPr>
        <w:t>本基金参与股指期货交易，则：</w:t>
      </w:r>
    </w:p>
    <w:p w14:paraId="02D7EC2E">
      <w:pPr>
        <w:spacing w:line="360" w:lineRule="auto"/>
        <w:ind w:firstLine="480" w:firstLineChars="200"/>
        <w:rPr>
          <w:bCs/>
          <w:sz w:val="24"/>
        </w:rPr>
      </w:pPr>
      <w:r>
        <w:rPr>
          <w:bCs/>
          <w:sz w:val="24"/>
        </w:rPr>
        <w:t>1</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308C3FCF">
      <w:pPr>
        <w:spacing w:line="360" w:lineRule="auto"/>
        <w:ind w:firstLine="480" w:firstLineChars="200"/>
        <w:rPr>
          <w:bCs/>
          <w:sz w:val="24"/>
        </w:rPr>
      </w:pPr>
      <w:r>
        <w:rPr>
          <w:bCs/>
          <w:sz w:val="24"/>
        </w:rPr>
        <w:t>2</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0F78AA4B">
      <w:pPr>
        <w:spacing w:line="360" w:lineRule="auto"/>
        <w:ind w:firstLine="480" w:firstLineChars="200"/>
        <w:rPr>
          <w:bCs/>
          <w:sz w:val="24"/>
        </w:rPr>
      </w:pPr>
      <w:r>
        <w:rPr>
          <w:bCs/>
          <w:sz w:val="24"/>
        </w:rPr>
        <w:t>3</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2329AB4E">
      <w:pPr>
        <w:spacing w:line="360" w:lineRule="auto"/>
        <w:ind w:firstLine="480" w:firstLineChars="200"/>
        <w:rPr>
          <w:bCs/>
          <w:sz w:val="24"/>
        </w:rPr>
      </w:pPr>
      <w:r>
        <w:rPr>
          <w:bCs/>
          <w:sz w:val="24"/>
        </w:rPr>
        <w:t>4</w:t>
      </w:r>
      <w:r>
        <w:rPr>
          <w:rFonts w:hint="eastAsia"/>
          <w:bCs/>
          <w:sz w:val="24"/>
        </w:rPr>
        <w:t>）本基金所持有的股票市值和买入、卖出股指期货合约价值，合计（轧差计算）应当符合基金合同关于股票投资比例的有关约定；</w:t>
      </w:r>
    </w:p>
    <w:p w14:paraId="109DA1AF">
      <w:pPr>
        <w:spacing w:line="360" w:lineRule="auto"/>
        <w:ind w:firstLine="480" w:firstLineChars="200"/>
        <w:rPr>
          <w:bCs/>
          <w:sz w:val="24"/>
        </w:rPr>
      </w:pPr>
      <w:r>
        <w:rPr>
          <w:bCs/>
          <w:sz w:val="24"/>
        </w:rPr>
        <w:t>5</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0A5081F5">
      <w:pPr>
        <w:spacing w:line="360" w:lineRule="auto"/>
        <w:ind w:firstLine="480" w:firstLineChars="200"/>
        <w:rPr>
          <w:bCs/>
          <w:sz w:val="24"/>
        </w:rPr>
      </w:pPr>
      <w:r>
        <w:rPr>
          <w:rFonts w:hint="eastAsia"/>
          <w:bCs/>
          <w:sz w:val="24"/>
        </w:rPr>
        <w:t>（16）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4D963D24">
      <w:pPr>
        <w:spacing w:line="360" w:lineRule="auto"/>
        <w:ind w:firstLine="480" w:firstLineChars="200"/>
        <w:rPr>
          <w:bCs/>
          <w:sz w:val="24"/>
        </w:rPr>
      </w:pPr>
      <w:r>
        <w:rPr>
          <w:rFonts w:hint="eastAsia"/>
          <w:bCs/>
          <w:sz w:val="24"/>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17B45D35">
      <w:pPr>
        <w:spacing w:line="360" w:lineRule="auto"/>
        <w:ind w:firstLine="480" w:firstLineChars="200"/>
        <w:rPr>
          <w:bCs/>
          <w:sz w:val="24"/>
        </w:rPr>
      </w:pPr>
      <w:r>
        <w:rPr>
          <w:rFonts w:hint="eastAsia"/>
          <w:bCs/>
          <w:sz w:val="24"/>
        </w:rPr>
        <w:t>（18）本基金与私募类证券资管产品及中国证监会认定的其他主体为交易对手开展逆回购交易的，可接受质押品的资质要求应当与基金合同约定的投资范围保持一致；</w:t>
      </w:r>
    </w:p>
    <w:p w14:paraId="7D686688">
      <w:pPr>
        <w:spacing w:line="360" w:lineRule="auto"/>
        <w:ind w:firstLine="480" w:firstLineChars="200"/>
        <w:rPr>
          <w:bCs/>
          <w:sz w:val="24"/>
        </w:rPr>
      </w:pPr>
      <w:r>
        <w:rPr>
          <w:bCs/>
          <w:sz w:val="24"/>
        </w:rPr>
        <w:t>（</w:t>
      </w:r>
      <w:r>
        <w:rPr>
          <w:rFonts w:hint="eastAsia"/>
          <w:bCs/>
          <w:sz w:val="24"/>
        </w:rPr>
        <w:t>19</w:t>
      </w:r>
      <w:r>
        <w:rPr>
          <w:bCs/>
          <w:sz w:val="24"/>
        </w:rPr>
        <w:t>）本基金的基金资产总值不得超过基金资产净值的140%；</w:t>
      </w:r>
    </w:p>
    <w:p w14:paraId="29327D06">
      <w:pPr>
        <w:spacing w:line="360" w:lineRule="auto"/>
        <w:ind w:firstLine="480" w:firstLineChars="200"/>
        <w:rPr>
          <w:bCs/>
          <w:sz w:val="24"/>
        </w:rPr>
      </w:pPr>
      <w:r>
        <w:rPr>
          <w:rFonts w:hint="eastAsia"/>
          <w:bCs/>
          <w:sz w:val="24"/>
        </w:rPr>
        <w:t>（20）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14:paraId="7802D0AA">
      <w:pPr>
        <w:spacing w:line="360" w:lineRule="auto"/>
        <w:ind w:firstLine="480" w:firstLineChars="200"/>
        <w:rPr>
          <w:bCs/>
          <w:sz w:val="24"/>
        </w:rPr>
      </w:pPr>
      <w:r>
        <w:rPr>
          <w:bCs/>
          <w:sz w:val="24"/>
        </w:rPr>
        <w:t>（</w:t>
      </w:r>
      <w:r>
        <w:rPr>
          <w:rFonts w:hint="eastAsia"/>
          <w:bCs/>
          <w:sz w:val="24"/>
        </w:rPr>
        <w:t>21</w:t>
      </w:r>
      <w:r>
        <w:rPr>
          <w:bCs/>
          <w:sz w:val="24"/>
        </w:rPr>
        <w:t>）</w:t>
      </w:r>
      <w:r>
        <w:rPr>
          <w:rFonts w:hint="eastAsia"/>
          <w:bCs/>
          <w:sz w:val="24"/>
        </w:rPr>
        <w:t>本基金投资存托凭证的比例限制依照境内上市交易的股票执行；</w:t>
      </w:r>
    </w:p>
    <w:p w14:paraId="10F30E59">
      <w:pPr>
        <w:spacing w:line="360" w:lineRule="auto"/>
        <w:ind w:firstLine="480" w:firstLineChars="200"/>
        <w:rPr>
          <w:bCs/>
          <w:sz w:val="24"/>
        </w:rPr>
      </w:pPr>
      <w:r>
        <w:rPr>
          <w:bCs/>
          <w:sz w:val="24"/>
        </w:rPr>
        <w:t>（</w:t>
      </w:r>
      <w:r>
        <w:rPr>
          <w:rFonts w:hint="eastAsia"/>
          <w:bCs/>
          <w:sz w:val="24"/>
        </w:rPr>
        <w:t>2</w:t>
      </w:r>
      <w:r>
        <w:rPr>
          <w:bCs/>
          <w:sz w:val="24"/>
        </w:rPr>
        <w:t>2）</w:t>
      </w:r>
      <w:r>
        <w:rPr>
          <w:rFonts w:hint="eastAsia"/>
          <w:bCs/>
          <w:sz w:val="24"/>
        </w:rPr>
        <w:t>法律法规及中国证监会规定的和《基金合同》约定的其他投资限制。</w:t>
      </w:r>
    </w:p>
    <w:p w14:paraId="577A2487">
      <w:pPr>
        <w:spacing w:line="360" w:lineRule="auto"/>
        <w:ind w:firstLine="480" w:firstLineChars="200"/>
        <w:rPr>
          <w:bCs/>
        </w:rPr>
      </w:pPr>
      <w:r>
        <w:rPr>
          <w:rFonts w:hint="eastAsia"/>
          <w:bCs/>
          <w:sz w:val="24"/>
        </w:rPr>
        <w:t>除上述第（2）、（12）、（1</w:t>
      </w:r>
      <w:r>
        <w:rPr>
          <w:bCs/>
          <w:sz w:val="24"/>
        </w:rPr>
        <w:t>7</w:t>
      </w:r>
      <w:r>
        <w:rPr>
          <w:rFonts w:hint="eastAsia"/>
          <w:bCs/>
          <w:sz w:val="24"/>
        </w:rPr>
        <w:t>）、（1</w:t>
      </w:r>
      <w:r>
        <w:rPr>
          <w:bCs/>
          <w:sz w:val="24"/>
        </w:rPr>
        <w:t>8</w:t>
      </w:r>
      <w:r>
        <w:rPr>
          <w:rFonts w:hint="eastAsia"/>
          <w:bCs/>
          <w:sz w:val="24"/>
        </w:rPr>
        <w:t>）项以外，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w:t>
      </w:r>
      <w:r>
        <w:rPr>
          <w:rFonts w:hint="eastAsia"/>
          <w:bCs/>
          <w:sz w:val="24"/>
        </w:rPr>
        <w:t>或</w:t>
      </w:r>
      <w:r>
        <w:rPr>
          <w:bCs/>
          <w:sz w:val="24"/>
        </w:rPr>
        <w:t>基金规模变动等基金管理人之外的因素致使基金投资比例不符合上述规定投资比例的，基金管理人应当在10个交易日内进行调整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03D831BA">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w:t>
      </w:r>
    </w:p>
    <w:p w14:paraId="17F86884">
      <w:pPr>
        <w:spacing w:line="360" w:lineRule="auto"/>
        <w:ind w:firstLine="480" w:firstLineChars="200"/>
        <w:rPr>
          <w:bCs/>
          <w:sz w:val="24"/>
        </w:rPr>
      </w:pPr>
      <w:r>
        <w:rPr>
          <w:rFonts w:hint="eastAsia"/>
          <w:bCs/>
          <w:sz w:val="24"/>
        </w:rPr>
        <w:t>法律法规对上述投资组合比例限制进行变更的，以变更后的规定为准。</w:t>
      </w:r>
      <w:r>
        <w:rPr>
          <w:bCs/>
          <w:sz w:val="24"/>
        </w:rPr>
        <w:t>法律法规或监管部门取消上述限制，如适用于本基金，基金管理人</w:t>
      </w:r>
      <w:r>
        <w:rPr>
          <w:rFonts w:hint="eastAsia"/>
          <w:bCs/>
          <w:sz w:val="24"/>
        </w:rPr>
        <w:t>在</w:t>
      </w:r>
      <w:r>
        <w:rPr>
          <w:bCs/>
          <w:sz w:val="24"/>
        </w:rPr>
        <w:t>履行适当程序后，则本基金投资</w:t>
      </w:r>
      <w:r>
        <w:rPr>
          <w:rFonts w:hint="eastAsia"/>
          <w:bCs/>
          <w:sz w:val="24"/>
        </w:rPr>
        <w:t>不再受相关限制</w:t>
      </w:r>
      <w:r>
        <w:rPr>
          <w:bCs/>
          <w:sz w:val="24"/>
        </w:rPr>
        <w:t>。</w:t>
      </w:r>
    </w:p>
    <w:p w14:paraId="2FCE4F6B">
      <w:pPr>
        <w:spacing w:line="360" w:lineRule="auto"/>
        <w:ind w:firstLine="480" w:firstLineChars="200"/>
        <w:rPr>
          <w:bCs/>
          <w:sz w:val="24"/>
        </w:rPr>
      </w:pPr>
      <w:r>
        <w:rPr>
          <w:bCs/>
          <w:sz w:val="24"/>
        </w:rPr>
        <w:t>2</w:t>
      </w:r>
      <w:r>
        <w:rPr>
          <w:rFonts w:hint="eastAsia"/>
          <w:bCs/>
          <w:sz w:val="24"/>
        </w:rPr>
        <w:t>、</w:t>
      </w:r>
      <w:r>
        <w:rPr>
          <w:bCs/>
          <w:sz w:val="24"/>
        </w:rPr>
        <w:t>禁止行为</w:t>
      </w:r>
    </w:p>
    <w:p w14:paraId="18C98FF1">
      <w:pPr>
        <w:spacing w:line="360" w:lineRule="auto"/>
        <w:ind w:firstLine="480" w:firstLineChars="200"/>
        <w:rPr>
          <w:bCs/>
          <w:sz w:val="24"/>
        </w:rPr>
      </w:pPr>
      <w:r>
        <w:rPr>
          <w:bCs/>
          <w:sz w:val="24"/>
        </w:rPr>
        <w:t>为维护基金份额持有人的合法权益，基金财产不得用于下列投资或者活动：</w:t>
      </w:r>
    </w:p>
    <w:p w14:paraId="07A3E2C0">
      <w:pPr>
        <w:spacing w:line="360" w:lineRule="auto"/>
        <w:ind w:firstLine="480" w:firstLineChars="200"/>
        <w:rPr>
          <w:bCs/>
          <w:sz w:val="24"/>
        </w:rPr>
      </w:pPr>
      <w:r>
        <w:rPr>
          <w:bCs/>
          <w:sz w:val="24"/>
        </w:rPr>
        <w:t>（1）承销证券；</w:t>
      </w:r>
    </w:p>
    <w:p w14:paraId="353E9D31">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3E21388B">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1B82FAE0">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0ADF16B4">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2B76BB21">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04F59C43">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5D785D73">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6DA5FDEF">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w:t>
      </w:r>
      <w:r>
        <w:rPr>
          <w:bCs/>
          <w:sz w:val="24"/>
        </w:rPr>
        <w:t>份额</w:t>
      </w:r>
      <w:r>
        <w:rPr>
          <w:rFonts w:hint="eastAsia"/>
          <w:bCs/>
          <w:sz w:val="24"/>
        </w:rPr>
        <w:t>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40BAF04">
      <w:pPr>
        <w:spacing w:line="360" w:lineRule="auto"/>
        <w:ind w:firstLine="480" w:firstLineChars="200"/>
        <w:rPr>
          <w:bCs/>
          <w:sz w:val="24"/>
        </w:rPr>
      </w:pPr>
      <w:r>
        <w:rPr>
          <w:rFonts w:hint="eastAsia"/>
          <w:bCs/>
          <w:sz w:val="24"/>
        </w:rPr>
        <w:t>五、业绩比较基准</w:t>
      </w:r>
    </w:p>
    <w:p w14:paraId="22327E92">
      <w:pPr>
        <w:spacing w:line="360" w:lineRule="auto"/>
        <w:ind w:firstLine="480" w:firstLineChars="200"/>
        <w:rPr>
          <w:rFonts w:hint="eastAsia"/>
          <w:bCs/>
          <w:sz w:val="24"/>
        </w:rPr>
      </w:pPr>
      <w:r>
        <w:rPr>
          <w:rFonts w:hint="eastAsia"/>
          <w:bCs/>
          <w:sz w:val="24"/>
        </w:rPr>
        <w:t>本基金业绩比较基准：中证高股息精选指数收益率×90%+中债-国债总财富（1-3年）指数收益率×10%</w:t>
      </w:r>
    </w:p>
    <w:p w14:paraId="61719A69">
      <w:pPr>
        <w:spacing w:line="360" w:lineRule="auto"/>
        <w:ind w:firstLine="480" w:firstLineChars="200"/>
        <w:rPr>
          <w:rFonts w:hint="eastAsia"/>
          <w:bCs/>
          <w:sz w:val="24"/>
        </w:rPr>
      </w:pPr>
      <w:r>
        <w:rPr>
          <w:rFonts w:hint="eastAsia"/>
          <w:bCs/>
          <w:sz w:val="24"/>
        </w:rPr>
        <w:t>1、业绩比较基准设定的原因</w:t>
      </w:r>
    </w:p>
    <w:p w14:paraId="0F4E034E">
      <w:pPr>
        <w:spacing w:line="360" w:lineRule="auto"/>
        <w:ind w:firstLine="480" w:firstLineChars="200"/>
        <w:rPr>
          <w:rFonts w:hint="eastAsia"/>
          <w:bCs/>
          <w:sz w:val="24"/>
        </w:rPr>
      </w:pPr>
      <w:r>
        <w:rPr>
          <w:rFonts w:hint="eastAsia"/>
          <w:bCs/>
          <w:sz w:val="24"/>
        </w:rPr>
        <w:t>（1）基于基金投资范围以及预期投资的主要资产类别，本基金主要投资于股票、债券等资产，相应选取与之匹配的股票指数与债券指数作为基准要素；同时基于基金投资股票资产（含存托凭证）占基金资产的比例为50%-95%、投资于股息优化型证券的比例不低于非现金基金资产的80%等投资比例限制，以及预期的资产配置比例，本基金将股票资产与债券资产所对应的基准要素权重分别设置为90%与10%。</w:t>
      </w:r>
    </w:p>
    <w:p w14:paraId="0D69B584">
      <w:pPr>
        <w:spacing w:line="360" w:lineRule="auto"/>
        <w:ind w:firstLine="480" w:firstLineChars="200"/>
        <w:rPr>
          <w:rFonts w:hint="eastAsia"/>
          <w:bCs/>
          <w:sz w:val="24"/>
        </w:rPr>
      </w:pPr>
      <w:r>
        <w:rPr>
          <w:rFonts w:hint="eastAsia"/>
          <w:bCs/>
          <w:sz w:val="24"/>
        </w:rPr>
        <w:t>（2）基于基金投资目标、投资范围和投资策略，本基金的股票资产主要投向股息优化主题相关公司，并在相关领域中精选在公司治理、财务及管理品质上符合基本品质要求、估值具有吸引力的优质公司，从而力争在控制风险的基础上追求超越业绩比较基准的投资回报。综合考虑基准指数与产品定位、投资风格与主题库的匹配度，同时兼顾考虑基准指数的表征性、认可度，以及指数主题界定、市值覆盖、行业与个股分布等，本基金选取中证高股息精选指数作为股票部分的基准要素，具体情况如下：</w:t>
      </w:r>
    </w:p>
    <w:p w14:paraId="20CBBCAF">
      <w:pPr>
        <w:spacing w:line="360" w:lineRule="auto"/>
        <w:ind w:firstLine="480" w:firstLineChars="200"/>
        <w:rPr>
          <w:rFonts w:hint="eastAsia"/>
          <w:bCs/>
          <w:sz w:val="24"/>
        </w:rPr>
      </w:pPr>
      <w:r>
        <w:rPr>
          <w:rFonts w:hint="eastAsia"/>
          <w:bCs/>
          <w:sz w:val="24"/>
        </w:rPr>
        <w:t>中证高股息精选指数选取100只流动性好、连续分红、股息率高、盈利持续且具有成长性的上市公司证券作为指数样本，采用股息率加权，以反映高股息相关上市公司证券的整体表现，适合作为本基金股票部分的业绩比较基准要素。</w:t>
      </w:r>
    </w:p>
    <w:p w14:paraId="292BEAD2">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3F948FA9">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50934B61">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7ABB96F8">
      <w:pPr>
        <w:spacing w:line="360" w:lineRule="auto"/>
        <w:ind w:firstLine="480" w:firstLineChars="200"/>
        <w:rPr>
          <w:rFonts w:hint="eastAsia"/>
          <w:bCs/>
          <w:sz w:val="24"/>
        </w:rPr>
      </w:pPr>
      <w:r>
        <w:rPr>
          <w:rFonts w:hint="eastAsia"/>
          <w:bCs/>
          <w:sz w:val="24"/>
        </w:rPr>
        <w:t>2、业绩比较基准要素的基本信息</w:t>
      </w:r>
    </w:p>
    <w:p w14:paraId="15D81245">
      <w:pPr>
        <w:spacing w:line="360" w:lineRule="auto"/>
        <w:ind w:firstLine="480" w:firstLineChars="200"/>
        <w:rPr>
          <w:rFonts w:hint="eastAsia"/>
          <w:bCs/>
          <w:sz w:val="24"/>
        </w:rPr>
      </w:pPr>
      <w:r>
        <w:rPr>
          <w:rFonts w:hint="eastAsia"/>
          <w:bCs/>
          <w:sz w:val="24"/>
        </w:rPr>
        <w:t>中证高股息精选指数由中证指数有限公司编制发布，指数代码为930838，指数具体信息详见中证指数有限公司网站，网址：www.csindex.com.cn。</w:t>
      </w:r>
    </w:p>
    <w:p w14:paraId="1E62B4E4">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37A0A335">
      <w:pPr>
        <w:spacing w:line="360" w:lineRule="auto"/>
        <w:ind w:firstLine="480" w:firstLineChars="200"/>
        <w:rPr>
          <w:rFonts w:hint="eastAsia"/>
          <w:bCs/>
          <w:sz w:val="24"/>
        </w:rPr>
      </w:pPr>
      <w:r>
        <w:rPr>
          <w:rFonts w:hint="eastAsia"/>
          <w:bCs/>
          <w:sz w:val="24"/>
        </w:rPr>
        <w:t>3、业绩比较基准的计算方法</w:t>
      </w:r>
    </w:p>
    <w:p w14:paraId="2F4C92CF">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证高股息精选指数、中债-国债总财富（1-3年）指数的每日收益率，再按照预设权重比例计算当日组合要素基准的日收益率，并连乘每日收益率。</w:t>
      </w:r>
    </w:p>
    <w:p w14:paraId="507FBB49">
      <w:pPr>
        <w:spacing w:line="360" w:lineRule="auto"/>
        <w:ind w:firstLine="480" w:firstLineChars="200"/>
        <w:rPr>
          <w:rFonts w:hint="eastAsia"/>
          <w:bCs/>
          <w:sz w:val="24"/>
        </w:rPr>
      </w:pPr>
      <w:r>
        <w:rPr>
          <w:rFonts w:hint="eastAsia"/>
          <w:bCs/>
          <w:sz w:val="24"/>
        </w:rPr>
        <w:t>4、管理投资偏离业绩比较基准的定性或定量方法</w:t>
      </w:r>
    </w:p>
    <w:p w14:paraId="2B424CEE">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保持主要配置股息优化型主题的上市公司，从而力争在控制风险的基础上追求超越业绩比较基准的投资回报。</w:t>
      </w:r>
    </w:p>
    <w:p w14:paraId="31B2428C">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64EBC9C5">
      <w:pPr>
        <w:spacing w:line="360" w:lineRule="auto"/>
        <w:ind w:firstLine="480" w:firstLineChars="200"/>
        <w:rPr>
          <w:rFonts w:hint="eastAsia"/>
          <w:bCs/>
          <w:sz w:val="24"/>
        </w:rPr>
      </w:pPr>
      <w:r>
        <w:rPr>
          <w:rFonts w:hint="eastAsia"/>
          <w:bCs/>
          <w:sz w:val="24"/>
        </w:rPr>
        <w:t>5、未来可能变更业绩比较基准的情况和程序</w:t>
      </w:r>
    </w:p>
    <w:p w14:paraId="35842C59">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52E82801">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08AAB343">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0980AF7F">
      <w:pPr>
        <w:spacing w:line="360" w:lineRule="auto"/>
        <w:ind w:firstLine="480" w:firstLineChars="200"/>
        <w:rPr>
          <w:rFonts w:hint="eastAsia"/>
          <w:bCs/>
          <w:sz w:val="24"/>
        </w:rPr>
      </w:pPr>
      <w:r>
        <w:rPr>
          <w:rFonts w:hint="eastAsia"/>
          <w:bCs/>
          <w:sz w:val="24"/>
        </w:rPr>
        <w:t>（3）中国证监会认可的其他情形。</w:t>
      </w:r>
    </w:p>
    <w:p w14:paraId="5AAE4496">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6F349364">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53C4542B">
      <w:pPr>
        <w:spacing w:line="360" w:lineRule="auto"/>
        <w:ind w:firstLine="480" w:firstLineChars="200"/>
        <w:rPr>
          <w:bCs/>
          <w:sz w:val="24"/>
        </w:rPr>
      </w:pPr>
      <w:r>
        <w:rPr>
          <w:rFonts w:hint="eastAsia"/>
          <w:bCs/>
          <w:sz w:val="24"/>
        </w:rPr>
        <w:t>（2）其他对基金份额持有人利益产生重大实质性影响的情形。</w:t>
      </w:r>
    </w:p>
    <w:p w14:paraId="2DDDE63D">
      <w:pPr>
        <w:spacing w:line="360" w:lineRule="auto"/>
        <w:ind w:firstLine="480" w:firstLineChars="200"/>
        <w:rPr>
          <w:bCs/>
          <w:sz w:val="24"/>
        </w:rPr>
      </w:pPr>
      <w:r>
        <w:rPr>
          <w:bCs/>
          <w:sz w:val="24"/>
        </w:rPr>
        <w:t>六、风险收益特征</w:t>
      </w:r>
    </w:p>
    <w:p w14:paraId="34D68C3A">
      <w:pPr>
        <w:spacing w:line="360" w:lineRule="auto"/>
        <w:ind w:firstLine="480" w:firstLineChars="200"/>
        <w:rPr>
          <w:rFonts w:hAnsi="宋体"/>
          <w:sz w:val="24"/>
          <w:szCs w:val="24"/>
          <w:u w:val="single"/>
        </w:rPr>
      </w:pPr>
      <w:r>
        <w:rPr>
          <w:rFonts w:hAnsi="宋体"/>
          <w:sz w:val="24"/>
          <w:szCs w:val="24"/>
        </w:rPr>
        <w:t>本基金是一只混合型基金，其风险和预期收益高于债券型基金和货币市场基金，低于股票型基金</w:t>
      </w:r>
      <w:r>
        <w:rPr>
          <w:rFonts w:hint="eastAsia" w:hAnsi="宋体"/>
          <w:sz w:val="24"/>
          <w:szCs w:val="24"/>
        </w:rPr>
        <w:t>，属于承担较高风险、预期收益较高的证券投资基金品种。</w:t>
      </w:r>
    </w:p>
    <w:p w14:paraId="25CE4D49">
      <w:pPr>
        <w:spacing w:line="360" w:lineRule="auto"/>
        <w:ind w:firstLine="480" w:firstLineChars="200"/>
        <w:rPr>
          <w:bCs/>
          <w:sz w:val="24"/>
        </w:rPr>
      </w:pPr>
    </w:p>
    <w:p w14:paraId="7677B68B">
      <w:pPr>
        <w:pStyle w:val="2"/>
        <w:spacing w:before="0" w:after="0"/>
        <w:jc w:val="center"/>
        <w:rPr>
          <w:rFonts w:ascii="Times New Roman"/>
          <w:color w:val="auto"/>
          <w:sz w:val="30"/>
        </w:rPr>
      </w:pPr>
      <w:r>
        <w:rPr>
          <w:rFonts w:ascii="Times New Roman"/>
          <w:b w:val="0"/>
          <w:bCs/>
          <w:color w:val="auto"/>
          <w:kern w:val="44"/>
          <w:sz w:val="21"/>
        </w:rPr>
        <w:br w:type="page"/>
      </w:r>
      <w:bookmarkStart w:id="322" w:name="_Toc92662704"/>
      <w:bookmarkStart w:id="323" w:name="_Toc93226145"/>
      <w:bookmarkStart w:id="324" w:name="_Toc29561"/>
      <w:bookmarkStart w:id="325" w:name="_Toc20102"/>
      <w:bookmarkStart w:id="326" w:name="_Toc31611"/>
      <w:bookmarkStart w:id="327" w:name="_Toc18000"/>
      <w:bookmarkStart w:id="328" w:name="_Toc32030"/>
      <w:bookmarkStart w:id="329" w:name="_Toc20782"/>
      <w:bookmarkStart w:id="330" w:name="_Toc128310496"/>
      <w:bookmarkStart w:id="331" w:name="_Toc24474"/>
      <w:bookmarkStart w:id="332" w:name="_Toc26114"/>
      <w:bookmarkStart w:id="333" w:name="_Toc425241715"/>
      <w:bookmarkStart w:id="334" w:name="_Toc3054"/>
      <w:bookmarkStart w:id="335" w:name="_Toc139991743"/>
      <w:bookmarkStart w:id="336" w:name="_Toc21642"/>
      <w:bookmarkStart w:id="337" w:name="_Toc141703893"/>
      <w:r>
        <w:rPr>
          <w:rFonts w:ascii="Times New Roman"/>
          <w:color w:val="auto"/>
          <w:sz w:val="30"/>
        </w:rPr>
        <w:t>第十三部分基金</w:t>
      </w:r>
      <w:bookmarkEnd w:id="322"/>
      <w:bookmarkEnd w:id="323"/>
      <w:r>
        <w:rPr>
          <w:rFonts w:ascii="Times New Roman"/>
          <w:color w:val="auto"/>
          <w:sz w:val="30"/>
        </w:rPr>
        <w:t>的财产</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9A2E835">
      <w:pPr>
        <w:spacing w:line="360" w:lineRule="auto"/>
        <w:ind w:firstLine="480" w:firstLineChars="200"/>
        <w:rPr>
          <w:bCs/>
          <w:sz w:val="24"/>
        </w:rPr>
      </w:pPr>
    </w:p>
    <w:p w14:paraId="29B320E2">
      <w:pPr>
        <w:spacing w:line="360" w:lineRule="auto"/>
        <w:ind w:firstLine="480" w:firstLineChars="200"/>
        <w:rPr>
          <w:bCs/>
          <w:sz w:val="24"/>
        </w:rPr>
      </w:pPr>
      <w:r>
        <w:rPr>
          <w:bCs/>
          <w:sz w:val="24"/>
        </w:rPr>
        <w:t>一、基金资产总值</w:t>
      </w:r>
    </w:p>
    <w:p w14:paraId="58013998">
      <w:pPr>
        <w:spacing w:line="360" w:lineRule="auto"/>
        <w:ind w:firstLine="480" w:firstLineChars="200"/>
        <w:rPr>
          <w:bCs/>
          <w:sz w:val="24"/>
        </w:rPr>
      </w:pPr>
      <w:r>
        <w:rPr>
          <w:bCs/>
          <w:sz w:val="24"/>
        </w:rPr>
        <w:t>基金资产总值是指</w:t>
      </w:r>
      <w:r>
        <w:rPr>
          <w:rFonts w:hint="eastAsia"/>
          <w:bCs/>
          <w:sz w:val="24"/>
        </w:rPr>
        <w:t>基金拥有的各类有价证券、股指期货合约、银行存款本息、基金应收申购款及其他资产的价值总和</w:t>
      </w:r>
      <w:r>
        <w:rPr>
          <w:bCs/>
          <w:sz w:val="24"/>
        </w:rPr>
        <w:t>。</w:t>
      </w:r>
    </w:p>
    <w:p w14:paraId="420B5E9A">
      <w:pPr>
        <w:spacing w:line="360" w:lineRule="auto"/>
        <w:ind w:firstLine="480" w:firstLineChars="200"/>
        <w:rPr>
          <w:bCs/>
          <w:sz w:val="24"/>
        </w:rPr>
      </w:pPr>
      <w:r>
        <w:rPr>
          <w:bCs/>
          <w:sz w:val="24"/>
        </w:rPr>
        <w:t>二、基金资产净值</w:t>
      </w:r>
    </w:p>
    <w:p w14:paraId="49390061">
      <w:pPr>
        <w:spacing w:line="360" w:lineRule="auto"/>
        <w:ind w:firstLine="480" w:firstLineChars="200"/>
        <w:rPr>
          <w:bCs/>
          <w:sz w:val="24"/>
        </w:rPr>
      </w:pPr>
      <w:r>
        <w:rPr>
          <w:bCs/>
          <w:sz w:val="24"/>
        </w:rPr>
        <w:t>基金资产净值是指基金资产总值减去基金负债后的价值。</w:t>
      </w:r>
    </w:p>
    <w:p w14:paraId="2AD05930">
      <w:pPr>
        <w:spacing w:line="360" w:lineRule="auto"/>
        <w:ind w:firstLine="480" w:firstLineChars="200"/>
        <w:rPr>
          <w:bCs/>
          <w:sz w:val="24"/>
        </w:rPr>
      </w:pPr>
      <w:r>
        <w:rPr>
          <w:bCs/>
          <w:sz w:val="24"/>
        </w:rPr>
        <w:t>三、基金财产的账户</w:t>
      </w:r>
    </w:p>
    <w:p w14:paraId="15FA5903">
      <w:pPr>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账户，协助开立股指期货业务相关账户及交易编码</w:t>
      </w:r>
      <w:r>
        <w:rPr>
          <w:bCs/>
          <w:sz w:val="24"/>
        </w:rPr>
        <w:t>。开立的基金专用账户与基金管理人、基金托管人、基金销售机构和基金登记机构自有的财产账户以及其他基金财产账户相独立。</w:t>
      </w:r>
      <w:bookmarkStart w:id="338" w:name="_Hlt88841837"/>
      <w:bookmarkEnd w:id="338"/>
    </w:p>
    <w:p w14:paraId="40358202">
      <w:pPr>
        <w:spacing w:line="360" w:lineRule="auto"/>
        <w:ind w:firstLine="480" w:firstLineChars="200"/>
        <w:rPr>
          <w:bCs/>
          <w:sz w:val="24"/>
        </w:rPr>
      </w:pPr>
      <w:r>
        <w:rPr>
          <w:bCs/>
          <w:sz w:val="24"/>
        </w:rPr>
        <w:t>四、基金财产的保管和处分</w:t>
      </w:r>
      <w:bookmarkStart w:id="339" w:name="_Hlt88900062"/>
      <w:bookmarkEnd w:id="339"/>
    </w:p>
    <w:p w14:paraId="5FC97039">
      <w:pPr>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4DE33151">
      <w:pPr>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14:paraId="1FE7DEDF">
      <w:pPr>
        <w:pStyle w:val="2"/>
        <w:spacing w:before="0" w:after="0"/>
        <w:jc w:val="center"/>
        <w:rPr>
          <w:rFonts w:ascii="Times New Roman"/>
          <w:color w:val="auto"/>
          <w:sz w:val="30"/>
        </w:rPr>
      </w:pPr>
      <w:r>
        <w:rPr>
          <w:rFonts w:ascii="Times New Roman"/>
          <w:b w:val="0"/>
          <w:bCs/>
          <w:color w:val="auto"/>
          <w:kern w:val="44"/>
          <w:sz w:val="21"/>
        </w:rPr>
        <w:br w:type="page"/>
      </w:r>
      <w:bookmarkStart w:id="340" w:name="_Toc27832"/>
      <w:bookmarkStart w:id="341" w:name="_Toc7802"/>
      <w:bookmarkStart w:id="342" w:name="_Toc19714"/>
      <w:bookmarkStart w:id="343" w:name="_Toc871"/>
      <w:bookmarkStart w:id="344" w:name="_Toc17782"/>
      <w:bookmarkStart w:id="345" w:name="_Toc425241716"/>
      <w:bookmarkStart w:id="346" w:name="_Toc31917"/>
      <w:bookmarkStart w:id="347" w:name="_Toc139991744"/>
      <w:bookmarkStart w:id="348" w:name="_Toc141703894"/>
      <w:r>
        <w:rPr>
          <w:rFonts w:ascii="Times New Roman"/>
          <w:color w:val="auto"/>
          <w:sz w:val="30"/>
        </w:rPr>
        <w:t>第十四部分基金资产估值</w:t>
      </w:r>
      <w:bookmarkEnd w:id="340"/>
      <w:bookmarkEnd w:id="341"/>
      <w:bookmarkEnd w:id="342"/>
      <w:bookmarkEnd w:id="343"/>
      <w:bookmarkEnd w:id="344"/>
      <w:bookmarkEnd w:id="345"/>
      <w:bookmarkEnd w:id="346"/>
    </w:p>
    <w:p w14:paraId="1D5DE0D0">
      <w:pPr>
        <w:spacing w:line="360" w:lineRule="auto"/>
        <w:ind w:firstLine="480" w:firstLineChars="200"/>
        <w:rPr>
          <w:bCs/>
          <w:sz w:val="24"/>
        </w:rPr>
      </w:pPr>
    </w:p>
    <w:bookmarkEnd w:id="347"/>
    <w:bookmarkEnd w:id="348"/>
    <w:p w14:paraId="35865033">
      <w:pPr>
        <w:spacing w:line="360" w:lineRule="auto"/>
        <w:ind w:firstLine="480" w:firstLineChars="200"/>
        <w:rPr>
          <w:bCs/>
          <w:sz w:val="24"/>
        </w:rPr>
      </w:pPr>
      <w:bookmarkStart w:id="349" w:name="_Toc141703895"/>
      <w:bookmarkStart w:id="350" w:name="_Toc139991745"/>
      <w:bookmarkStart w:id="351" w:name="_Toc32046"/>
      <w:r>
        <w:rPr>
          <w:bCs/>
          <w:sz w:val="24"/>
        </w:rPr>
        <w:t>一、估值日</w:t>
      </w:r>
    </w:p>
    <w:p w14:paraId="7CBF76B0">
      <w:pPr>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14:paraId="583926B0">
      <w:pPr>
        <w:spacing w:line="360" w:lineRule="auto"/>
        <w:ind w:firstLine="480" w:firstLineChars="200"/>
        <w:rPr>
          <w:bCs/>
          <w:sz w:val="24"/>
        </w:rPr>
      </w:pPr>
      <w:r>
        <w:rPr>
          <w:bCs/>
          <w:sz w:val="24"/>
        </w:rPr>
        <w:t>二、估值对象</w:t>
      </w:r>
    </w:p>
    <w:p w14:paraId="238E0562">
      <w:pPr>
        <w:spacing w:line="360" w:lineRule="auto"/>
        <w:ind w:firstLine="480" w:firstLineChars="200"/>
        <w:rPr>
          <w:bCs/>
          <w:sz w:val="24"/>
        </w:rPr>
      </w:pPr>
      <w:r>
        <w:rPr>
          <w:bCs/>
          <w:sz w:val="24"/>
        </w:rPr>
        <w:t>基金所拥有的</w:t>
      </w:r>
      <w:r>
        <w:rPr>
          <w:rFonts w:hint="eastAsia"/>
          <w:bCs/>
          <w:sz w:val="24"/>
        </w:rPr>
        <w:t>股票、债券、衍生工具和其它投资等持续以公允价值计量的金融资产及负债</w:t>
      </w:r>
      <w:r>
        <w:rPr>
          <w:bCs/>
          <w:sz w:val="24"/>
        </w:rPr>
        <w:t>。</w:t>
      </w:r>
    </w:p>
    <w:p w14:paraId="1A71331B">
      <w:pPr>
        <w:spacing w:line="360" w:lineRule="auto"/>
        <w:ind w:firstLine="480" w:firstLineChars="200"/>
        <w:rPr>
          <w:bCs/>
          <w:sz w:val="24"/>
        </w:rPr>
      </w:pPr>
      <w:r>
        <w:rPr>
          <w:rFonts w:hint="eastAsia"/>
          <w:bCs/>
          <w:sz w:val="24"/>
        </w:rPr>
        <w:t>三、估值方法</w:t>
      </w:r>
    </w:p>
    <w:p w14:paraId="03C2569F">
      <w:pPr>
        <w:spacing w:line="360" w:lineRule="auto"/>
        <w:ind w:firstLine="480" w:firstLineChars="200"/>
        <w:rPr>
          <w:bCs/>
          <w:sz w:val="24"/>
        </w:rPr>
      </w:pPr>
      <w:r>
        <w:rPr>
          <w:rFonts w:hint="eastAsia"/>
          <w:bCs/>
          <w:sz w:val="24"/>
        </w:rPr>
        <w:t>本基金所持有的投资品种，按如下原则进行估值：</w:t>
      </w:r>
    </w:p>
    <w:p w14:paraId="5181D3FF">
      <w:pPr>
        <w:spacing w:line="360" w:lineRule="auto"/>
        <w:ind w:firstLine="480" w:firstLineChars="200"/>
        <w:rPr>
          <w:bCs/>
          <w:sz w:val="24"/>
        </w:rPr>
      </w:pPr>
      <w:r>
        <w:rPr>
          <w:rFonts w:hint="eastAsia"/>
          <w:bCs/>
          <w:sz w:val="24"/>
        </w:rPr>
        <w:t>（</w:t>
      </w:r>
      <w:r>
        <w:rPr>
          <w:bCs/>
          <w:sz w:val="24"/>
        </w:rPr>
        <w:t>1</w:t>
      </w:r>
      <w:r>
        <w:rPr>
          <w:rFonts w:hint="eastAsia"/>
          <w:bCs/>
          <w:sz w:val="24"/>
        </w:rPr>
        <w:t>）证券交易所上市的有价证券的估值</w:t>
      </w:r>
    </w:p>
    <w:p w14:paraId="7CAECD5A">
      <w:pPr>
        <w:spacing w:line="360" w:lineRule="auto"/>
        <w:ind w:firstLine="480" w:firstLineChars="200"/>
        <w:rPr>
          <w:bCs/>
          <w:sz w:val="24"/>
        </w:rPr>
      </w:pPr>
      <w:r>
        <w:rPr>
          <w:rFonts w:hint="eastAsia"/>
          <w:bCs/>
          <w:sz w:val="24"/>
        </w:rPr>
        <w:t>①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908EF3A">
      <w:pPr>
        <w:spacing w:line="360" w:lineRule="auto"/>
        <w:ind w:firstLine="480" w:firstLineChars="200"/>
        <w:rPr>
          <w:bCs/>
          <w:sz w:val="24"/>
        </w:rPr>
      </w:pPr>
      <w:r>
        <w:rPr>
          <w:rFonts w:hint="eastAsia"/>
          <w:bCs/>
          <w:sz w:val="24"/>
        </w:rPr>
        <w:t>②在交易所市场上市交易或挂牌转让的固定收益品种（另有规定的除外），选取第三方估值机构提供的相应品种当日的估值净价估值。</w:t>
      </w:r>
    </w:p>
    <w:p w14:paraId="46CE75E3">
      <w:pPr>
        <w:spacing w:line="360" w:lineRule="auto"/>
        <w:ind w:firstLine="480" w:firstLineChars="200"/>
        <w:rPr>
          <w:bCs/>
          <w:sz w:val="24"/>
        </w:rPr>
      </w:pPr>
      <w:r>
        <w:rPr>
          <w:rFonts w:hint="eastAsia"/>
          <w:bCs/>
          <w:sz w:val="24"/>
        </w:rPr>
        <w:t>③对在交易所市场上市交易的可转换债券，按照每日收盘价作为估值全价。</w:t>
      </w:r>
    </w:p>
    <w:p w14:paraId="798D5BEE">
      <w:pPr>
        <w:spacing w:line="360" w:lineRule="auto"/>
        <w:ind w:firstLine="480" w:firstLineChars="200"/>
        <w:rPr>
          <w:bCs/>
          <w:sz w:val="24"/>
        </w:rPr>
      </w:pPr>
      <w:r>
        <w:rPr>
          <w:rFonts w:hint="eastAsia"/>
          <w:bCs/>
          <w:sz w:val="24"/>
        </w:rPr>
        <w:t>④对在交易所市场挂牌转让的资产支持证券和私募证券，估值日不存在活跃市场时采用估值技术确定其公允价值进行估值。如成本能够近似体现公允价值，应持续评估上述做法的适当性，并在情况发生改变时做出适当调整。</w:t>
      </w:r>
    </w:p>
    <w:p w14:paraId="3F0CAAD4">
      <w:pPr>
        <w:spacing w:line="360" w:lineRule="auto"/>
        <w:ind w:firstLine="480" w:firstLineChars="200"/>
        <w:rPr>
          <w:bCs/>
          <w:sz w:val="24"/>
        </w:rPr>
      </w:pPr>
      <w:r>
        <w:rPr>
          <w:rFonts w:hint="eastAsia"/>
          <w:bCs/>
          <w:sz w:val="24"/>
        </w:rPr>
        <w:t>（</w:t>
      </w:r>
      <w:r>
        <w:rPr>
          <w:bCs/>
          <w:sz w:val="24"/>
        </w:rPr>
        <w:t>2</w:t>
      </w:r>
      <w:r>
        <w:rPr>
          <w:rFonts w:hint="eastAsia"/>
          <w:bCs/>
          <w:sz w:val="24"/>
        </w:rPr>
        <w:t>）处于未上市期间的有价证券应区分如下情况处理：</w:t>
      </w:r>
    </w:p>
    <w:p w14:paraId="64025A1C">
      <w:pPr>
        <w:spacing w:line="360" w:lineRule="auto"/>
        <w:ind w:firstLine="480" w:firstLineChars="200"/>
        <w:rPr>
          <w:bCs/>
          <w:sz w:val="24"/>
        </w:rPr>
      </w:pPr>
      <w:r>
        <w:rPr>
          <w:rFonts w:hint="eastAsia"/>
          <w:bCs/>
          <w:sz w:val="24"/>
        </w:rPr>
        <w:t>①送股、转增股、配股和公开增发的新股，按估值日在证券交易所挂牌的同一股票的估值方法估值；该日无交易的，以最近一日的市价（收盘价）估值。</w:t>
      </w:r>
    </w:p>
    <w:p w14:paraId="4947CEDF">
      <w:pPr>
        <w:spacing w:line="360" w:lineRule="auto"/>
        <w:ind w:firstLine="480" w:firstLineChars="200"/>
        <w:rPr>
          <w:bCs/>
          <w:sz w:val="24"/>
        </w:rPr>
      </w:pPr>
      <w:r>
        <w:rPr>
          <w:rFonts w:hint="eastAsia"/>
          <w:bCs/>
          <w:sz w:val="24"/>
        </w:rPr>
        <w:t>②首次公开发行未上市的股票、债券和权证，采用估值技术确定公允价值，在估值技术难以可靠计量公允价值的情况下，按成本估值。</w:t>
      </w:r>
    </w:p>
    <w:p w14:paraId="62D80DA9">
      <w:pPr>
        <w:spacing w:line="360" w:lineRule="auto"/>
        <w:ind w:firstLine="480" w:firstLineChars="200"/>
        <w:rPr>
          <w:bCs/>
          <w:sz w:val="24"/>
        </w:rPr>
      </w:pPr>
      <w:r>
        <w:rPr>
          <w:rFonts w:hint="eastAsia"/>
          <w:bCs/>
          <w:sz w:val="24"/>
        </w:rPr>
        <w:t>③对在交易所市场发行未上市或未挂牌转让的债券，对存在活跃市场的情况下，应以活跃市场上未经调整的报价作为计量日的公允价值进行估值；对于活跃市场报价未能代表计量日公允价值的情况下，按成本应对市场报价进行调整，确认计量日的公允价值；对于不存在市场活动或市场活动很少的情况下，则采用估值技术确定公允价值。</w:t>
      </w:r>
    </w:p>
    <w:p w14:paraId="159105A2">
      <w:pPr>
        <w:spacing w:line="360" w:lineRule="auto"/>
        <w:ind w:firstLine="480" w:firstLineChars="200"/>
        <w:rPr>
          <w:bCs/>
          <w:sz w:val="24"/>
        </w:rPr>
      </w:pPr>
      <w:r>
        <w:rPr>
          <w:rFonts w:hint="eastAsia"/>
          <w:bCs/>
          <w:sz w:val="24"/>
        </w:rPr>
        <w:t>④首次公开发行有明确锁定期的股票，同一股票在交易所上市后，按交易所上市的同一股票的估值方法估值；非公开发行有明确锁定期的股票，按监管机构或行业协会有关规定确定公允价值。</w:t>
      </w:r>
    </w:p>
    <w:p w14:paraId="7791C747">
      <w:pPr>
        <w:spacing w:line="360" w:lineRule="auto"/>
        <w:ind w:firstLine="480" w:firstLineChars="200"/>
        <w:rPr>
          <w:bCs/>
          <w:sz w:val="24"/>
        </w:rPr>
      </w:pPr>
      <w:r>
        <w:rPr>
          <w:rFonts w:hint="eastAsia"/>
          <w:bCs/>
          <w:sz w:val="24"/>
        </w:rPr>
        <w:t>（</w:t>
      </w:r>
      <w:r>
        <w:rPr>
          <w:bCs/>
          <w:sz w:val="24"/>
        </w:rPr>
        <w:t>3</w:t>
      </w:r>
      <w:r>
        <w:rPr>
          <w:rFonts w:hint="eastAsia"/>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2E96EE2C">
      <w:pPr>
        <w:spacing w:line="360" w:lineRule="auto"/>
        <w:ind w:firstLine="480" w:firstLineChars="200"/>
        <w:rPr>
          <w:bCs/>
          <w:sz w:val="24"/>
        </w:rPr>
      </w:pPr>
      <w:r>
        <w:rPr>
          <w:rFonts w:hint="eastAsia"/>
          <w:bCs/>
          <w:sz w:val="24"/>
        </w:rPr>
        <w:t>（4）存款的估值方法</w:t>
      </w:r>
    </w:p>
    <w:p w14:paraId="6F3BDFBB">
      <w:pPr>
        <w:spacing w:line="360" w:lineRule="auto"/>
        <w:ind w:firstLine="480" w:firstLineChars="200"/>
        <w:rPr>
          <w:bCs/>
          <w:sz w:val="24"/>
        </w:rPr>
      </w:pPr>
      <w:r>
        <w:rPr>
          <w:rFonts w:hint="eastAsia"/>
          <w:bCs/>
          <w:sz w:val="24"/>
        </w:rPr>
        <w:t>持有的银行定期存款或通知存款以本金列示，按协议或合同利率逐日确认利息收入。</w:t>
      </w:r>
    </w:p>
    <w:p w14:paraId="6702E94A">
      <w:pPr>
        <w:spacing w:line="360" w:lineRule="auto"/>
        <w:ind w:firstLine="480" w:firstLineChars="200"/>
        <w:rPr>
          <w:bCs/>
          <w:sz w:val="24"/>
        </w:rPr>
      </w:pPr>
      <w:r>
        <w:rPr>
          <w:rFonts w:hint="eastAsia"/>
          <w:bCs/>
          <w:sz w:val="24"/>
        </w:rPr>
        <w:t>（5）投资证券衍生品的估值方法</w:t>
      </w:r>
    </w:p>
    <w:p w14:paraId="75BCAC7F">
      <w:pPr>
        <w:spacing w:line="360" w:lineRule="auto"/>
        <w:ind w:firstLine="480" w:firstLineChars="200"/>
        <w:rPr>
          <w:bCs/>
          <w:sz w:val="24"/>
        </w:rPr>
      </w:pPr>
      <w:r>
        <w:rPr>
          <w:rFonts w:hint="eastAsia"/>
          <w:bCs/>
          <w:sz w:val="24"/>
        </w:rPr>
        <w:t>①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将参考监管机构或行业协会有关规定</w:t>
      </w:r>
      <w:r>
        <w:rPr>
          <w:bCs/>
          <w:sz w:val="24"/>
        </w:rPr>
        <w:t>,</w:t>
      </w:r>
      <w:r>
        <w:rPr>
          <w:rFonts w:hint="eastAsia"/>
          <w:bCs/>
          <w:sz w:val="24"/>
        </w:rPr>
        <w:t>或者类似投资品种的现行市价及重大变化因素，调整最近交易市价，确定公允价值。</w:t>
      </w:r>
    </w:p>
    <w:p w14:paraId="62328490">
      <w:pPr>
        <w:spacing w:line="360" w:lineRule="auto"/>
        <w:ind w:firstLine="480" w:firstLineChars="200"/>
        <w:rPr>
          <w:bCs/>
          <w:sz w:val="24"/>
        </w:rPr>
      </w:pPr>
      <w:r>
        <w:rPr>
          <w:rFonts w:hint="eastAsia"/>
          <w:bCs/>
          <w:sz w:val="24"/>
        </w:rPr>
        <w:t>②首次发行未上市的权证，采用估值技术确定公允价值，在估值技术难以可靠计量公允价值的情况下，按成本估值。</w:t>
      </w:r>
    </w:p>
    <w:p w14:paraId="47146F0A">
      <w:pPr>
        <w:spacing w:line="360" w:lineRule="auto"/>
        <w:ind w:firstLine="480" w:firstLineChars="200"/>
        <w:rPr>
          <w:bCs/>
          <w:sz w:val="24"/>
        </w:rPr>
      </w:pPr>
      <w:r>
        <w:rPr>
          <w:rFonts w:hint="eastAsia"/>
          <w:bCs/>
          <w:sz w:val="24"/>
        </w:rPr>
        <w:t>③因持有股票而享有的配股权，以及停止交易但未行权的权证，采用估值技术确定公允价值进行估值。在估值技术难以可靠计量公允价值的情况下，按成本进行估值。</w:t>
      </w:r>
    </w:p>
    <w:p w14:paraId="75F4AD98">
      <w:pPr>
        <w:spacing w:line="360" w:lineRule="auto"/>
        <w:ind w:firstLine="480" w:firstLineChars="200"/>
        <w:rPr>
          <w:bCs/>
          <w:sz w:val="24"/>
        </w:rPr>
      </w:pPr>
      <w:r>
        <w:rPr>
          <w:rFonts w:hint="eastAsia"/>
          <w:bCs/>
          <w:sz w:val="24"/>
        </w:rPr>
        <w:t>④股指期货合约，一般以估值当日结算价进行，估值当日无结算价的，且最近交易日后经济环境未发生重大变化的，采用最近交易日结算价估值。</w:t>
      </w:r>
    </w:p>
    <w:p w14:paraId="46B48DB0">
      <w:pPr>
        <w:spacing w:line="360" w:lineRule="auto"/>
        <w:ind w:firstLine="480" w:firstLineChars="200"/>
        <w:rPr>
          <w:bCs/>
          <w:sz w:val="24"/>
        </w:rPr>
      </w:pPr>
      <w:r>
        <w:rPr>
          <w:rFonts w:hint="eastAsia"/>
          <w:bCs/>
          <w:sz w:val="24"/>
        </w:rPr>
        <w:t>（6）本基金可以采用第三方估值机构按照上述公允价值确定原则提供的估值价格数据。</w:t>
      </w:r>
    </w:p>
    <w:p w14:paraId="17AC8151">
      <w:pPr>
        <w:spacing w:line="360" w:lineRule="auto"/>
        <w:ind w:firstLine="480" w:firstLineChars="200"/>
        <w:rPr>
          <w:bCs/>
          <w:sz w:val="24"/>
        </w:rPr>
      </w:pPr>
      <w:r>
        <w:rPr>
          <w:rFonts w:hint="eastAsia"/>
          <w:bCs/>
          <w:sz w:val="24"/>
        </w:rPr>
        <w:t>（7）如有确凿证据表明按上述方法进行估值不能客观反映其公允价值的，基金管理人可根据具体情况与基金托管人商定后，按最能反映公允价值的价格估值。</w:t>
      </w:r>
    </w:p>
    <w:p w14:paraId="166EBE0D">
      <w:pPr>
        <w:adjustRightInd w:val="0"/>
        <w:snapToGrid w:val="0"/>
        <w:spacing w:line="360" w:lineRule="auto"/>
        <w:ind w:firstLine="480" w:firstLineChars="200"/>
        <w:rPr>
          <w:bCs/>
          <w:sz w:val="24"/>
          <w:szCs w:val="24"/>
        </w:rPr>
      </w:pPr>
      <w:r>
        <w:rPr>
          <w:rFonts w:hint="eastAsia"/>
          <w:bCs/>
          <w:sz w:val="24"/>
        </w:rPr>
        <w:t>（8）</w:t>
      </w:r>
      <w:r>
        <w:rPr>
          <w:rFonts w:hint="eastAsia"/>
          <w:bCs/>
          <w:sz w:val="24"/>
          <w:szCs w:val="24"/>
        </w:rPr>
        <w:t>本基金投资存托凭证的估值核算依照境内上市交易的股票执行。</w:t>
      </w:r>
    </w:p>
    <w:p w14:paraId="4FE9B4E0">
      <w:pPr>
        <w:spacing w:line="360" w:lineRule="auto"/>
        <w:ind w:firstLine="480" w:firstLineChars="200"/>
        <w:rPr>
          <w:bCs/>
          <w:sz w:val="24"/>
        </w:rPr>
      </w:pPr>
      <w:r>
        <w:rPr>
          <w:rFonts w:hint="eastAsia"/>
          <w:bCs/>
          <w:sz w:val="24"/>
          <w:szCs w:val="24"/>
        </w:rPr>
        <w:t>（9）</w:t>
      </w:r>
      <w:r>
        <w:rPr>
          <w:rFonts w:hint="eastAsia"/>
          <w:bCs/>
          <w:sz w:val="24"/>
        </w:rPr>
        <w:t>相关法律法规以及监管部门有强制规定的，从其规定。如有新增事项，按国家最新规定估值。</w:t>
      </w:r>
    </w:p>
    <w:p w14:paraId="53CCD4E8">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410B8D2">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加盖公章的书面说明后，按照基金管理人对基金资产净值的计算结果对外予以公布。</w:t>
      </w:r>
    </w:p>
    <w:p w14:paraId="408F49C0">
      <w:pPr>
        <w:spacing w:line="360" w:lineRule="auto"/>
        <w:ind w:firstLine="480" w:firstLineChars="200"/>
        <w:rPr>
          <w:bCs/>
          <w:sz w:val="24"/>
        </w:rPr>
      </w:pPr>
      <w:r>
        <w:rPr>
          <w:bCs/>
          <w:sz w:val="24"/>
        </w:rPr>
        <w:t>四、估值程序</w:t>
      </w:r>
    </w:p>
    <w:p w14:paraId="540D0F29">
      <w:pPr>
        <w:spacing w:line="360" w:lineRule="auto"/>
        <w:ind w:firstLine="480" w:firstLineChars="200"/>
        <w:rPr>
          <w:bCs/>
          <w:sz w:val="24"/>
        </w:rPr>
      </w:pPr>
      <w:r>
        <w:rPr>
          <w:bCs/>
          <w:sz w:val="24"/>
        </w:rPr>
        <w:t>1、基金份额净值是按照每个工作日闭市后，基金资产净值除以当日基金份额的余额数量计算，精确到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140B6B84">
      <w:pPr>
        <w:spacing w:line="360" w:lineRule="auto"/>
        <w:ind w:firstLine="480" w:firstLineChars="200"/>
        <w:rPr>
          <w:bCs/>
          <w:sz w:val="24"/>
        </w:rPr>
      </w:pPr>
      <w:r>
        <w:rPr>
          <w:rFonts w:hint="eastAsia"/>
          <w:bCs/>
          <w:sz w:val="24"/>
        </w:rPr>
        <w:t>基金管理人于</w:t>
      </w:r>
      <w:r>
        <w:rPr>
          <w:bCs/>
          <w:sz w:val="24"/>
        </w:rPr>
        <w:t>每个工作日计算基金资产净值及基金份额净值，并按规定公告。</w:t>
      </w:r>
      <w:r>
        <w:rPr>
          <w:rFonts w:hint="eastAsia"/>
          <w:bCs/>
          <w:sz w:val="24"/>
        </w:rPr>
        <w:t>如遇特殊情况，经中国证监会同意，可以适当延迟计算或公告。</w:t>
      </w:r>
    </w:p>
    <w:p w14:paraId="152875B5">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但基金管理人根据法律法规或本基金合同的规定暂停估值时除外。基金管理人每个工作日对基金资产估值后，将基金份额净值结果发送基金托管人，经基金托管人复核无误后，由基金管理人</w:t>
      </w:r>
      <w:r>
        <w:rPr>
          <w:rFonts w:hint="eastAsia"/>
          <w:bCs/>
          <w:sz w:val="24"/>
        </w:rPr>
        <w:t>依据基金合同的约定和相关法律法规的规定</w:t>
      </w:r>
      <w:r>
        <w:rPr>
          <w:bCs/>
          <w:sz w:val="24"/>
        </w:rPr>
        <w:t>对外公布。</w:t>
      </w:r>
    </w:p>
    <w:p w14:paraId="4C38508F">
      <w:pPr>
        <w:spacing w:line="360" w:lineRule="auto"/>
        <w:ind w:firstLine="480" w:firstLineChars="200"/>
        <w:rPr>
          <w:bCs/>
          <w:sz w:val="24"/>
        </w:rPr>
      </w:pPr>
      <w:r>
        <w:rPr>
          <w:bCs/>
          <w:sz w:val="24"/>
        </w:rPr>
        <w:t>五、估值错误的处理</w:t>
      </w:r>
    </w:p>
    <w:p w14:paraId="27775372">
      <w:pPr>
        <w:spacing w:line="360" w:lineRule="auto"/>
        <w:ind w:firstLine="480" w:firstLineChars="200"/>
        <w:rPr>
          <w:bCs/>
          <w:sz w:val="24"/>
        </w:rPr>
      </w:pPr>
      <w:r>
        <w:rPr>
          <w:bCs/>
          <w:sz w:val="24"/>
        </w:rPr>
        <w:t>基金管理人和基金托管人将采取必要、适当、合理的措施确保基金资产估值的准确性、及时性。当基金份额净值小数点后</w:t>
      </w:r>
      <w:r>
        <w:rPr>
          <w:rFonts w:hint="eastAsia"/>
          <w:bCs/>
          <w:sz w:val="24"/>
        </w:rPr>
        <w:t>第4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w:t>
      </w:r>
      <w:r>
        <w:rPr>
          <w:bCs/>
          <w:sz w:val="24"/>
        </w:rPr>
        <w:t>发生估值错误时，视为基金份额净值错误。</w:t>
      </w:r>
    </w:p>
    <w:p w14:paraId="27C8F98F">
      <w:pPr>
        <w:spacing w:line="360" w:lineRule="auto"/>
        <w:ind w:firstLine="480" w:firstLineChars="200"/>
        <w:rPr>
          <w:bCs/>
          <w:sz w:val="24"/>
        </w:rPr>
      </w:pPr>
      <w:r>
        <w:rPr>
          <w:bCs/>
          <w:sz w:val="24"/>
        </w:rPr>
        <w:t>本基金合同的当事人应按照以下约定处理：</w:t>
      </w:r>
    </w:p>
    <w:p w14:paraId="641A9ED1">
      <w:pPr>
        <w:spacing w:line="360" w:lineRule="auto"/>
        <w:ind w:firstLine="480" w:firstLineChars="200"/>
        <w:rPr>
          <w:bCs/>
          <w:sz w:val="24"/>
        </w:rPr>
      </w:pPr>
      <w:r>
        <w:rPr>
          <w:bCs/>
          <w:sz w:val="24"/>
        </w:rPr>
        <w:t>1、估值错误类型</w:t>
      </w:r>
    </w:p>
    <w:p w14:paraId="6C4B96C8">
      <w:pPr>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的直接损失按下述“估值错误处理原则”给予赔偿，承担赔偿责任。</w:t>
      </w:r>
    </w:p>
    <w:p w14:paraId="2AE47536">
      <w:pPr>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14:paraId="19716A84">
      <w:pPr>
        <w:spacing w:line="360" w:lineRule="auto"/>
        <w:ind w:firstLine="480" w:firstLineChars="200"/>
        <w:rPr>
          <w:bCs/>
          <w:sz w:val="24"/>
        </w:rPr>
      </w:pPr>
      <w:r>
        <w:rPr>
          <w:rFonts w:hint="eastAsia"/>
          <w:bCs/>
          <w:sz w:val="24"/>
        </w:rPr>
        <w:t>对于因技术原因引起的差错，若系同行业现有技术水平无法预见、无法避免、无法抗拒，则属不可抗力，按照下述规定执行。</w:t>
      </w:r>
    </w:p>
    <w:p w14:paraId="2F1011E3">
      <w:pPr>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168AF354">
      <w:pPr>
        <w:spacing w:line="360" w:lineRule="auto"/>
        <w:ind w:firstLine="480" w:firstLineChars="200"/>
        <w:rPr>
          <w:bCs/>
          <w:sz w:val="24"/>
        </w:rPr>
      </w:pPr>
      <w:r>
        <w:rPr>
          <w:bCs/>
          <w:sz w:val="24"/>
        </w:rPr>
        <w:t>2、估值错误处理原则</w:t>
      </w:r>
    </w:p>
    <w:p w14:paraId="6BA5AA64">
      <w:pPr>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D86A61A">
      <w:pPr>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419F2350">
      <w:pPr>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11A952C">
      <w:pPr>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14:paraId="43D97C0C">
      <w:pPr>
        <w:spacing w:line="360" w:lineRule="auto"/>
        <w:ind w:firstLine="480" w:firstLineChars="200"/>
        <w:rPr>
          <w:bCs/>
          <w:sz w:val="24"/>
        </w:rPr>
      </w:pPr>
      <w:r>
        <w:rPr>
          <w:rFonts w:hint="eastAsia"/>
          <w:bCs/>
          <w:sz w:val="24"/>
        </w:rPr>
        <w:t>（5）按法律法规规定的其他原则处理</w:t>
      </w:r>
      <w:r>
        <w:rPr>
          <w:bCs/>
          <w:sz w:val="24"/>
        </w:rPr>
        <w:t>估值错误</w:t>
      </w:r>
      <w:r>
        <w:rPr>
          <w:rFonts w:hint="eastAsia"/>
          <w:bCs/>
          <w:sz w:val="24"/>
        </w:rPr>
        <w:t>。</w:t>
      </w:r>
    </w:p>
    <w:p w14:paraId="0978A1A5">
      <w:pPr>
        <w:spacing w:line="360" w:lineRule="auto"/>
        <w:ind w:firstLine="480" w:firstLineChars="200"/>
        <w:rPr>
          <w:bCs/>
          <w:sz w:val="24"/>
        </w:rPr>
      </w:pPr>
      <w:r>
        <w:rPr>
          <w:bCs/>
          <w:sz w:val="24"/>
        </w:rPr>
        <w:t>3、估值错误处理程序</w:t>
      </w:r>
    </w:p>
    <w:p w14:paraId="73DDDCC7">
      <w:pPr>
        <w:spacing w:line="360" w:lineRule="auto"/>
        <w:ind w:firstLine="480" w:firstLineChars="200"/>
        <w:rPr>
          <w:bCs/>
          <w:sz w:val="24"/>
        </w:rPr>
      </w:pPr>
      <w:r>
        <w:rPr>
          <w:bCs/>
          <w:sz w:val="24"/>
        </w:rPr>
        <w:t>估值错误被发现后，有关的当事人应当及时进行处理，处理的程序如下：</w:t>
      </w:r>
    </w:p>
    <w:p w14:paraId="216BB415">
      <w:pPr>
        <w:spacing w:line="360" w:lineRule="auto"/>
        <w:ind w:firstLine="480" w:firstLineChars="200"/>
        <w:rPr>
          <w:bCs/>
          <w:sz w:val="24"/>
        </w:rPr>
      </w:pPr>
      <w:r>
        <w:rPr>
          <w:bCs/>
          <w:sz w:val="24"/>
        </w:rPr>
        <w:t>（1）查明估值错误发生的原因，列明所有的当事人，并根据估值错误发生的原因确定估值错误的责任方；</w:t>
      </w:r>
    </w:p>
    <w:p w14:paraId="3BE851C9">
      <w:pPr>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5A9662C9">
      <w:pPr>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56589FE5">
      <w:pPr>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20FAFD18">
      <w:pPr>
        <w:spacing w:line="360" w:lineRule="auto"/>
        <w:ind w:firstLine="480" w:firstLineChars="200"/>
        <w:rPr>
          <w:bCs/>
          <w:sz w:val="24"/>
        </w:rPr>
      </w:pPr>
      <w:r>
        <w:rPr>
          <w:bCs/>
          <w:sz w:val="24"/>
        </w:rPr>
        <w:t>4、基金份额净值估值错误处理的方法如下：</w:t>
      </w:r>
    </w:p>
    <w:p w14:paraId="57CC4095">
      <w:pPr>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14:paraId="51D67D2D">
      <w:pPr>
        <w:spacing w:line="360" w:lineRule="auto"/>
        <w:ind w:firstLine="480" w:firstLineChars="200"/>
        <w:rPr>
          <w:bCs/>
          <w:sz w:val="24"/>
        </w:rPr>
      </w:pPr>
      <w:r>
        <w:rPr>
          <w:bCs/>
          <w:sz w:val="24"/>
        </w:rPr>
        <w:t>（</w:t>
      </w:r>
      <w:r>
        <w:rPr>
          <w:rFonts w:hint="eastAsia"/>
          <w:bCs/>
          <w:sz w:val="24"/>
        </w:rPr>
        <w:t>2</w:t>
      </w:r>
      <w:r>
        <w:rPr>
          <w:bCs/>
          <w:sz w:val="24"/>
        </w:rPr>
        <w:t>）错误偏差达到基金份额净值的0.25%时，基金管理人应当通报基金托管人并报中国证监会备案；错误偏差达到基金份额净值的0.5%时，基金管理人应当公告。</w:t>
      </w:r>
    </w:p>
    <w:p w14:paraId="2C8D1A84">
      <w:pPr>
        <w:spacing w:line="360" w:lineRule="auto"/>
        <w:ind w:firstLine="480" w:firstLineChars="200"/>
        <w:rPr>
          <w:bCs/>
          <w:sz w:val="24"/>
        </w:rPr>
      </w:pPr>
      <w:r>
        <w:rPr>
          <w:bCs/>
          <w:sz w:val="24"/>
        </w:rPr>
        <w:t>（</w:t>
      </w:r>
      <w:r>
        <w:rPr>
          <w:rFonts w:hint="eastAsia"/>
          <w:bCs/>
          <w:sz w:val="24"/>
        </w:rPr>
        <w:t>3</w:t>
      </w:r>
      <w:r>
        <w:rPr>
          <w:bCs/>
          <w:sz w:val="24"/>
        </w:rPr>
        <w:t>）前述内容如法律法规或监管机关另有规定的，从其规定处理。</w:t>
      </w:r>
    </w:p>
    <w:p w14:paraId="3C3EF466">
      <w:pPr>
        <w:spacing w:line="360" w:lineRule="auto"/>
        <w:ind w:firstLine="480" w:firstLineChars="200"/>
        <w:rPr>
          <w:bCs/>
          <w:sz w:val="24"/>
        </w:rPr>
      </w:pPr>
      <w:r>
        <w:rPr>
          <w:bCs/>
          <w:sz w:val="24"/>
        </w:rPr>
        <w:t>六、暂停估值的情形</w:t>
      </w:r>
    </w:p>
    <w:p w14:paraId="5632BA9B">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732DA612">
      <w:pPr>
        <w:spacing w:line="360" w:lineRule="auto"/>
        <w:ind w:firstLine="480" w:firstLineChars="200"/>
        <w:rPr>
          <w:bCs/>
          <w:sz w:val="24"/>
        </w:rPr>
      </w:pPr>
      <w:r>
        <w:rPr>
          <w:bCs/>
          <w:sz w:val="24"/>
        </w:rPr>
        <w:t>2、因不可抗力致使基金管理人、基金托管人无法准确评估基金资产价值时；</w:t>
      </w:r>
    </w:p>
    <w:p w14:paraId="3948F19B">
      <w:pPr>
        <w:spacing w:line="360" w:lineRule="auto"/>
        <w:ind w:firstLine="480" w:firstLineChars="200"/>
        <w:rPr>
          <w:bCs/>
          <w:sz w:val="24"/>
        </w:rPr>
      </w:pPr>
      <w:r>
        <w:rPr>
          <w:rFonts w:hint="eastAsia"/>
          <w:bCs/>
          <w:sz w:val="24"/>
        </w:rPr>
        <w:t>3、当前一估值日基金资产净值50%以上的资产出现无可参考的活跃市场价格且采用估值技术仍导致公允价值存在重大不确定性时，经与基金托管人协商一致的，基金管理人应当暂停估值；</w:t>
      </w:r>
    </w:p>
    <w:p w14:paraId="3E69A4E5">
      <w:pPr>
        <w:spacing w:line="360" w:lineRule="auto"/>
        <w:ind w:firstLine="480" w:firstLineChars="200"/>
        <w:rPr>
          <w:bCs/>
          <w:sz w:val="24"/>
        </w:rPr>
      </w:pPr>
      <w:r>
        <w:rPr>
          <w:rFonts w:hint="eastAsia"/>
          <w:bCs/>
          <w:sz w:val="24"/>
        </w:rPr>
        <w:t>4、</w:t>
      </w:r>
      <w:r>
        <w:rPr>
          <w:bCs/>
          <w:sz w:val="24"/>
        </w:rPr>
        <w:t>中国证监会</w:t>
      </w:r>
      <w:r>
        <w:rPr>
          <w:rFonts w:hint="eastAsia"/>
          <w:bCs/>
          <w:sz w:val="24"/>
        </w:rPr>
        <w:t>规定的</w:t>
      </w:r>
      <w:r>
        <w:rPr>
          <w:bCs/>
          <w:sz w:val="24"/>
        </w:rPr>
        <w:t>和基金合同</w:t>
      </w:r>
      <w:r>
        <w:rPr>
          <w:rFonts w:hint="eastAsia"/>
          <w:bCs/>
          <w:sz w:val="24"/>
        </w:rPr>
        <w:t>约</w:t>
      </w:r>
      <w:r>
        <w:rPr>
          <w:bCs/>
          <w:sz w:val="24"/>
        </w:rPr>
        <w:t>定的其它情形。</w:t>
      </w:r>
    </w:p>
    <w:p w14:paraId="75E7BA02">
      <w:pPr>
        <w:spacing w:line="360" w:lineRule="auto"/>
        <w:ind w:firstLine="480" w:firstLineChars="200"/>
        <w:rPr>
          <w:bCs/>
          <w:sz w:val="24"/>
        </w:rPr>
      </w:pPr>
      <w:r>
        <w:rPr>
          <w:bCs/>
          <w:sz w:val="24"/>
        </w:rPr>
        <w:t>七、基金净值的确认</w:t>
      </w:r>
    </w:p>
    <w:p w14:paraId="55D7D03E">
      <w:pPr>
        <w:spacing w:line="360" w:lineRule="auto"/>
        <w:ind w:firstLine="480" w:firstLineChars="200"/>
        <w:rPr>
          <w:bCs/>
        </w:rPr>
      </w:pPr>
      <w:bookmarkStart w:id="352" w:name="OLE_LINK69"/>
      <w:bookmarkStart w:id="353" w:name="OLE_LINK68"/>
      <w:r>
        <w:rPr>
          <w:bCs/>
          <w:sz w:val="24"/>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w:t>
      </w:r>
      <w:r>
        <w:rPr>
          <w:rFonts w:hint="eastAsia"/>
          <w:bCs/>
          <w:sz w:val="24"/>
        </w:rPr>
        <w:t>依据基金合同和相关法律法规的规定</w:t>
      </w:r>
      <w:r>
        <w:rPr>
          <w:bCs/>
          <w:sz w:val="24"/>
        </w:rPr>
        <w:t>对基金净值予以公布。</w:t>
      </w:r>
    </w:p>
    <w:bookmarkEnd w:id="352"/>
    <w:bookmarkEnd w:id="353"/>
    <w:p w14:paraId="535CBB8E">
      <w:pPr>
        <w:spacing w:line="476" w:lineRule="exact"/>
        <w:ind w:firstLine="480" w:firstLineChars="200"/>
        <w:rPr>
          <w:sz w:val="24"/>
        </w:rPr>
      </w:pPr>
      <w:r>
        <w:rPr>
          <w:rFonts w:hAnsi="宋体"/>
          <w:sz w:val="24"/>
        </w:rPr>
        <w:t>八、特殊情形的处理</w:t>
      </w:r>
    </w:p>
    <w:p w14:paraId="2794190B">
      <w:pPr>
        <w:spacing w:line="360" w:lineRule="auto"/>
        <w:ind w:firstLine="480" w:firstLineChars="200"/>
        <w:rPr>
          <w:sz w:val="24"/>
        </w:rPr>
      </w:pPr>
      <w:r>
        <w:rPr>
          <w:sz w:val="24"/>
        </w:rPr>
        <w:t>1</w:t>
      </w:r>
      <w:r>
        <w:rPr>
          <w:rFonts w:hAnsi="宋体"/>
          <w:sz w:val="24"/>
        </w:rPr>
        <w:t>、基金管理人或基金托管人按估值方法的第</w:t>
      </w:r>
      <w:r>
        <w:rPr>
          <w:rFonts w:hint="eastAsia"/>
          <w:sz w:val="24"/>
        </w:rPr>
        <w:t>（7）</w:t>
      </w:r>
      <w:r>
        <w:rPr>
          <w:rFonts w:hAnsi="宋体"/>
          <w:sz w:val="24"/>
        </w:rPr>
        <w:t>项进行估值时，所造成的误差不作为基金资产估值错误处理。</w:t>
      </w:r>
    </w:p>
    <w:p w14:paraId="77918865">
      <w:pPr>
        <w:spacing w:line="360" w:lineRule="auto"/>
        <w:ind w:firstLine="480" w:firstLineChars="200"/>
        <w:rPr>
          <w:sz w:val="24"/>
        </w:rPr>
      </w:pPr>
      <w:bookmarkStart w:id="354" w:name="OLE_LINK71"/>
      <w:bookmarkStart w:id="355" w:name="OLE_LINK70"/>
      <w:r>
        <w:rPr>
          <w:sz w:val="24"/>
        </w:rPr>
        <w:t>2</w:t>
      </w:r>
      <w:r>
        <w:rPr>
          <w:rFonts w:hAnsi="宋体"/>
          <w:sz w:val="24"/>
        </w:rPr>
        <w:t>、由于</w:t>
      </w:r>
      <w:r>
        <w:rPr>
          <w:rFonts w:hint="eastAsia" w:hAnsi="宋体"/>
          <w:sz w:val="24"/>
        </w:rPr>
        <w:t>不可抗力原因，或由于</w:t>
      </w:r>
      <w:r>
        <w:rPr>
          <w:rFonts w:hAnsi="宋体"/>
          <w:sz w:val="24"/>
        </w:rPr>
        <w:t>证券、期货交易所</w:t>
      </w:r>
      <w:r>
        <w:rPr>
          <w:rFonts w:hint="eastAsia" w:hAnsi="宋体"/>
          <w:sz w:val="24"/>
        </w:rPr>
        <w:t>、证券经纪机构</w:t>
      </w:r>
      <w:r>
        <w:rPr>
          <w:rFonts w:hAnsi="宋体"/>
          <w:sz w:val="24"/>
        </w:rPr>
        <w:t>、期货公司</w:t>
      </w:r>
      <w:r>
        <w:rPr>
          <w:rFonts w:hint="eastAsia" w:hAnsi="宋体"/>
          <w:sz w:val="24"/>
        </w:rPr>
        <w:t>及</w:t>
      </w:r>
      <w:r>
        <w:rPr>
          <w:rFonts w:hAnsi="宋体"/>
          <w:sz w:val="24"/>
        </w:rPr>
        <w:t>登记结算公司发送的数据错误，</w:t>
      </w:r>
      <w:r>
        <w:rPr>
          <w:rFonts w:hint="eastAsia" w:hAnsi="宋体"/>
          <w:sz w:val="24"/>
        </w:rPr>
        <w:t>或国家会计政策变更、市场规则变更等</w:t>
      </w:r>
      <w:r>
        <w:rPr>
          <w:rFonts w:hAnsi="宋体"/>
          <w:sz w:val="24"/>
        </w:rPr>
        <w:t>，基金管理人和基金托管人虽然已经采取必要、适当、合理的措施进行检查，但是未能发现该错误而造成的基金</w:t>
      </w:r>
      <w:r>
        <w:rPr>
          <w:rFonts w:hint="eastAsia" w:hAnsi="宋体"/>
          <w:sz w:val="24"/>
        </w:rPr>
        <w:t>资产估值</w:t>
      </w:r>
      <w:r>
        <w:rPr>
          <w:rFonts w:hAnsi="宋体"/>
          <w:sz w:val="24"/>
        </w:rPr>
        <w:t>错误，基金管理人、基金托管人免除赔偿责任。但基金管理人、基金托管人应积极采取必要的措施</w:t>
      </w:r>
      <w:r>
        <w:rPr>
          <w:rFonts w:hint="eastAsia" w:hAnsi="宋体"/>
          <w:sz w:val="24"/>
        </w:rPr>
        <w:t>减轻或</w:t>
      </w:r>
      <w:r>
        <w:rPr>
          <w:rFonts w:hAnsi="宋体"/>
          <w:sz w:val="24"/>
        </w:rPr>
        <w:t>消除由此造成的影响。</w:t>
      </w:r>
    </w:p>
    <w:bookmarkEnd w:id="354"/>
    <w:bookmarkEnd w:id="355"/>
    <w:p w14:paraId="252A7CE2">
      <w:pPr>
        <w:pStyle w:val="2"/>
        <w:spacing w:before="0" w:after="0"/>
        <w:jc w:val="center"/>
        <w:rPr>
          <w:color w:val="auto"/>
          <w:sz w:val="30"/>
        </w:rPr>
      </w:pPr>
      <w:r>
        <w:rPr>
          <w:b w:val="0"/>
          <w:bCs/>
          <w:color w:val="auto"/>
          <w:sz w:val="30"/>
        </w:rPr>
        <w:br w:type="page"/>
      </w:r>
      <w:bookmarkStart w:id="356" w:name="_Toc3365"/>
      <w:bookmarkStart w:id="357" w:name="_Toc19752"/>
      <w:bookmarkStart w:id="358" w:name="_Toc24601"/>
      <w:bookmarkStart w:id="359" w:name="_Toc425241717"/>
      <w:bookmarkStart w:id="360" w:name="_Toc13987"/>
      <w:bookmarkStart w:id="361" w:name="_Toc32227"/>
      <w:bookmarkStart w:id="362" w:name="_Toc15779"/>
      <w:bookmarkStart w:id="363" w:name="_Toc32041"/>
      <w:bookmarkStart w:id="364" w:name="_Toc19706"/>
      <w:bookmarkStart w:id="365" w:name="_Toc12105"/>
      <w:r>
        <w:rPr>
          <w:rFonts w:hint="eastAsia" w:ascii="Times New Roman"/>
          <w:color w:val="auto"/>
          <w:sz w:val="30"/>
        </w:rPr>
        <w:t>第十五部分基金费用与税收</w:t>
      </w:r>
      <w:bookmarkEnd w:id="349"/>
      <w:bookmarkEnd w:id="350"/>
      <w:bookmarkEnd w:id="351"/>
      <w:bookmarkEnd w:id="356"/>
      <w:bookmarkEnd w:id="357"/>
      <w:bookmarkEnd w:id="358"/>
      <w:bookmarkEnd w:id="359"/>
      <w:bookmarkEnd w:id="360"/>
      <w:bookmarkEnd w:id="361"/>
      <w:bookmarkEnd w:id="362"/>
      <w:bookmarkEnd w:id="363"/>
      <w:bookmarkEnd w:id="364"/>
      <w:bookmarkEnd w:id="365"/>
    </w:p>
    <w:p w14:paraId="6A05BD0C">
      <w:pPr>
        <w:spacing w:line="360" w:lineRule="auto"/>
        <w:ind w:firstLine="480" w:firstLineChars="200"/>
        <w:rPr>
          <w:bCs/>
          <w:sz w:val="24"/>
        </w:rPr>
      </w:pPr>
    </w:p>
    <w:p w14:paraId="7932521E">
      <w:pPr>
        <w:spacing w:line="360" w:lineRule="auto"/>
        <w:ind w:firstLine="480" w:firstLineChars="200"/>
        <w:rPr>
          <w:bCs/>
          <w:sz w:val="24"/>
        </w:rPr>
      </w:pPr>
      <w:r>
        <w:rPr>
          <w:bCs/>
          <w:sz w:val="24"/>
        </w:rPr>
        <w:t>一、基金费用的种类</w:t>
      </w:r>
    </w:p>
    <w:p w14:paraId="1A854428">
      <w:pPr>
        <w:spacing w:line="360" w:lineRule="auto"/>
        <w:ind w:firstLine="480" w:firstLineChars="200"/>
        <w:rPr>
          <w:bCs/>
          <w:sz w:val="24"/>
        </w:rPr>
      </w:pPr>
      <w:r>
        <w:rPr>
          <w:bCs/>
          <w:sz w:val="24"/>
        </w:rPr>
        <w:t>1、基金管理人的管理费；</w:t>
      </w:r>
    </w:p>
    <w:p w14:paraId="059484BB">
      <w:pPr>
        <w:spacing w:line="360" w:lineRule="auto"/>
        <w:ind w:firstLine="480" w:firstLineChars="200"/>
        <w:rPr>
          <w:bCs/>
          <w:sz w:val="24"/>
        </w:rPr>
      </w:pPr>
      <w:r>
        <w:rPr>
          <w:bCs/>
          <w:sz w:val="24"/>
        </w:rPr>
        <w:t>2、基金托管人的托管费；</w:t>
      </w:r>
    </w:p>
    <w:p w14:paraId="2DB4B760">
      <w:pPr>
        <w:spacing w:line="360" w:lineRule="auto"/>
        <w:ind w:firstLine="480" w:firstLineChars="200"/>
        <w:rPr>
          <w:bCs/>
          <w:sz w:val="24"/>
        </w:rPr>
      </w:pPr>
      <w:r>
        <w:rPr>
          <w:bCs/>
          <w:sz w:val="24"/>
        </w:rPr>
        <w:t>3、《基金合同》生效后与基金相关的信息披露费用；</w:t>
      </w:r>
    </w:p>
    <w:p w14:paraId="08EBB59F">
      <w:pPr>
        <w:spacing w:line="360" w:lineRule="auto"/>
        <w:ind w:firstLine="480" w:firstLineChars="200"/>
        <w:rPr>
          <w:bCs/>
          <w:sz w:val="24"/>
        </w:rPr>
      </w:pPr>
      <w:r>
        <w:rPr>
          <w:bCs/>
          <w:sz w:val="24"/>
        </w:rPr>
        <w:t>4、《基金合同》生效后与基金相关的会计师费、律师费</w:t>
      </w:r>
      <w:r>
        <w:rPr>
          <w:rFonts w:hint="eastAsia"/>
          <w:bCs/>
          <w:sz w:val="24"/>
        </w:rPr>
        <w:t>、仲裁费</w:t>
      </w:r>
      <w:r>
        <w:rPr>
          <w:bCs/>
          <w:sz w:val="24"/>
        </w:rPr>
        <w:t>和诉讼费；</w:t>
      </w:r>
    </w:p>
    <w:p w14:paraId="55A33CC6">
      <w:pPr>
        <w:spacing w:line="360" w:lineRule="auto"/>
        <w:ind w:firstLine="480" w:firstLineChars="200"/>
        <w:rPr>
          <w:bCs/>
          <w:sz w:val="24"/>
        </w:rPr>
      </w:pPr>
      <w:r>
        <w:rPr>
          <w:bCs/>
          <w:sz w:val="24"/>
        </w:rPr>
        <w:t>5、基金份额持有人大会费用；</w:t>
      </w:r>
    </w:p>
    <w:p w14:paraId="725F519E">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4DCB047F">
      <w:pPr>
        <w:spacing w:line="360" w:lineRule="auto"/>
        <w:ind w:firstLine="480" w:firstLineChars="200"/>
        <w:rPr>
          <w:bCs/>
          <w:sz w:val="24"/>
        </w:rPr>
      </w:pPr>
      <w:r>
        <w:rPr>
          <w:bCs/>
          <w:sz w:val="24"/>
        </w:rPr>
        <w:t>7、基金的银行汇划费用；</w:t>
      </w:r>
    </w:p>
    <w:p w14:paraId="00785DC6">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24B21C0B">
      <w:pPr>
        <w:spacing w:line="360" w:lineRule="auto"/>
        <w:ind w:firstLine="480" w:firstLineChars="200"/>
        <w:rPr>
          <w:bCs/>
          <w:sz w:val="24"/>
        </w:rPr>
      </w:pPr>
      <w:r>
        <w:rPr>
          <w:bCs/>
          <w:sz w:val="24"/>
        </w:rPr>
        <w:t>9、按照国家有关规定和《基金合同》约定，可以在基金财产中列支的其他费用。</w:t>
      </w:r>
    </w:p>
    <w:p w14:paraId="5FEAA4CB">
      <w:pPr>
        <w:spacing w:line="360" w:lineRule="auto"/>
        <w:ind w:firstLine="480" w:firstLineChars="200"/>
        <w:rPr>
          <w:bCs/>
          <w:sz w:val="24"/>
        </w:rPr>
      </w:pPr>
      <w:r>
        <w:rPr>
          <w:bCs/>
          <w:sz w:val="24"/>
        </w:rPr>
        <w:t>二、基金费用计提方法、计提标准和支付方式</w:t>
      </w:r>
    </w:p>
    <w:p w14:paraId="47C0DA12">
      <w:pPr>
        <w:spacing w:line="360" w:lineRule="auto"/>
        <w:ind w:firstLine="480" w:firstLineChars="200"/>
        <w:rPr>
          <w:bCs/>
          <w:sz w:val="24"/>
        </w:rPr>
      </w:pPr>
      <w:r>
        <w:rPr>
          <w:bCs/>
          <w:sz w:val="24"/>
        </w:rPr>
        <w:t>1、基金管理人的管理费</w:t>
      </w:r>
    </w:p>
    <w:p w14:paraId="4C7AD049">
      <w:pPr>
        <w:spacing w:line="360" w:lineRule="auto"/>
        <w:ind w:firstLine="480" w:firstLineChars="200"/>
        <w:rPr>
          <w:bCs/>
          <w:sz w:val="24"/>
        </w:rPr>
      </w:pPr>
      <w:r>
        <w:rPr>
          <w:rFonts w:hint="eastAsia"/>
          <w:bCs/>
          <w:sz w:val="24"/>
        </w:rPr>
        <w:t>本基金的管理费按前一日基金资产净值的</w:t>
      </w:r>
      <w:r>
        <w:rPr>
          <w:bCs/>
          <w:sz w:val="24"/>
        </w:rPr>
        <w:t>1.2%</w:t>
      </w:r>
      <w:r>
        <w:rPr>
          <w:rFonts w:hint="eastAsia"/>
          <w:bCs/>
          <w:sz w:val="24"/>
        </w:rPr>
        <w:t>年费率计提。管理费的计算方法如下：</w:t>
      </w:r>
    </w:p>
    <w:p w14:paraId="1E956201">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×年管理费率÷当年天数</w:t>
      </w:r>
    </w:p>
    <w:p w14:paraId="63DD7FE7">
      <w:pPr>
        <w:spacing w:line="360" w:lineRule="auto"/>
        <w:ind w:firstLine="480" w:firstLineChars="200"/>
        <w:rPr>
          <w:bCs/>
          <w:sz w:val="24"/>
        </w:rPr>
      </w:pPr>
      <w:r>
        <w:rPr>
          <w:bCs/>
          <w:sz w:val="24"/>
        </w:rPr>
        <w:t>H</w:t>
      </w:r>
      <w:r>
        <w:rPr>
          <w:rFonts w:hint="eastAsia"/>
          <w:bCs/>
          <w:sz w:val="24"/>
        </w:rPr>
        <w:t>为每日应计提的基金管理费</w:t>
      </w:r>
    </w:p>
    <w:p w14:paraId="43809BF5">
      <w:pPr>
        <w:spacing w:line="360" w:lineRule="auto"/>
        <w:ind w:firstLine="480" w:firstLineChars="200"/>
        <w:rPr>
          <w:bCs/>
          <w:sz w:val="24"/>
        </w:rPr>
      </w:pPr>
      <w:r>
        <w:rPr>
          <w:bCs/>
          <w:sz w:val="24"/>
        </w:rPr>
        <w:t>E</w:t>
      </w:r>
      <w:r>
        <w:rPr>
          <w:rFonts w:hint="eastAsia"/>
          <w:bCs/>
          <w:sz w:val="24"/>
        </w:rPr>
        <w:t>为前一日的基金资产净值</w:t>
      </w:r>
    </w:p>
    <w:p w14:paraId="37EBD414">
      <w:pPr>
        <w:spacing w:line="360" w:lineRule="auto"/>
        <w:ind w:firstLine="480" w:firstLineChars="200"/>
        <w:rPr>
          <w:bCs/>
          <w:sz w:val="24"/>
        </w:rPr>
      </w:pPr>
      <w:r>
        <w:rPr>
          <w:rFonts w:hint="eastAsia"/>
          <w:bCs/>
          <w:sz w:val="24"/>
        </w:rPr>
        <w:t>自基金合同生效日起，基金管理费每日计提，按月支付。由基金托管人根据与基金管理人核对一致的财务数据，自动在月初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6D33E771">
      <w:pPr>
        <w:spacing w:line="360" w:lineRule="auto"/>
        <w:ind w:firstLine="480" w:firstLineChars="200"/>
        <w:rPr>
          <w:bCs/>
          <w:sz w:val="24"/>
        </w:rPr>
      </w:pPr>
      <w:r>
        <w:rPr>
          <w:bCs/>
          <w:sz w:val="24"/>
        </w:rPr>
        <w:t>2</w:t>
      </w:r>
      <w:r>
        <w:rPr>
          <w:rFonts w:hint="eastAsia"/>
          <w:bCs/>
          <w:sz w:val="24"/>
        </w:rPr>
        <w:t>、基金托管人的托管费</w:t>
      </w:r>
    </w:p>
    <w:p w14:paraId="7B42D4A1">
      <w:pPr>
        <w:spacing w:line="360" w:lineRule="auto"/>
        <w:ind w:firstLine="480" w:firstLineChars="200"/>
        <w:rPr>
          <w:bCs/>
          <w:sz w:val="24"/>
        </w:rPr>
      </w:pPr>
      <w:r>
        <w:rPr>
          <w:rFonts w:hint="eastAsia"/>
          <w:bCs/>
          <w:sz w:val="24"/>
        </w:rPr>
        <w:t>本基金的托管费按前一日基金资产净值的0.2%年费率计提。托管费的计算方法如下：</w:t>
      </w:r>
    </w:p>
    <w:p w14:paraId="4DE42AFC">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×年托管费率÷当年天数</w:t>
      </w:r>
    </w:p>
    <w:p w14:paraId="4551E12F">
      <w:pPr>
        <w:spacing w:line="360" w:lineRule="auto"/>
        <w:ind w:firstLine="480" w:firstLineChars="200"/>
        <w:rPr>
          <w:bCs/>
          <w:sz w:val="24"/>
        </w:rPr>
      </w:pPr>
      <w:r>
        <w:rPr>
          <w:bCs/>
          <w:sz w:val="24"/>
        </w:rPr>
        <w:t>H</w:t>
      </w:r>
      <w:r>
        <w:rPr>
          <w:rFonts w:hint="eastAsia"/>
          <w:bCs/>
          <w:sz w:val="24"/>
        </w:rPr>
        <w:t>为每日应计提的基金托管费</w:t>
      </w:r>
    </w:p>
    <w:p w14:paraId="7138A788">
      <w:pPr>
        <w:spacing w:line="360" w:lineRule="auto"/>
        <w:ind w:firstLine="480" w:firstLineChars="200"/>
        <w:rPr>
          <w:bCs/>
          <w:sz w:val="24"/>
        </w:rPr>
      </w:pPr>
      <w:r>
        <w:rPr>
          <w:bCs/>
          <w:sz w:val="24"/>
        </w:rPr>
        <w:t>E</w:t>
      </w:r>
      <w:r>
        <w:rPr>
          <w:rFonts w:hint="eastAsia"/>
          <w:bCs/>
          <w:sz w:val="24"/>
        </w:rPr>
        <w:t>为前一日的基金资产净值</w:t>
      </w:r>
    </w:p>
    <w:p w14:paraId="257FF5FB">
      <w:pPr>
        <w:spacing w:line="360" w:lineRule="auto"/>
        <w:ind w:firstLine="480" w:firstLineChars="200"/>
        <w:rPr>
          <w:bCs/>
          <w:sz w:val="24"/>
        </w:rPr>
      </w:pPr>
      <w:r>
        <w:rPr>
          <w:rFonts w:hint="eastAsia"/>
          <w:bCs/>
          <w:sz w:val="24"/>
        </w:rPr>
        <w:t>自基金合同生效日起，基金托管费每日计提，按月支付。由基金托管人根据与基金管理人核对一致的财务数据，自动在月初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390C757A">
      <w:pPr>
        <w:spacing w:line="360" w:lineRule="auto"/>
        <w:ind w:firstLine="480" w:firstLineChars="200"/>
        <w:rPr>
          <w:bCs/>
          <w:sz w:val="24"/>
        </w:rPr>
      </w:pPr>
      <w:r>
        <w:rPr>
          <w:rFonts w:hint="eastAsia"/>
          <w:bCs/>
          <w:sz w:val="24"/>
        </w:rPr>
        <w:t>3、</w:t>
      </w:r>
      <w:r>
        <w:rPr>
          <w:bCs/>
          <w:sz w:val="24"/>
        </w:rPr>
        <w:t>上述</w:t>
      </w:r>
      <w:r>
        <w:rPr>
          <w:rFonts w:hint="eastAsia"/>
          <w:bCs/>
          <w:sz w:val="24"/>
        </w:rPr>
        <w:t>“</w:t>
      </w:r>
      <w:r>
        <w:rPr>
          <w:bCs/>
          <w:sz w:val="24"/>
        </w:rPr>
        <w:t>一、基金费用的种类</w:t>
      </w:r>
      <w:r>
        <w:rPr>
          <w:rFonts w:hint="eastAsia"/>
          <w:bCs/>
          <w:sz w:val="24"/>
        </w:rPr>
        <w:t>”</w:t>
      </w:r>
      <w:r>
        <w:rPr>
          <w:bCs/>
          <w:sz w:val="24"/>
        </w:rPr>
        <w:t>中第3－</w:t>
      </w:r>
      <w:r>
        <w:rPr>
          <w:rFonts w:hint="eastAsia"/>
          <w:bCs/>
          <w:sz w:val="24"/>
        </w:rPr>
        <w:t>9</w:t>
      </w:r>
      <w:r>
        <w:rPr>
          <w:bCs/>
          <w:sz w:val="24"/>
        </w:rPr>
        <w:t>项费用，根据有关法规及相应协议规定，按费用实际支出金额列入当期费用，由基金托管人从基金财产中支付。</w:t>
      </w:r>
    </w:p>
    <w:p w14:paraId="2E039440">
      <w:pPr>
        <w:spacing w:line="360" w:lineRule="auto"/>
        <w:ind w:firstLine="480" w:firstLineChars="200"/>
        <w:rPr>
          <w:bCs/>
          <w:sz w:val="24"/>
        </w:rPr>
      </w:pPr>
      <w:r>
        <w:rPr>
          <w:bCs/>
          <w:sz w:val="24"/>
        </w:rPr>
        <w:t>三、不列入基金费用的项目</w:t>
      </w:r>
    </w:p>
    <w:p w14:paraId="5A5B274D">
      <w:pPr>
        <w:spacing w:line="360" w:lineRule="auto"/>
        <w:ind w:firstLine="480" w:firstLineChars="200"/>
        <w:rPr>
          <w:bCs/>
          <w:sz w:val="24"/>
        </w:rPr>
      </w:pPr>
      <w:r>
        <w:rPr>
          <w:bCs/>
          <w:sz w:val="24"/>
        </w:rPr>
        <w:t>下列费用不列入基金费用：</w:t>
      </w:r>
    </w:p>
    <w:p w14:paraId="75FF9CD2">
      <w:pPr>
        <w:spacing w:line="360" w:lineRule="auto"/>
        <w:ind w:firstLine="480" w:firstLineChars="200"/>
        <w:rPr>
          <w:bCs/>
          <w:sz w:val="24"/>
        </w:rPr>
      </w:pPr>
      <w:r>
        <w:rPr>
          <w:bCs/>
          <w:sz w:val="24"/>
        </w:rPr>
        <w:t>1、基金管理人和基金托管人因未履行或未完全履行义务导致的费用支出或基金财产的损失；</w:t>
      </w:r>
    </w:p>
    <w:p w14:paraId="6A301B0C">
      <w:pPr>
        <w:spacing w:line="360" w:lineRule="auto"/>
        <w:ind w:firstLine="480" w:firstLineChars="200"/>
        <w:rPr>
          <w:bCs/>
          <w:sz w:val="24"/>
        </w:rPr>
      </w:pPr>
      <w:r>
        <w:rPr>
          <w:bCs/>
          <w:sz w:val="24"/>
        </w:rPr>
        <w:t>2、基金管理人和基金托管人处理与基金运作无关的事项发生的费用；</w:t>
      </w:r>
    </w:p>
    <w:p w14:paraId="528A97D1">
      <w:pPr>
        <w:spacing w:line="360" w:lineRule="auto"/>
        <w:ind w:firstLine="480" w:firstLineChars="200"/>
        <w:rPr>
          <w:bCs/>
          <w:sz w:val="24"/>
        </w:rPr>
      </w:pPr>
      <w:r>
        <w:rPr>
          <w:bCs/>
          <w:sz w:val="24"/>
        </w:rPr>
        <w:t>3、《基金合同》生效前的相关费用；</w:t>
      </w:r>
    </w:p>
    <w:p w14:paraId="29EEFB74">
      <w:pPr>
        <w:spacing w:line="360" w:lineRule="auto"/>
        <w:ind w:firstLine="480" w:firstLineChars="200"/>
        <w:rPr>
          <w:bCs/>
          <w:sz w:val="24"/>
        </w:rPr>
      </w:pPr>
      <w:r>
        <w:rPr>
          <w:bCs/>
          <w:sz w:val="24"/>
        </w:rPr>
        <w:t>4、其他根据相关法律法规及中国证监会的有关规定不得列入基金费用的项目。</w:t>
      </w:r>
      <w:bookmarkStart w:id="366" w:name="_Hlt88827255"/>
      <w:bookmarkEnd w:id="366"/>
    </w:p>
    <w:p w14:paraId="50315267">
      <w:pPr>
        <w:spacing w:line="360" w:lineRule="auto"/>
        <w:ind w:firstLine="480" w:firstLineChars="200"/>
        <w:rPr>
          <w:bCs/>
          <w:sz w:val="24"/>
        </w:rPr>
      </w:pPr>
      <w:r>
        <w:rPr>
          <w:rFonts w:hint="eastAsia"/>
          <w:bCs/>
          <w:sz w:val="24"/>
        </w:rPr>
        <w:t>四</w:t>
      </w:r>
      <w:r>
        <w:rPr>
          <w:bCs/>
          <w:sz w:val="24"/>
        </w:rPr>
        <w:t>、基金税收</w:t>
      </w:r>
    </w:p>
    <w:p w14:paraId="0F331B47">
      <w:pPr>
        <w:spacing w:line="360" w:lineRule="auto"/>
        <w:ind w:firstLine="480" w:firstLineChars="200"/>
        <w:rPr>
          <w:bCs/>
          <w:sz w:val="24"/>
        </w:rPr>
      </w:pPr>
      <w:r>
        <w:rPr>
          <w:bCs/>
          <w:sz w:val="24"/>
        </w:rPr>
        <w:t>本基金运作过程中涉及的各纳税主体，其纳税义务按国家税收法律、法规执行。</w:t>
      </w:r>
    </w:p>
    <w:p w14:paraId="36AA2ED0">
      <w:pPr>
        <w:pStyle w:val="2"/>
        <w:spacing w:before="0" w:after="0"/>
        <w:jc w:val="center"/>
        <w:rPr>
          <w:rFonts w:ascii="Times New Roman"/>
          <w:color w:val="auto"/>
          <w:sz w:val="30"/>
        </w:rPr>
      </w:pPr>
      <w:bookmarkStart w:id="367" w:name="_Toc92662707"/>
      <w:bookmarkStart w:id="368" w:name="_Toc93226149"/>
      <w:bookmarkStart w:id="369" w:name="_Toc128310499"/>
      <w:bookmarkStart w:id="370" w:name="_Toc141703896"/>
      <w:bookmarkStart w:id="371" w:name="_Toc139991746"/>
      <w:bookmarkStart w:id="372" w:name="_Toc22552"/>
      <w:r>
        <w:rPr>
          <w:rFonts w:ascii="Times New Roman"/>
          <w:b w:val="0"/>
          <w:bCs/>
          <w:color w:val="auto"/>
          <w:sz w:val="30"/>
        </w:rPr>
        <w:br w:type="page"/>
      </w:r>
      <w:bookmarkStart w:id="373" w:name="_Toc25883"/>
      <w:bookmarkStart w:id="374" w:name="_Toc1617"/>
      <w:bookmarkStart w:id="375" w:name="_Toc3656"/>
      <w:bookmarkStart w:id="376" w:name="_Toc21829"/>
      <w:bookmarkStart w:id="377" w:name="_Toc19558"/>
      <w:bookmarkStart w:id="378" w:name="_Toc178"/>
      <w:bookmarkStart w:id="379" w:name="_Toc425241718"/>
      <w:bookmarkStart w:id="380" w:name="_Toc15525"/>
      <w:bookmarkStart w:id="381" w:name="_Toc20052"/>
      <w:bookmarkStart w:id="382" w:name="_Toc12761"/>
      <w:r>
        <w:rPr>
          <w:rFonts w:ascii="Times New Roman"/>
          <w:color w:val="auto"/>
          <w:sz w:val="30"/>
        </w:rPr>
        <w:t>第十六部分基金</w:t>
      </w:r>
      <w:bookmarkEnd w:id="367"/>
      <w:bookmarkEnd w:id="368"/>
      <w:r>
        <w:rPr>
          <w:rFonts w:ascii="Times New Roman"/>
          <w:color w:val="auto"/>
          <w:sz w:val="30"/>
        </w:rPr>
        <w:t>的收益与分配</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39D2A7FF">
      <w:pPr>
        <w:rPr>
          <w:bCs/>
        </w:rPr>
      </w:pPr>
    </w:p>
    <w:p w14:paraId="6183B195">
      <w:pPr>
        <w:spacing w:line="360" w:lineRule="auto"/>
        <w:ind w:firstLine="540" w:firstLineChars="225"/>
        <w:rPr>
          <w:bCs/>
          <w:sz w:val="24"/>
        </w:rPr>
      </w:pPr>
      <w:r>
        <w:rPr>
          <w:bCs/>
          <w:sz w:val="24"/>
        </w:rPr>
        <w:t>一、基金利润的构成</w:t>
      </w:r>
    </w:p>
    <w:p w14:paraId="14409A11">
      <w:pPr>
        <w:spacing w:line="360" w:lineRule="auto"/>
        <w:ind w:firstLine="540" w:firstLineChars="225"/>
        <w:rPr>
          <w:bCs/>
          <w:sz w:val="24"/>
        </w:rPr>
      </w:pPr>
      <w:r>
        <w:rPr>
          <w:bCs/>
          <w:sz w:val="24"/>
        </w:rPr>
        <w:t>基金利润指基金利息收入、投资收益、公允价值变动收益和其他收入扣除相关费用后的余额，基金已实现收益指基金利润减去公允价值变动收益后的余额。</w:t>
      </w:r>
    </w:p>
    <w:p w14:paraId="0D633819">
      <w:pPr>
        <w:spacing w:line="360" w:lineRule="auto"/>
        <w:ind w:firstLine="540" w:firstLineChars="225"/>
        <w:rPr>
          <w:bCs/>
          <w:sz w:val="24"/>
        </w:rPr>
      </w:pPr>
      <w:r>
        <w:rPr>
          <w:bCs/>
          <w:sz w:val="24"/>
        </w:rPr>
        <w:t>二、基金可供分配利润</w:t>
      </w:r>
    </w:p>
    <w:p w14:paraId="326BDA38">
      <w:pPr>
        <w:spacing w:line="360" w:lineRule="auto"/>
        <w:ind w:firstLine="540" w:firstLineChars="225"/>
        <w:rPr>
          <w:bCs/>
          <w:sz w:val="24"/>
        </w:rPr>
      </w:pPr>
      <w:r>
        <w:rPr>
          <w:bCs/>
          <w:sz w:val="24"/>
        </w:rPr>
        <w:t>基金可供分配利润指截至收益分配基准日基金未分配利润与未分配利润中已实现收益的孰低数。</w:t>
      </w:r>
    </w:p>
    <w:p w14:paraId="6E9F6697">
      <w:pPr>
        <w:spacing w:line="360" w:lineRule="auto"/>
        <w:ind w:firstLine="540" w:firstLineChars="225"/>
        <w:rPr>
          <w:bCs/>
          <w:sz w:val="24"/>
        </w:rPr>
      </w:pPr>
      <w:r>
        <w:rPr>
          <w:bCs/>
          <w:sz w:val="24"/>
        </w:rPr>
        <w:t>三、基金收益分配原则</w:t>
      </w:r>
    </w:p>
    <w:p w14:paraId="742F9D4C">
      <w:pPr>
        <w:spacing w:line="360" w:lineRule="auto"/>
        <w:ind w:firstLine="540" w:firstLineChars="225"/>
        <w:rPr>
          <w:bCs/>
          <w:sz w:val="24"/>
        </w:rPr>
      </w:pPr>
      <w:bookmarkStart w:id="383" w:name="OLE_LINK73"/>
      <w:bookmarkStart w:id="384" w:name="OLE_LINK72"/>
      <w:r>
        <w:rPr>
          <w:bCs/>
          <w:sz w:val="24"/>
        </w:rPr>
        <w:t>1、若《基金合同》生效不满3个月可不进行收益分配；</w:t>
      </w:r>
    </w:p>
    <w:bookmarkEnd w:id="383"/>
    <w:bookmarkEnd w:id="384"/>
    <w:p w14:paraId="61B262EB">
      <w:pPr>
        <w:spacing w:line="360" w:lineRule="auto"/>
        <w:ind w:firstLine="540" w:firstLineChars="225"/>
        <w:rPr>
          <w:bCs/>
          <w:sz w:val="24"/>
        </w:rPr>
      </w:pPr>
      <w:r>
        <w:rPr>
          <w:bCs/>
          <w:sz w:val="24"/>
        </w:rPr>
        <w:t>2、本基金收益分配方式分两种：现金分红与红利再投资，投资者可选择现金红利或将现金红利自动转为基金份额进行再投资；若投资者不选择，本基金默认的收益分配方式是现金分红；</w:t>
      </w:r>
    </w:p>
    <w:p w14:paraId="1389CA62">
      <w:pPr>
        <w:spacing w:line="360" w:lineRule="auto"/>
        <w:ind w:firstLine="540" w:firstLineChars="225"/>
        <w:rPr>
          <w:bCs/>
          <w:sz w:val="24"/>
        </w:rPr>
      </w:pPr>
      <w:r>
        <w:rPr>
          <w:bCs/>
          <w:sz w:val="24"/>
        </w:rPr>
        <w:t>3、基金收益分配后基金份额净值不能低于面值</w:t>
      </w:r>
      <w:r>
        <w:rPr>
          <w:rFonts w:hint="eastAsia"/>
          <w:bCs/>
          <w:sz w:val="24"/>
        </w:rPr>
        <w:t>，</w:t>
      </w:r>
      <w:r>
        <w:rPr>
          <w:bCs/>
          <w:sz w:val="24"/>
        </w:rPr>
        <w:t>即基金收益分配基准日的基金份额净值减去每单位基金份额收益分配金额后不能低于面值</w:t>
      </w:r>
      <w:r>
        <w:rPr>
          <w:rFonts w:hint="eastAsia"/>
          <w:bCs/>
          <w:sz w:val="24"/>
        </w:rPr>
        <w:t>；</w:t>
      </w:r>
    </w:p>
    <w:p w14:paraId="2825D27E">
      <w:pPr>
        <w:spacing w:line="360" w:lineRule="auto"/>
        <w:ind w:firstLine="540" w:firstLineChars="225"/>
        <w:rPr>
          <w:bCs/>
          <w:sz w:val="24"/>
        </w:rPr>
      </w:pPr>
      <w:r>
        <w:rPr>
          <w:bCs/>
          <w:sz w:val="24"/>
        </w:rPr>
        <w:t>4、每一基金份额享有同等分配权；</w:t>
      </w:r>
    </w:p>
    <w:p w14:paraId="4E08EACA">
      <w:pPr>
        <w:spacing w:line="360" w:lineRule="auto"/>
        <w:ind w:firstLine="540" w:firstLineChars="225"/>
        <w:rPr>
          <w:bCs/>
          <w:sz w:val="24"/>
        </w:rPr>
      </w:pPr>
      <w:r>
        <w:rPr>
          <w:bCs/>
          <w:sz w:val="24"/>
        </w:rPr>
        <w:t>5、法律法规或监管机关另有规定的，从其规定。</w:t>
      </w:r>
    </w:p>
    <w:p w14:paraId="47241801">
      <w:pPr>
        <w:spacing w:line="360" w:lineRule="auto"/>
        <w:ind w:firstLine="540" w:firstLineChars="225"/>
        <w:rPr>
          <w:bCs/>
          <w:sz w:val="24"/>
        </w:rPr>
      </w:pPr>
      <w:r>
        <w:rPr>
          <w:bCs/>
          <w:sz w:val="24"/>
        </w:rPr>
        <w:t>四、收益分配方案</w:t>
      </w:r>
    </w:p>
    <w:p w14:paraId="4EB9C949">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486BD713">
      <w:pPr>
        <w:spacing w:line="360" w:lineRule="auto"/>
        <w:ind w:firstLine="540" w:firstLineChars="225"/>
        <w:rPr>
          <w:bCs/>
          <w:sz w:val="24"/>
        </w:rPr>
      </w:pPr>
      <w:r>
        <w:rPr>
          <w:bCs/>
          <w:sz w:val="24"/>
        </w:rPr>
        <w:t>五、收益分配方案的确定、公告与实施</w:t>
      </w:r>
    </w:p>
    <w:p w14:paraId="6C26E0C5">
      <w:pPr>
        <w:spacing w:line="360" w:lineRule="auto"/>
        <w:ind w:firstLine="540" w:firstLineChars="225"/>
        <w:rPr>
          <w:bCs/>
          <w:sz w:val="24"/>
        </w:rPr>
      </w:pPr>
      <w:bookmarkStart w:id="385" w:name="OLE_LINK74"/>
      <w:bookmarkStart w:id="386" w:name="OLE_LINK75"/>
      <w:r>
        <w:rPr>
          <w:bCs/>
          <w:sz w:val="24"/>
        </w:rPr>
        <w:t>本基金收益分配方案由基金管理人拟定，并由基金托管人复核，</w:t>
      </w:r>
      <w:r>
        <w:rPr>
          <w:rFonts w:hint="eastAsia"/>
          <w:bCs/>
          <w:sz w:val="24"/>
        </w:rPr>
        <w:t>依照《信息披露办法》的有关规定</w:t>
      </w:r>
      <w:r>
        <w:rPr>
          <w:bCs/>
          <w:sz w:val="24"/>
        </w:rPr>
        <w:t>在指定媒介公告。</w:t>
      </w:r>
    </w:p>
    <w:bookmarkEnd w:id="385"/>
    <w:bookmarkEnd w:id="386"/>
    <w:p w14:paraId="2A89E2D9">
      <w:pPr>
        <w:spacing w:line="360" w:lineRule="auto"/>
        <w:ind w:firstLine="540" w:firstLineChars="225"/>
        <w:rPr>
          <w:bCs/>
          <w:sz w:val="24"/>
        </w:rPr>
      </w:pPr>
      <w:r>
        <w:rPr>
          <w:bCs/>
          <w:sz w:val="24"/>
        </w:rPr>
        <w:t>基金红利发放日距离收益分配基准日（即可供分配利润计算截止日）的时间不得超过15个工作日。</w:t>
      </w:r>
    </w:p>
    <w:p w14:paraId="06D06D49">
      <w:pPr>
        <w:spacing w:line="360" w:lineRule="auto"/>
        <w:ind w:firstLine="540" w:firstLineChars="225"/>
        <w:rPr>
          <w:bCs/>
          <w:sz w:val="24"/>
        </w:rPr>
      </w:pPr>
      <w:r>
        <w:rPr>
          <w:rFonts w:hint="eastAsia" w:ascii="宋体" w:hAnsi="宋体"/>
          <w:sz w:val="24"/>
        </w:rPr>
        <w:t>法律法规或监管机关另有规定的，从其规定。</w:t>
      </w:r>
    </w:p>
    <w:p w14:paraId="04FD43D1">
      <w:pPr>
        <w:spacing w:line="360" w:lineRule="auto"/>
        <w:ind w:firstLine="540" w:firstLineChars="225"/>
        <w:rPr>
          <w:bCs/>
          <w:sz w:val="24"/>
        </w:rPr>
      </w:pPr>
      <w:r>
        <w:rPr>
          <w:bCs/>
          <w:sz w:val="24"/>
        </w:rPr>
        <w:t>六、基金收益分配中发生的费用</w:t>
      </w:r>
    </w:p>
    <w:p w14:paraId="031F688B">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支付银行转账或其他手续费用时，登记机构可将基金份额持有人的现金红利自动转为基金份额。红利再投资的计算方法，依照《业务规则》执行。</w:t>
      </w:r>
    </w:p>
    <w:p w14:paraId="66FA5823">
      <w:pPr>
        <w:pStyle w:val="2"/>
        <w:spacing w:before="0" w:after="0"/>
        <w:jc w:val="center"/>
        <w:rPr>
          <w:rFonts w:ascii="Times New Roman"/>
          <w:color w:val="auto"/>
          <w:sz w:val="30"/>
        </w:rPr>
      </w:pPr>
      <w:r>
        <w:rPr>
          <w:rFonts w:ascii="Times New Roman"/>
          <w:b w:val="0"/>
          <w:bCs/>
          <w:color w:val="auto"/>
          <w:kern w:val="44"/>
          <w:sz w:val="21"/>
        </w:rPr>
        <w:br w:type="page"/>
      </w:r>
      <w:bookmarkStart w:id="387" w:name="_Toc93226150"/>
      <w:bookmarkStart w:id="388" w:name="_Toc92662708"/>
      <w:bookmarkStart w:id="389" w:name="_Toc17499"/>
      <w:bookmarkStart w:id="390" w:name="_Toc128310500"/>
      <w:bookmarkStart w:id="391" w:name="_Toc141703897"/>
      <w:bookmarkStart w:id="392" w:name="_Toc21206"/>
      <w:bookmarkStart w:id="393" w:name="_Toc425241719"/>
      <w:bookmarkStart w:id="394" w:name="_Toc18007"/>
      <w:bookmarkStart w:id="395" w:name="_Toc13255"/>
      <w:bookmarkStart w:id="396" w:name="_Toc1043"/>
      <w:bookmarkStart w:id="397" w:name="_Toc23859"/>
      <w:bookmarkStart w:id="398" w:name="_Toc29695"/>
      <w:bookmarkStart w:id="399" w:name="_Toc31736"/>
      <w:bookmarkStart w:id="400" w:name="_Toc10894"/>
      <w:bookmarkStart w:id="401" w:name="_Toc139991747"/>
      <w:bookmarkStart w:id="402" w:name="_Toc28961"/>
      <w:r>
        <w:rPr>
          <w:rFonts w:ascii="Times New Roman"/>
          <w:color w:val="auto"/>
          <w:sz w:val="30"/>
        </w:rPr>
        <w:t>第十七部分基金</w:t>
      </w:r>
      <w:bookmarkEnd w:id="387"/>
      <w:bookmarkEnd w:id="388"/>
      <w:r>
        <w:rPr>
          <w:rFonts w:ascii="Times New Roman"/>
          <w:color w:val="auto"/>
          <w:sz w:val="30"/>
        </w:rPr>
        <w:t>的会计与审计</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2D142709">
      <w:pPr>
        <w:spacing w:line="360" w:lineRule="auto"/>
        <w:ind w:firstLine="480" w:firstLineChars="200"/>
        <w:rPr>
          <w:bCs/>
          <w:sz w:val="24"/>
        </w:rPr>
      </w:pPr>
    </w:p>
    <w:p w14:paraId="792A5976">
      <w:pPr>
        <w:spacing w:line="360" w:lineRule="auto"/>
        <w:ind w:firstLine="480" w:firstLineChars="200"/>
        <w:rPr>
          <w:bCs/>
          <w:sz w:val="24"/>
        </w:rPr>
      </w:pPr>
      <w:r>
        <w:rPr>
          <w:bCs/>
          <w:sz w:val="24"/>
        </w:rPr>
        <w:t>一、基金会计政策</w:t>
      </w:r>
    </w:p>
    <w:p w14:paraId="68B6F1DC">
      <w:pPr>
        <w:spacing w:line="360" w:lineRule="auto"/>
        <w:ind w:firstLine="480" w:firstLineChars="200"/>
        <w:rPr>
          <w:bCs/>
          <w:sz w:val="24"/>
        </w:rPr>
      </w:pPr>
      <w:r>
        <w:rPr>
          <w:bCs/>
          <w:sz w:val="24"/>
        </w:rPr>
        <w:t>1、基金管理人为本基金的基金会计责任方；</w:t>
      </w:r>
    </w:p>
    <w:p w14:paraId="4D6977A3">
      <w:pPr>
        <w:spacing w:line="360" w:lineRule="auto"/>
        <w:ind w:firstLine="480" w:firstLineChars="200"/>
        <w:rPr>
          <w:bCs/>
          <w:sz w:val="24"/>
        </w:rPr>
      </w:pPr>
      <w:r>
        <w:rPr>
          <w:bCs/>
          <w:sz w:val="24"/>
        </w:rPr>
        <w:t>2、基金的会计年度为公历年度的1月1日至12月31日；</w:t>
      </w:r>
    </w:p>
    <w:p w14:paraId="621F8593">
      <w:pPr>
        <w:spacing w:line="360" w:lineRule="auto"/>
        <w:ind w:firstLine="480" w:firstLineChars="200"/>
        <w:rPr>
          <w:bCs/>
          <w:sz w:val="24"/>
        </w:rPr>
      </w:pPr>
      <w:r>
        <w:rPr>
          <w:bCs/>
          <w:sz w:val="24"/>
        </w:rPr>
        <w:t>3、基金核算以人民币为记账本位币，以人民币元为记账单位；</w:t>
      </w:r>
    </w:p>
    <w:p w14:paraId="6E543EAD">
      <w:pPr>
        <w:spacing w:line="360" w:lineRule="auto"/>
        <w:ind w:firstLine="480" w:firstLineChars="200"/>
        <w:rPr>
          <w:bCs/>
          <w:sz w:val="24"/>
        </w:rPr>
      </w:pPr>
      <w:r>
        <w:rPr>
          <w:bCs/>
          <w:sz w:val="24"/>
        </w:rPr>
        <w:t>4、会计制度执行国家有关会计制度；</w:t>
      </w:r>
    </w:p>
    <w:p w14:paraId="30F570BA">
      <w:pPr>
        <w:spacing w:line="360" w:lineRule="auto"/>
        <w:ind w:firstLine="480" w:firstLineChars="200"/>
        <w:rPr>
          <w:bCs/>
          <w:sz w:val="24"/>
        </w:rPr>
      </w:pPr>
      <w:r>
        <w:rPr>
          <w:bCs/>
          <w:sz w:val="24"/>
        </w:rPr>
        <w:t>5、本基金独立建账、独立核算；</w:t>
      </w:r>
    </w:p>
    <w:p w14:paraId="52F26F67">
      <w:pPr>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14:paraId="39A8A879">
      <w:pPr>
        <w:spacing w:line="360" w:lineRule="auto"/>
        <w:ind w:firstLine="480" w:firstLineChars="200"/>
        <w:rPr>
          <w:bCs/>
          <w:sz w:val="24"/>
        </w:rPr>
      </w:pPr>
      <w:r>
        <w:rPr>
          <w:bCs/>
          <w:sz w:val="24"/>
        </w:rPr>
        <w:t>7、基金托管人每月与基金管理人就基金的会计核算、报表编制等进行核对并以书面方式确认。</w:t>
      </w:r>
    </w:p>
    <w:p w14:paraId="1653EC92">
      <w:pPr>
        <w:spacing w:line="360" w:lineRule="auto"/>
        <w:ind w:firstLine="480" w:firstLineChars="200"/>
        <w:rPr>
          <w:bCs/>
          <w:sz w:val="24"/>
        </w:rPr>
      </w:pPr>
      <w:r>
        <w:rPr>
          <w:bCs/>
          <w:sz w:val="24"/>
        </w:rPr>
        <w:t>二、基金的年度审计</w:t>
      </w:r>
    </w:p>
    <w:p w14:paraId="2CA762E0">
      <w:pPr>
        <w:spacing w:line="360" w:lineRule="auto"/>
        <w:ind w:firstLine="480" w:firstLineChars="200"/>
        <w:rPr>
          <w:bCs/>
          <w:sz w:val="24"/>
        </w:rPr>
      </w:pPr>
      <w:r>
        <w:rPr>
          <w:bCs/>
          <w:sz w:val="24"/>
        </w:rPr>
        <w:t>1、基金管理人聘请与基金管理人、基金托管人相互独立的具有证券</w:t>
      </w:r>
      <w:r>
        <w:rPr>
          <w:rFonts w:hint="eastAsia"/>
          <w:bCs/>
          <w:sz w:val="24"/>
        </w:rPr>
        <w:t>、</w:t>
      </w:r>
      <w:r>
        <w:rPr>
          <w:bCs/>
          <w:sz w:val="24"/>
        </w:rPr>
        <w:t>期货相关业</w:t>
      </w:r>
      <w:r>
        <w:rPr>
          <w:rFonts w:hint="eastAsia"/>
          <w:bCs/>
          <w:sz w:val="24"/>
        </w:rPr>
        <w:t>务</w:t>
      </w:r>
      <w:r>
        <w:rPr>
          <w:bCs/>
          <w:sz w:val="24"/>
        </w:rPr>
        <w:t>资格的会计师事务所及其注册会计师对本基金的年度财务报表进行审计。</w:t>
      </w:r>
    </w:p>
    <w:p w14:paraId="2C88E9F1">
      <w:pPr>
        <w:spacing w:line="360" w:lineRule="auto"/>
        <w:ind w:firstLine="480" w:firstLineChars="200"/>
        <w:rPr>
          <w:bCs/>
          <w:sz w:val="24"/>
        </w:rPr>
      </w:pPr>
      <w:r>
        <w:rPr>
          <w:bCs/>
          <w:sz w:val="24"/>
        </w:rPr>
        <w:t>2、会计师事务所更换经办注册会计师，应事先征得基金管理人同意。</w:t>
      </w:r>
    </w:p>
    <w:p w14:paraId="1B838FBB">
      <w:pPr>
        <w:spacing w:line="360" w:lineRule="auto"/>
        <w:ind w:firstLine="480" w:firstLineChars="200"/>
        <w:rPr>
          <w:bCs/>
          <w:sz w:val="24"/>
        </w:rPr>
      </w:pPr>
      <w:bookmarkStart w:id="403" w:name="OLE_LINK76"/>
      <w:bookmarkStart w:id="404" w:name="OLE_LINK77"/>
      <w:r>
        <w:rPr>
          <w:bCs/>
          <w:sz w:val="24"/>
        </w:rPr>
        <w:t>3、</w:t>
      </w:r>
      <w:bookmarkStart w:id="405" w:name="_Hlt4221115"/>
      <w:bookmarkEnd w:id="405"/>
      <w:r>
        <w:rPr>
          <w:bCs/>
          <w:sz w:val="24"/>
        </w:rPr>
        <w:t>基金管理人认为有充足理由更换会计师事务所，须通报基金托管人。更换会计师事务所需</w:t>
      </w:r>
      <w:r>
        <w:rPr>
          <w:rFonts w:hint="eastAsia"/>
          <w:bCs/>
          <w:sz w:val="24"/>
        </w:rPr>
        <w:t>按照《信息披露办法》的有关规定</w:t>
      </w:r>
      <w:r>
        <w:rPr>
          <w:bCs/>
          <w:sz w:val="24"/>
        </w:rPr>
        <w:t>在</w:t>
      </w:r>
      <w:r>
        <w:rPr>
          <w:rFonts w:hint="eastAsia"/>
          <w:bCs/>
          <w:sz w:val="24"/>
        </w:rPr>
        <w:t>指定媒介</w:t>
      </w:r>
      <w:r>
        <w:rPr>
          <w:bCs/>
          <w:sz w:val="24"/>
        </w:rPr>
        <w:t>公告。</w:t>
      </w:r>
    </w:p>
    <w:bookmarkEnd w:id="403"/>
    <w:bookmarkEnd w:id="404"/>
    <w:p w14:paraId="212DAFDC">
      <w:pPr>
        <w:pStyle w:val="2"/>
        <w:spacing w:before="0" w:after="0"/>
        <w:jc w:val="center"/>
        <w:rPr>
          <w:rFonts w:ascii="Times New Roman"/>
          <w:color w:val="auto"/>
          <w:sz w:val="30"/>
        </w:rPr>
      </w:pPr>
      <w:r>
        <w:rPr>
          <w:rFonts w:ascii="Times New Roman"/>
          <w:b w:val="0"/>
          <w:bCs/>
          <w:color w:val="auto"/>
        </w:rPr>
        <w:br w:type="page"/>
      </w:r>
      <w:bookmarkStart w:id="406" w:name="_Toc93226151"/>
      <w:bookmarkStart w:id="407" w:name="_Toc92662709"/>
      <w:bookmarkStart w:id="408" w:name="_Toc11802"/>
      <w:bookmarkStart w:id="409" w:name="_Toc11049"/>
      <w:bookmarkStart w:id="410" w:name="_Toc1421"/>
      <w:bookmarkStart w:id="411" w:name="_Toc31866"/>
      <w:bookmarkStart w:id="412" w:name="_Toc139991748"/>
      <w:bookmarkStart w:id="413" w:name="_Toc8512"/>
      <w:bookmarkStart w:id="414" w:name="_Toc128310501"/>
      <w:bookmarkStart w:id="415" w:name="_Toc425241720"/>
      <w:bookmarkStart w:id="416" w:name="_Toc141703898"/>
      <w:bookmarkStart w:id="417" w:name="_Toc29289"/>
      <w:bookmarkStart w:id="418" w:name="_Toc193"/>
      <w:bookmarkStart w:id="419" w:name="_Toc3056"/>
      <w:bookmarkStart w:id="420" w:name="_Toc12028"/>
      <w:bookmarkStart w:id="421" w:name="_Toc1173"/>
      <w:r>
        <w:rPr>
          <w:rFonts w:ascii="Times New Roman"/>
          <w:color w:val="auto"/>
          <w:sz w:val="30"/>
        </w:rPr>
        <w:t>第十八部分基金</w:t>
      </w:r>
      <w:bookmarkEnd w:id="406"/>
      <w:bookmarkEnd w:id="407"/>
      <w:r>
        <w:rPr>
          <w:rFonts w:ascii="Times New Roman"/>
          <w:color w:val="auto"/>
          <w:sz w:val="30"/>
        </w:rPr>
        <w:t>的信息披露</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70C043DD">
      <w:pPr>
        <w:spacing w:line="360" w:lineRule="auto"/>
        <w:ind w:firstLine="480" w:firstLineChars="200"/>
        <w:rPr>
          <w:bCs/>
          <w:sz w:val="24"/>
        </w:rPr>
      </w:pPr>
    </w:p>
    <w:p w14:paraId="36ED5F67">
      <w:pPr>
        <w:spacing w:line="360" w:lineRule="auto"/>
        <w:ind w:firstLine="480" w:firstLineChars="200"/>
        <w:rPr>
          <w:bCs/>
          <w:sz w:val="24"/>
        </w:rPr>
      </w:pPr>
      <w:r>
        <w:rPr>
          <w:rFonts w:hint="eastAsia"/>
          <w:bCs/>
          <w:sz w:val="24"/>
        </w:rPr>
        <w:t>一、本基金的信息披露应符合《基金法》、《运作办法》、《信息披露办法》、《流动性规定》、《基金合同》及其他有关规定。</w:t>
      </w:r>
    </w:p>
    <w:p w14:paraId="4B71B122">
      <w:pPr>
        <w:spacing w:line="360" w:lineRule="auto"/>
        <w:ind w:firstLine="480" w:firstLineChars="200"/>
        <w:rPr>
          <w:bCs/>
          <w:sz w:val="24"/>
        </w:rPr>
      </w:pPr>
      <w:r>
        <w:rPr>
          <w:rFonts w:hint="eastAsia"/>
          <w:bCs/>
          <w:sz w:val="24"/>
        </w:rPr>
        <w:t>二、信息披露义务人</w:t>
      </w:r>
    </w:p>
    <w:p w14:paraId="63A54076">
      <w:pPr>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14:paraId="55A6EA46">
      <w:pPr>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7F765F7C">
      <w:pPr>
        <w:spacing w:line="360" w:lineRule="auto"/>
        <w:ind w:firstLine="480" w:firstLineChars="200"/>
        <w:rPr>
          <w:bCs/>
          <w:sz w:val="24"/>
        </w:rPr>
      </w:pPr>
      <w:r>
        <w:rPr>
          <w:rFonts w:hint="eastAsia"/>
          <w:bCs/>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14:paraId="7B3A1300">
      <w:pPr>
        <w:spacing w:line="360" w:lineRule="auto"/>
        <w:ind w:firstLine="480" w:firstLineChars="200"/>
        <w:rPr>
          <w:bCs/>
          <w:sz w:val="24"/>
        </w:rPr>
      </w:pPr>
      <w:r>
        <w:rPr>
          <w:rFonts w:hint="eastAsia"/>
          <w:bCs/>
          <w:sz w:val="24"/>
        </w:rPr>
        <w:t>三、本基金信息披露义务人承诺公开披露的基金信息，不得有下列行为：</w:t>
      </w:r>
    </w:p>
    <w:p w14:paraId="7DF7EA0C">
      <w:pPr>
        <w:spacing w:line="360" w:lineRule="auto"/>
        <w:ind w:firstLine="480" w:firstLineChars="200"/>
        <w:rPr>
          <w:bCs/>
          <w:sz w:val="24"/>
        </w:rPr>
      </w:pPr>
      <w:r>
        <w:rPr>
          <w:rFonts w:hint="eastAsia"/>
          <w:bCs/>
          <w:sz w:val="24"/>
        </w:rPr>
        <w:t>1、虚假记载、误导性陈述或者重大遗漏；</w:t>
      </w:r>
    </w:p>
    <w:p w14:paraId="2ADAC2BA">
      <w:pPr>
        <w:spacing w:line="360" w:lineRule="auto"/>
        <w:ind w:firstLine="480" w:firstLineChars="200"/>
        <w:rPr>
          <w:bCs/>
          <w:sz w:val="24"/>
        </w:rPr>
      </w:pPr>
      <w:r>
        <w:rPr>
          <w:rFonts w:hint="eastAsia"/>
          <w:bCs/>
          <w:sz w:val="24"/>
        </w:rPr>
        <w:t>2、对证券投资业绩进行预测；</w:t>
      </w:r>
    </w:p>
    <w:p w14:paraId="256D107F">
      <w:pPr>
        <w:spacing w:line="360" w:lineRule="auto"/>
        <w:ind w:firstLine="480" w:firstLineChars="200"/>
        <w:rPr>
          <w:bCs/>
          <w:sz w:val="24"/>
        </w:rPr>
      </w:pPr>
      <w:r>
        <w:rPr>
          <w:rFonts w:hint="eastAsia"/>
          <w:bCs/>
          <w:sz w:val="24"/>
        </w:rPr>
        <w:t>3、违规承诺收益或者承担损失；</w:t>
      </w:r>
    </w:p>
    <w:p w14:paraId="641E9115">
      <w:pPr>
        <w:spacing w:line="360" w:lineRule="auto"/>
        <w:ind w:firstLine="480" w:firstLineChars="200"/>
        <w:rPr>
          <w:bCs/>
          <w:sz w:val="24"/>
        </w:rPr>
      </w:pPr>
      <w:r>
        <w:rPr>
          <w:rFonts w:hint="eastAsia"/>
          <w:bCs/>
          <w:sz w:val="24"/>
        </w:rPr>
        <w:t>4、诋毁其他基金管理人、基金托管人或者基金销售机构；</w:t>
      </w:r>
    </w:p>
    <w:p w14:paraId="03B0AE45">
      <w:pPr>
        <w:spacing w:line="360" w:lineRule="auto"/>
        <w:ind w:firstLine="480" w:firstLineChars="200"/>
        <w:rPr>
          <w:bCs/>
          <w:sz w:val="24"/>
        </w:rPr>
      </w:pPr>
      <w:r>
        <w:rPr>
          <w:rFonts w:hint="eastAsia"/>
          <w:bCs/>
          <w:sz w:val="24"/>
        </w:rPr>
        <w:t>5、登载任何自然人、法人和非法人组织的祝贺性、恭维性或推荐性的文字；</w:t>
      </w:r>
    </w:p>
    <w:p w14:paraId="2C1A462A">
      <w:pPr>
        <w:spacing w:line="360" w:lineRule="auto"/>
        <w:ind w:firstLine="480" w:firstLineChars="200"/>
        <w:rPr>
          <w:bCs/>
          <w:sz w:val="24"/>
        </w:rPr>
      </w:pPr>
      <w:r>
        <w:rPr>
          <w:rFonts w:hint="eastAsia"/>
          <w:bCs/>
          <w:sz w:val="24"/>
        </w:rPr>
        <w:t>6、中国证监会禁止的其他行为。</w:t>
      </w:r>
    </w:p>
    <w:p w14:paraId="07027C79">
      <w:pPr>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14:paraId="056DDED0">
      <w:pPr>
        <w:spacing w:line="360" w:lineRule="auto"/>
        <w:ind w:firstLine="480" w:firstLineChars="200"/>
        <w:rPr>
          <w:bCs/>
          <w:sz w:val="24"/>
        </w:rPr>
      </w:pPr>
      <w:r>
        <w:rPr>
          <w:rFonts w:hint="eastAsia"/>
          <w:bCs/>
          <w:sz w:val="24"/>
        </w:rPr>
        <w:t>本基金公开披露的信息采用阿拉伯数字；除特别说明外，货币单位为人民币元。</w:t>
      </w:r>
    </w:p>
    <w:p w14:paraId="63099585">
      <w:pPr>
        <w:spacing w:line="360" w:lineRule="auto"/>
        <w:ind w:firstLine="480" w:firstLineChars="200"/>
        <w:rPr>
          <w:bCs/>
          <w:sz w:val="24"/>
        </w:rPr>
      </w:pPr>
      <w:r>
        <w:rPr>
          <w:rFonts w:hint="eastAsia"/>
          <w:bCs/>
          <w:sz w:val="24"/>
        </w:rPr>
        <w:t>五、公开披露的基金信息</w:t>
      </w:r>
    </w:p>
    <w:p w14:paraId="01BA05DB">
      <w:pPr>
        <w:spacing w:line="360" w:lineRule="auto"/>
        <w:ind w:firstLine="480" w:firstLineChars="200"/>
        <w:rPr>
          <w:bCs/>
          <w:sz w:val="24"/>
        </w:rPr>
      </w:pPr>
      <w:r>
        <w:rPr>
          <w:rFonts w:hint="eastAsia"/>
          <w:bCs/>
          <w:sz w:val="24"/>
        </w:rPr>
        <w:t>公开披露的基金信息包括：</w:t>
      </w:r>
    </w:p>
    <w:p w14:paraId="587F63AC">
      <w:pPr>
        <w:spacing w:line="360" w:lineRule="auto"/>
        <w:ind w:firstLine="480" w:firstLineChars="200"/>
        <w:rPr>
          <w:bCs/>
          <w:sz w:val="24"/>
        </w:rPr>
      </w:pPr>
      <w:r>
        <w:rPr>
          <w:rFonts w:hint="eastAsia"/>
          <w:bCs/>
          <w:sz w:val="24"/>
        </w:rPr>
        <w:t>（一）基金招募说明书、《基金合同》、基金托管协议、基金产品资料概要</w:t>
      </w:r>
    </w:p>
    <w:p w14:paraId="2A1F9168">
      <w:pPr>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14:paraId="181A1E0C">
      <w:pPr>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3CFF6EFA">
      <w:pPr>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14:paraId="2E5144A3">
      <w:pPr>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7EC2F68E">
      <w:pPr>
        <w:spacing w:line="360" w:lineRule="auto"/>
        <w:ind w:firstLine="480" w:firstLineChars="200"/>
        <w:rPr>
          <w:bCs/>
          <w:sz w:val="24"/>
        </w:rPr>
      </w:pPr>
      <w:r>
        <w:rPr>
          <w:rFonts w:hint="eastAsia"/>
          <w:bCs/>
          <w:sz w:val="24"/>
        </w:rPr>
        <w:t>基金募集申请经中国证监会注册后，基金管理人在基金份额发售的3日前，将基金招募说明书、《基金合同》摘要登载在指定媒介上；基金管理人、基金托管人应当将《基金合同》、基金托管协议登载在网站上。</w:t>
      </w:r>
    </w:p>
    <w:p w14:paraId="1879A185">
      <w:pPr>
        <w:spacing w:line="360" w:lineRule="auto"/>
        <w:ind w:firstLine="480" w:firstLineChars="200"/>
        <w:rPr>
          <w:bCs/>
          <w:sz w:val="24"/>
        </w:rPr>
      </w:pPr>
      <w:r>
        <w:rPr>
          <w:rFonts w:hint="eastAsia"/>
          <w:bCs/>
          <w:sz w:val="24"/>
        </w:rPr>
        <w:t>（二）基金份额发售公告</w:t>
      </w:r>
    </w:p>
    <w:p w14:paraId="0D362F94">
      <w:pPr>
        <w:spacing w:line="360" w:lineRule="auto"/>
        <w:ind w:firstLine="480" w:firstLineChars="200"/>
        <w:rPr>
          <w:bCs/>
          <w:sz w:val="24"/>
        </w:rPr>
      </w:pPr>
      <w:r>
        <w:rPr>
          <w:rFonts w:hint="eastAsia"/>
          <w:bCs/>
          <w:sz w:val="24"/>
        </w:rPr>
        <w:t>基金管理人应当就基金份额发售的具体事宜编制基金份额发售公告，并在披露招募说明书的当日登载于指定媒介上。</w:t>
      </w:r>
    </w:p>
    <w:p w14:paraId="72CC0672">
      <w:pPr>
        <w:spacing w:line="360" w:lineRule="auto"/>
        <w:ind w:firstLine="480" w:firstLineChars="200"/>
        <w:rPr>
          <w:bCs/>
          <w:sz w:val="24"/>
        </w:rPr>
      </w:pPr>
      <w:r>
        <w:rPr>
          <w:rFonts w:hint="eastAsia"/>
          <w:bCs/>
          <w:sz w:val="24"/>
        </w:rPr>
        <w:t>（三）《基金合同》生效公告</w:t>
      </w:r>
    </w:p>
    <w:p w14:paraId="182040C6">
      <w:pPr>
        <w:spacing w:line="360" w:lineRule="auto"/>
        <w:ind w:firstLine="480" w:firstLineChars="200"/>
        <w:rPr>
          <w:bCs/>
          <w:sz w:val="24"/>
        </w:rPr>
      </w:pPr>
      <w:r>
        <w:rPr>
          <w:rFonts w:hint="eastAsia"/>
          <w:bCs/>
          <w:sz w:val="24"/>
        </w:rPr>
        <w:t>基金管理人应当在收到中国证监会确认文件的次日在指定媒介上登载《基金合同》生效公告。</w:t>
      </w:r>
    </w:p>
    <w:p w14:paraId="28619B10">
      <w:pPr>
        <w:spacing w:line="360" w:lineRule="auto"/>
        <w:ind w:firstLine="480" w:firstLineChars="200"/>
        <w:rPr>
          <w:bCs/>
          <w:sz w:val="24"/>
        </w:rPr>
      </w:pPr>
      <w:r>
        <w:rPr>
          <w:rFonts w:hint="eastAsia"/>
          <w:bCs/>
          <w:sz w:val="24"/>
        </w:rPr>
        <w:t>（四）基金净值信息</w:t>
      </w:r>
    </w:p>
    <w:p w14:paraId="438671F4">
      <w:pPr>
        <w:spacing w:line="360" w:lineRule="auto"/>
        <w:ind w:firstLine="480" w:firstLineChars="200"/>
        <w:rPr>
          <w:bCs/>
          <w:sz w:val="24"/>
        </w:rPr>
      </w:pPr>
      <w:r>
        <w:rPr>
          <w:rFonts w:hint="eastAsia"/>
          <w:bCs/>
          <w:sz w:val="24"/>
        </w:rPr>
        <w:t>《基金合同》生效后，在开始办理基金份额申购或者赎回前，基金管理人应当至少每周在指定网站披露一次基金份额净值和基金份额累计净值。</w:t>
      </w:r>
    </w:p>
    <w:p w14:paraId="17CE7FE0">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在开始办理基金份额申购或者赎回后，基金管理人应当在不晚于每个开放日的次日，通过指定网站、销售机构网站或者营业网点披露开放日的基金份额净值和基金份额累计净值。</w:t>
      </w:r>
    </w:p>
    <w:p w14:paraId="680C6CDE">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基金管理人应当在不晚于半年度和年度最后一日的次日，在指定网站披露半年度和年度最后一日的基金份额净值和基金份额累计净值。</w:t>
      </w:r>
    </w:p>
    <w:p w14:paraId="3FB97F34">
      <w:pPr>
        <w:spacing w:line="360" w:lineRule="auto"/>
        <w:ind w:firstLine="480" w:firstLineChars="200"/>
        <w:rPr>
          <w:bCs/>
          <w:sz w:val="24"/>
        </w:rPr>
      </w:pPr>
      <w:r>
        <w:rPr>
          <w:rFonts w:hint="eastAsia"/>
          <w:bCs/>
          <w:sz w:val="24"/>
        </w:rPr>
        <w:t>（五）基金份额申购、赎回价格</w:t>
      </w:r>
    </w:p>
    <w:p w14:paraId="4A51BFB6">
      <w:pPr>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3D349072">
      <w:pPr>
        <w:spacing w:line="360" w:lineRule="auto"/>
        <w:ind w:firstLine="480" w:firstLineChars="200"/>
        <w:rPr>
          <w:bCs/>
          <w:sz w:val="24"/>
        </w:rPr>
      </w:pPr>
      <w:r>
        <w:rPr>
          <w:rFonts w:hint="eastAsia"/>
          <w:bCs/>
          <w:sz w:val="24"/>
        </w:rPr>
        <w:t>（六）基金定期报告，包括基金年度报告、基金中期报告和基金季度报告</w:t>
      </w:r>
    </w:p>
    <w:p w14:paraId="24962B66">
      <w:pPr>
        <w:spacing w:line="360" w:lineRule="auto"/>
        <w:ind w:firstLine="480" w:firstLineChars="200"/>
        <w:rPr>
          <w:bCs/>
          <w:sz w:val="24"/>
        </w:rPr>
      </w:pPr>
      <w:r>
        <w:rPr>
          <w:rFonts w:hint="eastAsia"/>
          <w:bCs/>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14:paraId="300BB48F">
      <w:pPr>
        <w:spacing w:line="360" w:lineRule="auto"/>
        <w:ind w:firstLine="480" w:firstLineChars="200"/>
        <w:rPr>
          <w:bCs/>
          <w:sz w:val="24"/>
        </w:rPr>
      </w:pPr>
      <w:r>
        <w:rPr>
          <w:rFonts w:hint="eastAsia"/>
          <w:bCs/>
          <w:sz w:val="24"/>
        </w:rPr>
        <w:t>基金管理人应当在上半年结束之日起两个月内，编制完成基金中期报告，将中期报告登载在指定网站上，并将中期报告提示性公告登载在指定报刊上。</w:t>
      </w:r>
    </w:p>
    <w:p w14:paraId="4C1A96E2">
      <w:pPr>
        <w:spacing w:line="360" w:lineRule="auto"/>
        <w:ind w:firstLine="480" w:firstLineChars="200"/>
        <w:rPr>
          <w:bCs/>
          <w:sz w:val="24"/>
        </w:rPr>
      </w:pPr>
      <w:r>
        <w:rPr>
          <w:rFonts w:hint="eastAsia"/>
          <w:bCs/>
          <w:sz w:val="24"/>
        </w:rPr>
        <w:t>基金管理人应当在季度结束之日起15个工作日内，编制完成基金季度报告，将季度报告登载在指定网站上，并将季度报告提示性公告登载在指定报刊上。</w:t>
      </w:r>
    </w:p>
    <w:p w14:paraId="331B3A23">
      <w:pPr>
        <w:spacing w:line="360" w:lineRule="auto"/>
        <w:ind w:firstLine="480" w:firstLineChars="200"/>
        <w:rPr>
          <w:bCs/>
          <w:sz w:val="24"/>
        </w:rPr>
      </w:pPr>
      <w:r>
        <w:rPr>
          <w:rFonts w:hint="eastAsia"/>
          <w:bCs/>
          <w:sz w:val="24"/>
        </w:rPr>
        <w:t>《基金合同》生效不足2个月的，基金管理人可以不编制当期季度报告、中期报告或者年度报告。</w:t>
      </w:r>
    </w:p>
    <w:p w14:paraId="369228FB">
      <w:pPr>
        <w:spacing w:line="360" w:lineRule="auto"/>
        <w:ind w:firstLine="480" w:firstLineChars="20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203AFDFA">
      <w:pPr>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14:paraId="122E1CAA">
      <w:pPr>
        <w:spacing w:line="360" w:lineRule="auto"/>
        <w:ind w:firstLine="480" w:firstLineChars="200"/>
        <w:rPr>
          <w:bCs/>
          <w:sz w:val="24"/>
        </w:rPr>
      </w:pPr>
      <w:r>
        <w:rPr>
          <w:rFonts w:hint="eastAsia"/>
          <w:bCs/>
          <w:sz w:val="24"/>
        </w:rPr>
        <w:t>（七）临时报告</w:t>
      </w:r>
    </w:p>
    <w:p w14:paraId="0E0E6C1E">
      <w:pPr>
        <w:spacing w:line="360" w:lineRule="auto"/>
        <w:ind w:firstLine="480" w:firstLineChars="200"/>
        <w:rPr>
          <w:bCs/>
          <w:sz w:val="24"/>
        </w:rPr>
      </w:pPr>
      <w:r>
        <w:rPr>
          <w:rFonts w:hint="eastAsia"/>
          <w:bCs/>
          <w:sz w:val="24"/>
        </w:rPr>
        <w:t>本基金发生重大事件，有关信息披露义务人应当在2日内编制临时报告书，并登载在指定报刊和指定网站上。</w:t>
      </w:r>
    </w:p>
    <w:p w14:paraId="5A5683E1">
      <w:pPr>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14:paraId="440E256E">
      <w:pPr>
        <w:spacing w:line="360" w:lineRule="auto"/>
        <w:ind w:firstLine="480" w:firstLineChars="200"/>
        <w:rPr>
          <w:bCs/>
          <w:sz w:val="24"/>
        </w:rPr>
      </w:pPr>
      <w:r>
        <w:rPr>
          <w:rFonts w:hint="eastAsia"/>
          <w:bCs/>
          <w:sz w:val="24"/>
        </w:rPr>
        <w:t>1、基金份额持有人大会的召开及决定的事项；</w:t>
      </w:r>
    </w:p>
    <w:p w14:paraId="6DBECCDE">
      <w:pPr>
        <w:spacing w:line="360" w:lineRule="auto"/>
        <w:ind w:firstLine="480" w:firstLineChars="200"/>
        <w:rPr>
          <w:bCs/>
          <w:sz w:val="24"/>
        </w:rPr>
      </w:pPr>
      <w:r>
        <w:rPr>
          <w:rFonts w:hint="eastAsia"/>
          <w:bCs/>
          <w:sz w:val="24"/>
        </w:rPr>
        <w:t>2、《基金合同》终止、基金清算；</w:t>
      </w:r>
    </w:p>
    <w:p w14:paraId="4BC64DAB">
      <w:pPr>
        <w:spacing w:line="360" w:lineRule="auto"/>
        <w:ind w:firstLine="480" w:firstLineChars="200"/>
        <w:rPr>
          <w:bCs/>
          <w:sz w:val="24"/>
        </w:rPr>
      </w:pPr>
      <w:r>
        <w:rPr>
          <w:rFonts w:hint="eastAsia"/>
          <w:bCs/>
          <w:sz w:val="24"/>
        </w:rPr>
        <w:t>3、转换基金运作方式、基金合并；</w:t>
      </w:r>
    </w:p>
    <w:p w14:paraId="119E7E0D">
      <w:pPr>
        <w:spacing w:line="360" w:lineRule="auto"/>
        <w:ind w:firstLine="480" w:firstLineChars="200"/>
        <w:rPr>
          <w:bCs/>
          <w:sz w:val="24"/>
        </w:rPr>
      </w:pPr>
      <w:r>
        <w:rPr>
          <w:rFonts w:hint="eastAsia"/>
          <w:bCs/>
          <w:sz w:val="24"/>
        </w:rPr>
        <w:t>4、更换基金管理人、基金托管人、基金份额登记机构，基金改聘会计师事务所；</w:t>
      </w:r>
    </w:p>
    <w:p w14:paraId="085685E7">
      <w:pPr>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7A5BA5D6">
      <w:pPr>
        <w:spacing w:line="360" w:lineRule="auto"/>
        <w:ind w:firstLine="480" w:firstLineChars="200"/>
        <w:rPr>
          <w:bCs/>
          <w:sz w:val="24"/>
        </w:rPr>
      </w:pPr>
      <w:r>
        <w:rPr>
          <w:rFonts w:hint="eastAsia"/>
          <w:bCs/>
          <w:sz w:val="24"/>
        </w:rPr>
        <w:t>6、基金管理人、基金托管人的法定名称、住所发生变更；</w:t>
      </w:r>
    </w:p>
    <w:p w14:paraId="28F6086A">
      <w:pPr>
        <w:spacing w:line="360" w:lineRule="auto"/>
        <w:ind w:firstLine="480" w:firstLineChars="200"/>
        <w:rPr>
          <w:bCs/>
          <w:sz w:val="24"/>
        </w:rPr>
      </w:pPr>
      <w:r>
        <w:rPr>
          <w:rFonts w:hint="eastAsia"/>
          <w:bCs/>
          <w:sz w:val="24"/>
        </w:rPr>
        <w:t>7、基金管理人变更持有百分之五以上股权的股东、基金管理人的实际控制人变更；</w:t>
      </w:r>
    </w:p>
    <w:p w14:paraId="01ADA626">
      <w:pPr>
        <w:spacing w:line="360" w:lineRule="auto"/>
        <w:ind w:firstLine="480" w:firstLineChars="200"/>
        <w:rPr>
          <w:bCs/>
          <w:sz w:val="24"/>
        </w:rPr>
      </w:pPr>
      <w:r>
        <w:rPr>
          <w:rFonts w:hint="eastAsia"/>
          <w:bCs/>
          <w:sz w:val="24"/>
        </w:rPr>
        <w:t>8、基金募集期延长或提前结束募集；</w:t>
      </w:r>
    </w:p>
    <w:p w14:paraId="7DCBB8E6">
      <w:pPr>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0B813922">
      <w:pPr>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77799534">
      <w:pPr>
        <w:spacing w:line="360" w:lineRule="auto"/>
        <w:ind w:firstLine="480" w:firstLineChars="200"/>
        <w:rPr>
          <w:bCs/>
          <w:sz w:val="24"/>
        </w:rPr>
      </w:pPr>
      <w:r>
        <w:rPr>
          <w:rFonts w:hint="eastAsia"/>
          <w:bCs/>
          <w:sz w:val="24"/>
        </w:rPr>
        <w:t>11、涉及基金财产、基金管理业务、基金托管业务的诉讼或仲裁；</w:t>
      </w:r>
    </w:p>
    <w:p w14:paraId="0E5DF384">
      <w:pPr>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4553B9BD">
      <w:pPr>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380956A3">
      <w:pPr>
        <w:spacing w:line="360" w:lineRule="auto"/>
        <w:ind w:firstLine="480" w:firstLineChars="200"/>
        <w:rPr>
          <w:bCs/>
          <w:sz w:val="24"/>
        </w:rPr>
      </w:pPr>
      <w:r>
        <w:rPr>
          <w:rFonts w:hint="eastAsia"/>
          <w:bCs/>
          <w:sz w:val="24"/>
        </w:rPr>
        <w:t>14、基金收益分配事项；</w:t>
      </w:r>
    </w:p>
    <w:p w14:paraId="594D6FEC">
      <w:pPr>
        <w:spacing w:line="360" w:lineRule="auto"/>
        <w:ind w:firstLine="480" w:firstLineChars="200"/>
        <w:rPr>
          <w:bCs/>
          <w:sz w:val="24"/>
        </w:rPr>
      </w:pPr>
      <w:r>
        <w:rPr>
          <w:rFonts w:hint="eastAsia"/>
          <w:bCs/>
          <w:sz w:val="24"/>
        </w:rPr>
        <w:t>15、管理费、托管费、申购费、赎回费等费用计提标准、计提方式和费率发生变更；</w:t>
      </w:r>
    </w:p>
    <w:p w14:paraId="0ACBA03B">
      <w:pPr>
        <w:spacing w:line="360" w:lineRule="auto"/>
        <w:ind w:firstLine="480" w:firstLineChars="200"/>
        <w:rPr>
          <w:bCs/>
          <w:sz w:val="24"/>
        </w:rPr>
      </w:pPr>
      <w:r>
        <w:rPr>
          <w:rFonts w:hint="eastAsia"/>
          <w:bCs/>
          <w:sz w:val="24"/>
        </w:rPr>
        <w:t>16、基金份额净值计价错误达基金份额净值百分之零点五；</w:t>
      </w:r>
    </w:p>
    <w:p w14:paraId="40CEB5B3">
      <w:pPr>
        <w:spacing w:line="360" w:lineRule="auto"/>
        <w:ind w:firstLine="480" w:firstLineChars="200"/>
        <w:rPr>
          <w:bCs/>
          <w:sz w:val="24"/>
        </w:rPr>
      </w:pPr>
      <w:r>
        <w:rPr>
          <w:rFonts w:hint="eastAsia"/>
          <w:bCs/>
          <w:sz w:val="24"/>
        </w:rPr>
        <w:t>17、本基金开始办理申购、赎回；</w:t>
      </w:r>
    </w:p>
    <w:p w14:paraId="551D6BB1">
      <w:pPr>
        <w:spacing w:line="360" w:lineRule="auto"/>
        <w:ind w:firstLine="480" w:firstLineChars="200"/>
        <w:rPr>
          <w:bCs/>
          <w:sz w:val="24"/>
        </w:rPr>
      </w:pPr>
      <w:r>
        <w:rPr>
          <w:rFonts w:hint="eastAsia"/>
          <w:bCs/>
          <w:sz w:val="24"/>
        </w:rPr>
        <w:t>18、本基金发生巨额赎回并延期办理；</w:t>
      </w:r>
    </w:p>
    <w:p w14:paraId="64B95312">
      <w:pPr>
        <w:spacing w:line="360" w:lineRule="auto"/>
        <w:ind w:firstLine="480" w:firstLineChars="200"/>
        <w:rPr>
          <w:bCs/>
          <w:sz w:val="24"/>
        </w:rPr>
      </w:pPr>
      <w:r>
        <w:rPr>
          <w:rFonts w:hint="eastAsia"/>
          <w:bCs/>
          <w:sz w:val="24"/>
        </w:rPr>
        <w:t>19、本基金连续发生巨额赎回并暂停接受赎回申请或延缓支付赎回款项；</w:t>
      </w:r>
    </w:p>
    <w:p w14:paraId="34B4B75A">
      <w:pPr>
        <w:spacing w:line="360" w:lineRule="auto"/>
        <w:ind w:firstLine="480" w:firstLineChars="200"/>
        <w:rPr>
          <w:bCs/>
          <w:sz w:val="24"/>
        </w:rPr>
      </w:pPr>
      <w:r>
        <w:rPr>
          <w:rFonts w:hint="eastAsia"/>
          <w:bCs/>
          <w:sz w:val="24"/>
        </w:rPr>
        <w:t>20、本基金暂停接受申购、赎回申请或重新接受申购、赎回申请；</w:t>
      </w:r>
    </w:p>
    <w:p w14:paraId="13EABB0F">
      <w:pPr>
        <w:spacing w:line="360" w:lineRule="auto"/>
        <w:ind w:firstLine="480" w:firstLineChars="200"/>
        <w:rPr>
          <w:bCs/>
          <w:sz w:val="24"/>
        </w:rPr>
      </w:pPr>
      <w:r>
        <w:rPr>
          <w:rFonts w:hint="eastAsia"/>
          <w:bCs/>
          <w:sz w:val="24"/>
        </w:rPr>
        <w:t>21、发生涉及基金申购、赎回事项调整或潜在影响投资者赎回等重大事项时；</w:t>
      </w:r>
    </w:p>
    <w:p w14:paraId="2F16ED3E">
      <w:pPr>
        <w:spacing w:line="360" w:lineRule="auto"/>
        <w:ind w:firstLine="480" w:firstLineChars="200"/>
        <w:rPr>
          <w:bCs/>
          <w:sz w:val="24"/>
        </w:rPr>
      </w:pPr>
      <w:r>
        <w:rPr>
          <w:rFonts w:hint="eastAsia"/>
          <w:bCs/>
          <w:sz w:val="24"/>
        </w:rPr>
        <w:t>22、基金信息披露义务人认为可能对基金份额持有人权益或者基金份额的价格产生重大影响的其他事项或中国证监会规定的其他事项。</w:t>
      </w:r>
    </w:p>
    <w:p w14:paraId="1D981F3E">
      <w:pPr>
        <w:spacing w:line="360" w:lineRule="auto"/>
        <w:ind w:firstLine="480" w:firstLineChars="200"/>
        <w:rPr>
          <w:bCs/>
          <w:sz w:val="24"/>
        </w:rPr>
      </w:pPr>
      <w:r>
        <w:rPr>
          <w:rFonts w:hint="eastAsia"/>
          <w:bCs/>
          <w:sz w:val="24"/>
        </w:rPr>
        <w:t>（八）澄清公告</w:t>
      </w:r>
    </w:p>
    <w:p w14:paraId="6FF35E72">
      <w:pPr>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667B1BD8">
      <w:pPr>
        <w:spacing w:line="360" w:lineRule="auto"/>
        <w:ind w:firstLine="480" w:firstLineChars="200"/>
        <w:rPr>
          <w:bCs/>
          <w:sz w:val="24"/>
        </w:rPr>
      </w:pPr>
      <w:r>
        <w:rPr>
          <w:rFonts w:hint="eastAsia"/>
          <w:bCs/>
          <w:sz w:val="24"/>
        </w:rPr>
        <w:t>（九）基金份额持有人大会决议</w:t>
      </w:r>
    </w:p>
    <w:p w14:paraId="1BE824FB">
      <w:pPr>
        <w:spacing w:line="360" w:lineRule="auto"/>
        <w:ind w:firstLine="480" w:firstLineChars="200"/>
        <w:rPr>
          <w:bCs/>
          <w:sz w:val="24"/>
        </w:rPr>
      </w:pPr>
      <w:r>
        <w:rPr>
          <w:rFonts w:hint="eastAsia"/>
          <w:bCs/>
          <w:sz w:val="24"/>
        </w:rPr>
        <w:t>基金份额持有人大会决定的事项，应当依法报中国证监会备案，并予以公告。</w:t>
      </w:r>
    </w:p>
    <w:p w14:paraId="33DF8029">
      <w:pPr>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2044699B">
      <w:pPr>
        <w:spacing w:line="360" w:lineRule="auto"/>
        <w:ind w:firstLine="480" w:firstLineChars="200"/>
        <w:rPr>
          <w:bCs/>
          <w:sz w:val="24"/>
        </w:rPr>
      </w:pPr>
      <w:r>
        <w:rPr>
          <w:rFonts w:hint="eastAsia"/>
          <w:bCs/>
          <w:sz w:val="24"/>
        </w:rPr>
        <w:t>（十）清算报告</w:t>
      </w:r>
    </w:p>
    <w:p w14:paraId="7B94286F">
      <w:pPr>
        <w:spacing w:line="360" w:lineRule="auto"/>
        <w:ind w:firstLine="480" w:firstLineChars="200"/>
        <w:rPr>
          <w:bCs/>
          <w:sz w:val="24"/>
        </w:rPr>
      </w:pPr>
      <w:r>
        <w:rPr>
          <w:rFonts w:hint="eastAsia"/>
          <w:bCs/>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14:paraId="7DE03550">
      <w:pPr>
        <w:spacing w:line="360" w:lineRule="auto"/>
        <w:ind w:firstLine="480" w:firstLineChars="200"/>
        <w:rPr>
          <w:bCs/>
          <w:sz w:val="24"/>
        </w:rPr>
      </w:pPr>
      <w:r>
        <w:rPr>
          <w:rFonts w:hint="eastAsia"/>
          <w:bCs/>
          <w:sz w:val="24"/>
        </w:rPr>
        <w:t>（十一）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1D6A3C2B">
      <w:pPr>
        <w:spacing w:line="360" w:lineRule="auto"/>
        <w:ind w:firstLine="480" w:firstLineChars="200"/>
        <w:rPr>
          <w:bCs/>
          <w:sz w:val="24"/>
        </w:rPr>
      </w:pPr>
      <w:r>
        <w:rPr>
          <w:rFonts w:hint="eastAsia"/>
          <w:bCs/>
          <w:sz w:val="24"/>
        </w:rPr>
        <w:t>（十二）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F930C13">
      <w:pPr>
        <w:spacing w:line="360" w:lineRule="auto"/>
        <w:ind w:firstLine="480" w:firstLineChars="200"/>
        <w:rPr>
          <w:bCs/>
          <w:sz w:val="24"/>
        </w:rPr>
      </w:pPr>
      <w:r>
        <w:rPr>
          <w:rFonts w:hint="eastAsia"/>
          <w:bCs/>
          <w:sz w:val="24"/>
        </w:rPr>
        <w:t>（十三）基金管理人在本基金投资非公开发行股票后2个交易日内，在中国证监会指定媒介披露所投资非公开发行股票的名称、数量、总成本、账面价值，以及总成本和账面价值占基金资产净值的比例、锁定期等信息。</w:t>
      </w:r>
    </w:p>
    <w:p w14:paraId="1742EF33">
      <w:pPr>
        <w:spacing w:line="360" w:lineRule="auto"/>
        <w:ind w:firstLine="480" w:firstLineChars="200"/>
        <w:rPr>
          <w:bCs/>
          <w:sz w:val="24"/>
        </w:rPr>
      </w:pPr>
      <w:r>
        <w:rPr>
          <w:rFonts w:hint="eastAsia"/>
          <w:bCs/>
          <w:sz w:val="24"/>
        </w:rPr>
        <w:t>（十四）中国证监会规定的其他信息。</w:t>
      </w:r>
    </w:p>
    <w:p w14:paraId="7DDF3723">
      <w:pPr>
        <w:spacing w:line="360" w:lineRule="auto"/>
        <w:ind w:firstLine="480" w:firstLineChars="200"/>
        <w:rPr>
          <w:bCs/>
          <w:sz w:val="24"/>
        </w:rPr>
      </w:pPr>
      <w:r>
        <w:rPr>
          <w:rFonts w:hint="eastAsia"/>
          <w:bCs/>
          <w:sz w:val="24"/>
        </w:rPr>
        <w:t>六、信息披露事务管理</w:t>
      </w:r>
    </w:p>
    <w:p w14:paraId="77534215">
      <w:pPr>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14:paraId="501B0FF2">
      <w:pPr>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基金信息披露义务人公开披露基金信息，应当符合中国证监会相关基金信息披露内容与格式准则等法规规定。</w:t>
      </w:r>
    </w:p>
    <w:p w14:paraId="393F9B8B">
      <w:pPr>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14:paraId="583EFB29">
      <w:pPr>
        <w:spacing w:line="360" w:lineRule="auto"/>
        <w:ind w:firstLine="480" w:firstLineChars="20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033641AB">
      <w:pPr>
        <w:spacing w:line="360" w:lineRule="auto"/>
        <w:ind w:firstLine="480" w:firstLineChars="200"/>
        <w:rPr>
          <w:bCs/>
          <w:sz w:val="24"/>
        </w:rPr>
      </w:pPr>
      <w:r>
        <w:rPr>
          <w:rFonts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5381F491">
      <w:pPr>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14:paraId="5A013648">
      <w:pPr>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3B904867">
      <w:pPr>
        <w:spacing w:line="360" w:lineRule="auto"/>
        <w:ind w:firstLine="480" w:firstLineChars="200"/>
        <w:rPr>
          <w:bCs/>
          <w:sz w:val="24"/>
        </w:rPr>
      </w:pPr>
      <w:r>
        <w:rPr>
          <w:rFonts w:hint="eastAsia"/>
          <w:bCs/>
          <w:sz w:val="24"/>
        </w:rPr>
        <w:t>七、信息披露文件的存放与查阅</w:t>
      </w:r>
    </w:p>
    <w:p w14:paraId="29366D36">
      <w:pPr>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依法必须披露的信息发布后，基金管理人、基金托管人应当按照相关法律法规规定将信息置备于各自住所，供社会公众查阅、复制。</w:t>
      </w:r>
    </w:p>
    <w:p w14:paraId="029516C2">
      <w:pPr>
        <w:spacing w:line="360" w:lineRule="auto"/>
        <w:ind w:firstLine="480" w:firstLineChars="200"/>
        <w:rPr>
          <w:bCs/>
          <w:sz w:val="24"/>
        </w:rPr>
      </w:pPr>
      <w:r>
        <w:rPr>
          <w:rFonts w:hint="eastAsia"/>
          <w:bCs/>
          <w:sz w:val="24"/>
        </w:rPr>
        <w:t>八、本基金信息披露事项以法律法规规定及本章节约定的内容为准。</w:t>
      </w:r>
    </w:p>
    <w:p w14:paraId="2C96CE25">
      <w:pPr>
        <w:pStyle w:val="2"/>
        <w:spacing w:before="0" w:after="0"/>
        <w:jc w:val="center"/>
        <w:rPr>
          <w:rFonts w:ascii="Times New Roman"/>
          <w:color w:val="auto"/>
          <w:sz w:val="30"/>
        </w:rPr>
      </w:pPr>
      <w:r>
        <w:rPr>
          <w:rFonts w:ascii="Times New Roman"/>
          <w:b w:val="0"/>
          <w:bCs/>
          <w:color w:val="auto"/>
          <w:kern w:val="44"/>
          <w:sz w:val="21"/>
        </w:rPr>
        <w:br w:type="page"/>
      </w:r>
      <w:bookmarkStart w:id="422" w:name="_Toc98560364"/>
      <w:bookmarkStart w:id="423" w:name="_Toc425241721"/>
      <w:bookmarkStart w:id="424" w:name="_Toc141703899"/>
      <w:bookmarkStart w:id="425" w:name="_Toc8049"/>
      <w:bookmarkStart w:id="426" w:name="_Toc29891"/>
      <w:bookmarkStart w:id="427" w:name="_Toc27464"/>
      <w:bookmarkStart w:id="428" w:name="_Toc7170"/>
      <w:bookmarkStart w:id="429" w:name="_Toc10006"/>
      <w:bookmarkStart w:id="430" w:name="_Toc9005"/>
      <w:bookmarkStart w:id="431" w:name="_Toc8059"/>
      <w:bookmarkStart w:id="432" w:name="_Toc25647"/>
      <w:bookmarkStart w:id="433" w:name="_Toc139991749"/>
      <w:bookmarkStart w:id="434" w:name="_Toc6237"/>
      <w:bookmarkStart w:id="435" w:name="_Toc123112247"/>
      <w:bookmarkStart w:id="436" w:name="_Toc22978"/>
      <w:bookmarkStart w:id="437" w:name="_Toc123102466"/>
      <w:bookmarkStart w:id="438" w:name="_Toc123051465"/>
      <w:r>
        <w:rPr>
          <w:rFonts w:ascii="Times New Roman"/>
          <w:color w:val="auto"/>
          <w:sz w:val="30"/>
        </w:rPr>
        <w:t>第十九部分</w:t>
      </w:r>
      <w:bookmarkStart w:id="439" w:name="_Hlt88828593"/>
      <w:r>
        <w:rPr>
          <w:rFonts w:ascii="Times New Roman"/>
          <w:color w:val="auto"/>
          <w:sz w:val="30"/>
        </w:rPr>
        <w:t>基金合同</w:t>
      </w:r>
      <w:bookmarkEnd w:id="439"/>
      <w:r>
        <w:rPr>
          <w:rFonts w:ascii="Times New Roman"/>
          <w:color w:val="auto"/>
          <w:sz w:val="30"/>
        </w:rPr>
        <w:t>的变更、终止与基金财产的清算</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306F27BA">
      <w:pPr>
        <w:spacing w:line="360" w:lineRule="auto"/>
        <w:ind w:firstLine="480" w:firstLineChars="200"/>
        <w:rPr>
          <w:bCs/>
          <w:sz w:val="24"/>
        </w:rPr>
      </w:pPr>
    </w:p>
    <w:p w14:paraId="3353E396">
      <w:pPr>
        <w:spacing w:line="360" w:lineRule="auto"/>
        <w:ind w:firstLine="480" w:firstLineChars="200"/>
        <w:rPr>
          <w:bCs/>
          <w:sz w:val="24"/>
        </w:rPr>
      </w:pPr>
      <w:bookmarkStart w:id="440" w:name="_Toc79392639"/>
      <w:r>
        <w:rPr>
          <w:bCs/>
          <w:sz w:val="24"/>
        </w:rPr>
        <w:t>一、《基金合同》的变更</w:t>
      </w:r>
      <w:bookmarkEnd w:id="440"/>
    </w:p>
    <w:p w14:paraId="344EC33D">
      <w:pPr>
        <w:autoSpaceDE w:val="0"/>
        <w:autoSpaceDN w:val="0"/>
        <w:adjustRightInd w:val="0"/>
        <w:spacing w:line="360" w:lineRule="auto"/>
        <w:ind w:firstLine="480" w:firstLineChars="2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4CA4DB84">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自决议生效后</w:t>
      </w:r>
      <w:r>
        <w:rPr>
          <w:rFonts w:hint="eastAsia"/>
          <w:bCs/>
          <w:sz w:val="24"/>
        </w:rPr>
        <w:t>依照《信息披露办法》的规定</w:t>
      </w:r>
      <w:r>
        <w:rPr>
          <w:bCs/>
          <w:sz w:val="24"/>
        </w:rPr>
        <w:t>在指定媒介公告。</w:t>
      </w:r>
    </w:p>
    <w:p w14:paraId="6B86476B">
      <w:pPr>
        <w:spacing w:line="360" w:lineRule="auto"/>
        <w:ind w:firstLine="480" w:firstLineChars="200"/>
        <w:rPr>
          <w:bCs/>
          <w:sz w:val="24"/>
        </w:rPr>
      </w:pPr>
      <w:r>
        <w:rPr>
          <w:rFonts w:hint="eastAsia"/>
          <w:bCs/>
          <w:sz w:val="24"/>
        </w:rPr>
        <w:t>二、《基金合同》的终止事由</w:t>
      </w:r>
    </w:p>
    <w:p w14:paraId="196EC65D">
      <w:pPr>
        <w:spacing w:line="360" w:lineRule="auto"/>
        <w:ind w:firstLine="480" w:firstLineChars="200"/>
        <w:rPr>
          <w:bCs/>
          <w:sz w:val="24"/>
        </w:rPr>
      </w:pPr>
      <w:r>
        <w:rPr>
          <w:bCs/>
          <w:sz w:val="24"/>
        </w:rPr>
        <w:t>有下列情形之一的，《基金合同》应当终止：</w:t>
      </w:r>
    </w:p>
    <w:p w14:paraId="49BCA63E">
      <w:pPr>
        <w:spacing w:line="360" w:lineRule="auto"/>
        <w:ind w:firstLine="480" w:firstLineChars="200"/>
        <w:rPr>
          <w:bCs/>
          <w:sz w:val="24"/>
        </w:rPr>
      </w:pPr>
      <w:r>
        <w:rPr>
          <w:bCs/>
          <w:sz w:val="24"/>
        </w:rPr>
        <w:t>1、基金份额持有人大会决定终止的；</w:t>
      </w:r>
    </w:p>
    <w:p w14:paraId="654264CC">
      <w:pPr>
        <w:spacing w:line="360" w:lineRule="auto"/>
        <w:ind w:firstLine="480" w:firstLineChars="200"/>
        <w:rPr>
          <w:bCs/>
          <w:sz w:val="24"/>
        </w:rPr>
      </w:pPr>
      <w:r>
        <w:rPr>
          <w:bCs/>
          <w:sz w:val="24"/>
        </w:rPr>
        <w:t>2、基金管理人、基金托管人职责终止，在6个月内没有新基金管理人、新基金托管人承接的；</w:t>
      </w:r>
    </w:p>
    <w:p w14:paraId="3F21E2DE">
      <w:pPr>
        <w:spacing w:line="360" w:lineRule="auto"/>
        <w:ind w:firstLine="480" w:firstLineChars="200"/>
        <w:rPr>
          <w:bCs/>
          <w:sz w:val="24"/>
        </w:rPr>
      </w:pPr>
      <w:r>
        <w:rPr>
          <w:rFonts w:hint="eastAsia"/>
          <w:bCs/>
          <w:sz w:val="24"/>
        </w:rPr>
        <w:t>3、</w:t>
      </w:r>
      <w:r>
        <w:rPr>
          <w:bCs/>
          <w:sz w:val="24"/>
        </w:rPr>
        <w:t>《基金合同》约定的其他情形；</w:t>
      </w:r>
    </w:p>
    <w:p w14:paraId="120922B0">
      <w:pPr>
        <w:spacing w:line="360" w:lineRule="auto"/>
        <w:ind w:firstLine="480" w:firstLineChars="200"/>
        <w:rPr>
          <w:bCs/>
          <w:sz w:val="24"/>
        </w:rPr>
      </w:pPr>
      <w:r>
        <w:rPr>
          <w:rFonts w:hint="eastAsia"/>
          <w:bCs/>
          <w:sz w:val="24"/>
        </w:rPr>
        <w:t>4</w:t>
      </w:r>
      <w:r>
        <w:rPr>
          <w:bCs/>
          <w:sz w:val="24"/>
        </w:rPr>
        <w:t>、相关法律法规和中国证监会规定的其他情况。</w:t>
      </w:r>
    </w:p>
    <w:p w14:paraId="03846AB8">
      <w:pPr>
        <w:spacing w:line="360" w:lineRule="auto"/>
        <w:ind w:firstLine="480" w:firstLineChars="200"/>
        <w:rPr>
          <w:bCs/>
          <w:sz w:val="24"/>
        </w:rPr>
      </w:pPr>
      <w:r>
        <w:rPr>
          <w:bCs/>
          <w:sz w:val="24"/>
        </w:rPr>
        <w:t>三、基金财产的清算</w:t>
      </w:r>
    </w:p>
    <w:p w14:paraId="09FED1D7">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0FC4D30A">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0CE0E760">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2B18FEF4">
      <w:pPr>
        <w:spacing w:line="360" w:lineRule="auto"/>
        <w:ind w:firstLine="480" w:firstLineChars="200"/>
        <w:rPr>
          <w:bCs/>
          <w:sz w:val="24"/>
        </w:rPr>
      </w:pPr>
      <w:r>
        <w:rPr>
          <w:bCs/>
          <w:sz w:val="24"/>
        </w:rPr>
        <w:t>4、基金财产清算程序：</w:t>
      </w:r>
    </w:p>
    <w:p w14:paraId="78F9AF81">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1DCED20A">
      <w:pPr>
        <w:spacing w:line="360" w:lineRule="auto"/>
        <w:ind w:firstLine="480" w:firstLineChars="200"/>
        <w:rPr>
          <w:bCs/>
          <w:sz w:val="24"/>
        </w:rPr>
      </w:pPr>
      <w:r>
        <w:rPr>
          <w:bCs/>
          <w:sz w:val="24"/>
        </w:rPr>
        <w:t>（2）对基金财产和债权债务进行清理和确认；</w:t>
      </w:r>
    </w:p>
    <w:p w14:paraId="225C8BF2">
      <w:pPr>
        <w:spacing w:line="360" w:lineRule="auto"/>
        <w:ind w:firstLine="480" w:firstLineChars="200"/>
        <w:rPr>
          <w:bCs/>
          <w:sz w:val="24"/>
        </w:rPr>
      </w:pPr>
      <w:r>
        <w:rPr>
          <w:bCs/>
          <w:sz w:val="24"/>
        </w:rPr>
        <w:t>（3）对基金财产进行估值和变现；</w:t>
      </w:r>
    </w:p>
    <w:p w14:paraId="5371933D">
      <w:pPr>
        <w:spacing w:line="360" w:lineRule="auto"/>
        <w:ind w:firstLine="480" w:firstLineChars="200"/>
        <w:rPr>
          <w:bCs/>
          <w:sz w:val="24"/>
        </w:rPr>
      </w:pPr>
      <w:r>
        <w:rPr>
          <w:bCs/>
          <w:sz w:val="24"/>
        </w:rPr>
        <w:t>（4）制作清算报告；</w:t>
      </w:r>
    </w:p>
    <w:p w14:paraId="472A5A36">
      <w:pPr>
        <w:spacing w:line="360" w:lineRule="auto"/>
        <w:ind w:firstLine="480" w:firstLineChars="200"/>
        <w:rPr>
          <w:bCs/>
          <w:sz w:val="24"/>
        </w:rPr>
      </w:pPr>
      <w:r>
        <w:rPr>
          <w:bCs/>
          <w:sz w:val="24"/>
        </w:rPr>
        <w:t>（5）聘请会计师事务所对清算报告进行外部审计，聘请律师事务所对清算报告出具法律意见书；</w:t>
      </w:r>
    </w:p>
    <w:p w14:paraId="3ED3954C">
      <w:pPr>
        <w:spacing w:line="360" w:lineRule="auto"/>
        <w:ind w:firstLine="480" w:firstLineChars="200"/>
        <w:rPr>
          <w:bCs/>
          <w:sz w:val="24"/>
        </w:rPr>
      </w:pPr>
      <w:r>
        <w:rPr>
          <w:bCs/>
          <w:sz w:val="24"/>
        </w:rPr>
        <w:t>（6）将清算报告报中国证监会备案并公告</w:t>
      </w:r>
      <w:r>
        <w:rPr>
          <w:rFonts w:hint="eastAsia"/>
          <w:bCs/>
          <w:sz w:val="24"/>
        </w:rPr>
        <w:t>；</w:t>
      </w:r>
    </w:p>
    <w:p w14:paraId="5613499E">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3CFC1767">
      <w:pPr>
        <w:spacing w:line="360" w:lineRule="auto"/>
        <w:ind w:firstLine="480" w:firstLineChars="200"/>
        <w:rPr>
          <w:bCs/>
          <w:sz w:val="24"/>
        </w:rPr>
      </w:pPr>
      <w:r>
        <w:rPr>
          <w:bCs/>
          <w:sz w:val="24"/>
        </w:rPr>
        <w:t>5、基金财产清算的期限为</w:t>
      </w:r>
      <w:r>
        <w:rPr>
          <w:rFonts w:hint="eastAsia"/>
          <w:bCs/>
          <w:sz w:val="24"/>
        </w:rPr>
        <w:t>6</w:t>
      </w:r>
      <w:r>
        <w:rPr>
          <w:bCs/>
          <w:sz w:val="24"/>
        </w:rPr>
        <w:t>个月</w:t>
      </w:r>
      <w:r>
        <w:rPr>
          <w:rFonts w:hint="eastAsia"/>
          <w:bCs/>
          <w:sz w:val="24"/>
        </w:rPr>
        <w:t>，若遇基金持有的有价证券出现长期休市、停牌或其他流通受限的情形除外。</w:t>
      </w:r>
    </w:p>
    <w:p w14:paraId="2E1A9E90">
      <w:pPr>
        <w:spacing w:line="360" w:lineRule="auto"/>
        <w:ind w:firstLine="480" w:firstLineChars="200"/>
        <w:rPr>
          <w:bCs/>
          <w:sz w:val="24"/>
        </w:rPr>
      </w:pPr>
      <w:r>
        <w:rPr>
          <w:bCs/>
          <w:sz w:val="24"/>
        </w:rPr>
        <w:t>四、清算费用</w:t>
      </w:r>
    </w:p>
    <w:p w14:paraId="4E41D37A">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4E5ACF01">
      <w:pPr>
        <w:spacing w:line="360" w:lineRule="auto"/>
        <w:ind w:firstLine="480" w:firstLineChars="200"/>
        <w:rPr>
          <w:bCs/>
          <w:sz w:val="24"/>
        </w:rPr>
      </w:pPr>
      <w:r>
        <w:rPr>
          <w:bCs/>
          <w:sz w:val="24"/>
        </w:rPr>
        <w:t>五、基金财产清算剩余资产的分配</w:t>
      </w:r>
    </w:p>
    <w:p w14:paraId="0CC4317B">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5DAB0689">
      <w:pPr>
        <w:spacing w:line="360" w:lineRule="auto"/>
        <w:ind w:firstLine="480" w:firstLineChars="200"/>
        <w:rPr>
          <w:bCs/>
          <w:sz w:val="24"/>
        </w:rPr>
      </w:pPr>
      <w:r>
        <w:rPr>
          <w:bCs/>
          <w:sz w:val="24"/>
        </w:rPr>
        <w:t>六、基金财产清算的公告</w:t>
      </w:r>
    </w:p>
    <w:p w14:paraId="0526A138">
      <w:pPr>
        <w:spacing w:line="360" w:lineRule="auto"/>
        <w:ind w:firstLine="480" w:firstLineChars="200"/>
        <w:rPr>
          <w:bCs/>
          <w:sz w:val="24"/>
        </w:rPr>
      </w:pPr>
      <w:r>
        <w:rPr>
          <w:bCs/>
          <w:sz w:val="24"/>
        </w:rPr>
        <w:t>清算过程中的有关重大事项须及时公告；基金财产清算报告经会计师事务所审计并由律师事务所出具法律意见书后</w:t>
      </w:r>
      <w:r>
        <w:rPr>
          <w:rFonts w:hint="eastAsia"/>
          <w:bCs/>
          <w:sz w:val="24"/>
        </w:rPr>
        <w:t>，</w:t>
      </w:r>
      <w:r>
        <w:rPr>
          <w:bCs/>
          <w:sz w:val="24"/>
        </w:rPr>
        <w:t>报中国证监会备案并公告。基金财产清算公告于基金财产清算报告报中国证监会备案后</w:t>
      </w:r>
      <w:r>
        <w:rPr>
          <w:rFonts w:hint="eastAsia"/>
          <w:bCs/>
          <w:sz w:val="24"/>
        </w:rPr>
        <w:t>5</w:t>
      </w:r>
      <w:r>
        <w:rPr>
          <w:bCs/>
          <w:sz w:val="24"/>
        </w:rPr>
        <w:t>个工作日内由基金财产清算小组进行公告。</w:t>
      </w:r>
    </w:p>
    <w:p w14:paraId="3603A6F4">
      <w:pPr>
        <w:spacing w:line="360" w:lineRule="auto"/>
        <w:ind w:firstLine="480" w:firstLineChars="200"/>
        <w:rPr>
          <w:bCs/>
          <w:sz w:val="24"/>
        </w:rPr>
      </w:pPr>
      <w:r>
        <w:rPr>
          <w:bCs/>
          <w:sz w:val="24"/>
        </w:rPr>
        <w:t>七、基金财产清算账册及文件的保存</w:t>
      </w:r>
    </w:p>
    <w:p w14:paraId="4528AEAA">
      <w:pPr>
        <w:spacing w:line="360" w:lineRule="auto"/>
        <w:ind w:firstLine="480" w:firstLineChars="200"/>
        <w:rPr>
          <w:bCs/>
          <w:sz w:val="24"/>
        </w:rPr>
      </w:pPr>
      <w:r>
        <w:rPr>
          <w:bCs/>
          <w:sz w:val="24"/>
        </w:rPr>
        <w:t>基金财产清算账册及有关文件由基金托管人保存</w:t>
      </w:r>
      <w:r>
        <w:rPr>
          <w:rFonts w:hint="eastAsia"/>
          <w:bCs/>
          <w:sz w:val="24"/>
        </w:rPr>
        <w:t>15</w:t>
      </w:r>
      <w:r>
        <w:rPr>
          <w:bCs/>
          <w:sz w:val="24"/>
        </w:rPr>
        <w:t>年以上。</w:t>
      </w:r>
    </w:p>
    <w:p w14:paraId="44C1894C">
      <w:pPr>
        <w:spacing w:line="360" w:lineRule="auto"/>
        <w:ind w:firstLine="422" w:firstLineChars="200"/>
        <w:rPr>
          <w:bCs/>
          <w:i/>
          <w:sz w:val="24"/>
        </w:rPr>
      </w:pPr>
      <w:r>
        <w:rPr>
          <w:b/>
          <w:bCs/>
        </w:rPr>
        <w:br w:type="page"/>
      </w:r>
    </w:p>
    <w:p w14:paraId="4FBD04C5">
      <w:pPr>
        <w:pStyle w:val="2"/>
        <w:spacing w:before="0" w:after="0"/>
        <w:ind w:left="1146" w:firstLine="904" w:firstLineChars="300"/>
        <w:jc w:val="left"/>
        <w:rPr>
          <w:rFonts w:ascii="Times New Roman"/>
          <w:b w:val="0"/>
          <w:bCs/>
          <w:color w:val="auto"/>
          <w:kern w:val="2"/>
        </w:rPr>
      </w:pPr>
      <w:bookmarkStart w:id="441" w:name="_Toc79392641"/>
      <w:bookmarkStart w:id="442" w:name="_Toc123102467"/>
      <w:bookmarkStart w:id="443" w:name="_Toc141703901"/>
      <w:bookmarkStart w:id="444" w:name="_Toc123051466"/>
      <w:bookmarkStart w:id="445" w:name="_Toc12191"/>
      <w:bookmarkStart w:id="446" w:name="_Toc13398"/>
      <w:bookmarkStart w:id="447" w:name="_Toc7367"/>
      <w:bookmarkStart w:id="448" w:name="_Toc23022"/>
      <w:bookmarkStart w:id="449" w:name="_Toc425241722"/>
      <w:bookmarkStart w:id="450" w:name="_Toc8710"/>
      <w:bookmarkStart w:id="451" w:name="_Toc30645"/>
      <w:bookmarkStart w:id="452" w:name="_Toc139991750"/>
      <w:bookmarkStart w:id="453" w:name="_Toc9708"/>
      <w:bookmarkStart w:id="454" w:name="_Toc123112248"/>
      <w:bookmarkStart w:id="455" w:name="_Toc27058"/>
      <w:bookmarkStart w:id="456" w:name="_Toc98560365"/>
      <w:bookmarkStart w:id="457" w:name="_Toc21240"/>
      <w:bookmarkStart w:id="458" w:name="_Toc48649720"/>
      <w:bookmarkStart w:id="459" w:name="_Toc28549"/>
      <w:r>
        <w:rPr>
          <w:rFonts w:ascii="Times New Roman"/>
          <w:color w:val="auto"/>
          <w:sz w:val="30"/>
        </w:rPr>
        <w:t>第二十部分违约责任</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216CE371">
      <w:pPr>
        <w:spacing w:line="360" w:lineRule="auto"/>
        <w:ind w:firstLine="480" w:firstLineChars="200"/>
        <w:rPr>
          <w:bCs/>
          <w:sz w:val="24"/>
        </w:rPr>
      </w:pPr>
    </w:p>
    <w:p w14:paraId="695E32C6">
      <w:pPr>
        <w:adjustRightInd w:val="0"/>
        <w:snapToGrid w:val="0"/>
        <w:spacing w:line="360" w:lineRule="auto"/>
        <w:ind w:firstLine="480" w:firstLineChars="20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 w:val="24"/>
        </w:rPr>
        <w:t>但是发生下列情况之一的，当事人免责：</w:t>
      </w:r>
    </w:p>
    <w:p w14:paraId="5DCED621">
      <w:pPr>
        <w:adjustRightInd w:val="0"/>
        <w:snapToGrid w:val="0"/>
        <w:spacing w:line="360" w:lineRule="auto"/>
        <w:ind w:firstLine="480" w:firstLineChars="200"/>
        <w:rPr>
          <w:bCs/>
          <w:sz w:val="24"/>
        </w:rPr>
      </w:pPr>
      <w:r>
        <w:rPr>
          <w:bCs/>
          <w:sz w:val="24"/>
        </w:rPr>
        <w:t>1、不可抗力；</w:t>
      </w:r>
    </w:p>
    <w:p w14:paraId="62F9A806">
      <w:pPr>
        <w:adjustRightInd w:val="0"/>
        <w:snapToGrid w:val="0"/>
        <w:spacing w:line="360" w:lineRule="auto"/>
        <w:ind w:firstLine="480" w:firstLineChars="200"/>
        <w:rPr>
          <w:bCs/>
          <w:sz w:val="24"/>
        </w:rPr>
      </w:pPr>
      <w:r>
        <w:rPr>
          <w:bCs/>
          <w:sz w:val="24"/>
        </w:rPr>
        <w:t>2、基金管理人和/或基金托管人按照当时有效的法律法规或中国证监会的规定作为或不作为而造成的损失等；</w:t>
      </w:r>
    </w:p>
    <w:p w14:paraId="1EAFC792">
      <w:pPr>
        <w:adjustRightInd w:val="0"/>
        <w:snapToGrid w:val="0"/>
        <w:spacing w:line="360" w:lineRule="auto"/>
        <w:ind w:firstLine="480" w:firstLineChars="200"/>
        <w:rPr>
          <w:bCs/>
          <w:sz w:val="24"/>
        </w:rPr>
      </w:pPr>
      <w:r>
        <w:rPr>
          <w:bCs/>
          <w:sz w:val="24"/>
        </w:rPr>
        <w:t>3、基金</w:t>
      </w:r>
      <w:r>
        <w:rPr>
          <w:rFonts w:hint="eastAsia"/>
          <w:bCs/>
          <w:sz w:val="24"/>
        </w:rPr>
        <w:t>管理人由于按照基金合同规定的投资原则行使或不行使其投资权而造成的损失等。</w:t>
      </w:r>
    </w:p>
    <w:p w14:paraId="5887FA43">
      <w:pPr>
        <w:adjustRightInd w:val="0"/>
        <w:snapToGrid w:val="0"/>
        <w:spacing w:line="360" w:lineRule="auto"/>
        <w:ind w:firstLine="480" w:firstLineChars="20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7398CE74">
      <w:pPr>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w:t>
      </w:r>
      <w:r>
        <w:rPr>
          <w:rFonts w:hint="eastAsia"/>
          <w:bCs/>
          <w:sz w:val="24"/>
        </w:rPr>
        <w:t>基金份额持有人</w:t>
      </w:r>
      <w:r>
        <w:rPr>
          <w:bCs/>
          <w:sz w:val="24"/>
        </w:rPr>
        <w:t>损失，基金管理人和基金托管人免除赔偿责任。但是基金管理人和基金托管人应积极采取必要的措施</w:t>
      </w:r>
      <w:r>
        <w:rPr>
          <w:rFonts w:hint="eastAsia"/>
          <w:bCs/>
          <w:sz w:val="24"/>
        </w:rPr>
        <w:t>减轻或</w:t>
      </w:r>
      <w:r>
        <w:rPr>
          <w:bCs/>
          <w:sz w:val="24"/>
        </w:rPr>
        <w:t>消除由此造成的影响。</w:t>
      </w:r>
    </w:p>
    <w:p w14:paraId="48352A7B">
      <w:pPr>
        <w:pStyle w:val="2"/>
        <w:spacing w:before="0" w:after="0"/>
        <w:jc w:val="center"/>
        <w:rPr>
          <w:rFonts w:ascii="Times New Roman"/>
          <w:color w:val="auto"/>
          <w:sz w:val="30"/>
        </w:rPr>
      </w:pPr>
      <w:r>
        <w:rPr>
          <w:rFonts w:ascii="Times New Roman"/>
          <w:b w:val="0"/>
          <w:bCs/>
          <w:color w:val="auto"/>
        </w:rPr>
        <w:br w:type="page"/>
      </w:r>
      <w:bookmarkStart w:id="460" w:name="_Toc3319"/>
      <w:bookmarkStart w:id="461" w:name="_Toc141703902"/>
      <w:bookmarkStart w:id="462" w:name="_Toc21983"/>
      <w:bookmarkStart w:id="463" w:name="_Toc30350"/>
      <w:bookmarkStart w:id="464" w:name="_Toc123112249"/>
      <w:bookmarkStart w:id="465" w:name="_Toc24923"/>
      <w:bookmarkStart w:id="466" w:name="_Toc139991751"/>
      <w:bookmarkStart w:id="467" w:name="_Toc123051467"/>
      <w:bookmarkStart w:id="468" w:name="_Toc8636"/>
      <w:bookmarkStart w:id="469" w:name="_Toc7288"/>
      <w:bookmarkStart w:id="470" w:name="_Toc123102468"/>
      <w:bookmarkStart w:id="471" w:name="_Toc25651"/>
      <w:bookmarkStart w:id="472" w:name="_Toc425241723"/>
      <w:bookmarkStart w:id="473" w:name="_Toc98560366"/>
      <w:bookmarkStart w:id="474" w:name="_Toc6202"/>
      <w:bookmarkStart w:id="475" w:name="_Toc1790"/>
      <w:bookmarkStart w:id="476" w:name="_Toc23999"/>
      <w:r>
        <w:rPr>
          <w:rFonts w:ascii="Times New Roman"/>
          <w:color w:val="auto"/>
          <w:sz w:val="30"/>
        </w:rPr>
        <w:t>第二十一部分争议的处理和适用的法律</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3AAB91B7">
      <w:pPr>
        <w:spacing w:line="360" w:lineRule="auto"/>
        <w:ind w:firstLine="480" w:firstLineChars="200"/>
        <w:rPr>
          <w:bCs/>
          <w:sz w:val="24"/>
        </w:rPr>
      </w:pPr>
    </w:p>
    <w:p w14:paraId="6301FBEF">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w:t>
      </w:r>
      <w:r>
        <w:rPr>
          <w:rFonts w:ascii="宋体" w:hAnsi="宋体"/>
          <w:b/>
          <w:sz w:val="24"/>
        </w:rPr>
        <w:t>、律师费</w:t>
      </w:r>
      <w:r>
        <w:rPr>
          <w:rFonts w:hint="eastAsia" w:ascii="宋体" w:hAnsi="宋体"/>
          <w:b/>
          <w:sz w:val="24"/>
        </w:rPr>
        <w:t>由败诉方承担。</w:t>
      </w:r>
    </w:p>
    <w:p w14:paraId="5E2AF396">
      <w:pPr>
        <w:spacing w:line="360" w:lineRule="auto"/>
        <w:ind w:firstLine="480" w:firstLineChars="200"/>
        <w:rPr>
          <w:rFonts w:ascii="宋体" w:hAnsi="宋体"/>
          <w:sz w:val="24"/>
        </w:rPr>
      </w:pPr>
      <w:r>
        <w:rPr>
          <w:rFonts w:hint="eastAsia" w:ascii="宋体" w:hAnsi="宋体"/>
          <w:sz w:val="24"/>
        </w:rPr>
        <w:t>争议处理期间，双方当事人应恪守基金管理人和基金托管人职责，各自继续忠实、勤勉、尽责地履行基金合同规定的义务，维护基金份额持有人的合法权益。</w:t>
      </w:r>
    </w:p>
    <w:p w14:paraId="30CFB3AF">
      <w:pPr>
        <w:spacing w:line="360" w:lineRule="auto"/>
        <w:ind w:firstLine="480" w:firstLineChars="200"/>
        <w:rPr>
          <w:bCs/>
          <w:sz w:val="24"/>
        </w:rPr>
      </w:pPr>
      <w:r>
        <w:rPr>
          <w:bCs/>
          <w:sz w:val="24"/>
        </w:rPr>
        <w:t>《基金合同》受中国法律管辖。</w:t>
      </w:r>
    </w:p>
    <w:p w14:paraId="2B2D1385">
      <w:pPr>
        <w:pStyle w:val="2"/>
        <w:spacing w:before="0" w:after="0"/>
        <w:jc w:val="center"/>
        <w:rPr>
          <w:rFonts w:ascii="Times New Roman"/>
          <w:color w:val="auto"/>
          <w:sz w:val="30"/>
        </w:rPr>
      </w:pPr>
      <w:r>
        <w:rPr>
          <w:rFonts w:ascii="Times New Roman"/>
          <w:b w:val="0"/>
          <w:bCs/>
          <w:color w:val="auto"/>
        </w:rPr>
        <w:br w:type="page"/>
      </w:r>
      <w:bookmarkStart w:id="477" w:name="_Toc395532109"/>
      <w:bookmarkStart w:id="478" w:name="_Toc393284153"/>
      <w:bookmarkStart w:id="479" w:name="_Toc425241724"/>
      <w:r>
        <w:rPr>
          <w:rFonts w:ascii="Times New Roman"/>
          <w:color w:val="auto"/>
          <w:sz w:val="30"/>
        </w:rPr>
        <w:t>第二十</w:t>
      </w:r>
      <w:r>
        <w:rPr>
          <w:rFonts w:hint="eastAsia" w:ascii="Times New Roman"/>
          <w:color w:val="auto"/>
          <w:sz w:val="30"/>
        </w:rPr>
        <w:t>二</w:t>
      </w:r>
      <w:r>
        <w:rPr>
          <w:rFonts w:ascii="Times New Roman"/>
          <w:color w:val="auto"/>
          <w:sz w:val="30"/>
        </w:rPr>
        <w:t>部分</w:t>
      </w:r>
      <w:r>
        <w:rPr>
          <w:rFonts w:hint="eastAsia" w:ascii="Times New Roman"/>
          <w:color w:val="auto"/>
          <w:sz w:val="30"/>
        </w:rPr>
        <w:t>基金合同的效力</w:t>
      </w:r>
      <w:bookmarkEnd w:id="477"/>
      <w:bookmarkEnd w:id="478"/>
      <w:bookmarkEnd w:id="479"/>
    </w:p>
    <w:p w14:paraId="7B52B213">
      <w:pPr>
        <w:spacing w:line="360" w:lineRule="auto"/>
        <w:ind w:firstLine="360" w:firstLineChars="150"/>
        <w:rPr>
          <w:bCs/>
          <w:sz w:val="24"/>
        </w:rPr>
      </w:pPr>
    </w:p>
    <w:p w14:paraId="2E867E29">
      <w:pPr>
        <w:spacing w:line="360" w:lineRule="auto"/>
        <w:ind w:firstLine="360" w:firstLineChars="150"/>
        <w:rPr>
          <w:bCs/>
          <w:sz w:val="24"/>
        </w:rPr>
      </w:pPr>
      <w:r>
        <w:rPr>
          <w:bCs/>
          <w:sz w:val="24"/>
        </w:rPr>
        <w:t>《基金合同》是约定基金</w:t>
      </w:r>
      <w:r>
        <w:rPr>
          <w:rFonts w:hint="eastAsia"/>
          <w:bCs/>
          <w:sz w:val="24"/>
        </w:rPr>
        <w:t>合同</w:t>
      </w:r>
      <w:r>
        <w:rPr>
          <w:bCs/>
          <w:sz w:val="24"/>
        </w:rPr>
        <w:t>当事人之间权利义务关系的法律文件。</w:t>
      </w:r>
    </w:p>
    <w:p w14:paraId="78A2BD16">
      <w:pPr>
        <w:spacing w:line="360" w:lineRule="auto"/>
        <w:ind w:firstLine="480" w:firstLineChars="200"/>
        <w:rPr>
          <w:bCs/>
          <w:sz w:val="24"/>
        </w:rPr>
      </w:pPr>
      <w:r>
        <w:rPr>
          <w:bCs/>
          <w:sz w:val="24"/>
        </w:rPr>
        <w:t>1、《基金合同》经基金管理人、基金托管人双方盖章以及双方法定代表人或授权代表签</w:t>
      </w:r>
      <w:r>
        <w:rPr>
          <w:rFonts w:hint="eastAsia"/>
          <w:bCs/>
          <w:sz w:val="24"/>
        </w:rPr>
        <w:t>章</w:t>
      </w:r>
      <w:r>
        <w:rPr>
          <w:bCs/>
          <w:sz w:val="24"/>
        </w:rPr>
        <w:t>并在募集结束后经基金管理人向中国证监会办理基金备案手续，并经中国证监会书面确认后生效。</w:t>
      </w:r>
    </w:p>
    <w:p w14:paraId="163CFF2A">
      <w:pPr>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14:paraId="3D159FA3">
      <w:pPr>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14:paraId="0199FE98">
      <w:pPr>
        <w:spacing w:line="360" w:lineRule="auto"/>
        <w:ind w:firstLine="480" w:firstLineChars="200"/>
        <w:rPr>
          <w:bCs/>
          <w:sz w:val="24"/>
        </w:rPr>
      </w:pPr>
      <w:r>
        <w:rPr>
          <w:bCs/>
          <w:sz w:val="24"/>
        </w:rPr>
        <w:t>4、《基金合同》正本一式六份，除上报有关监管机构一式二份外，基金管理人、基金托管人各持有二份，每份具有同等的法律效力。</w:t>
      </w:r>
    </w:p>
    <w:p w14:paraId="0BC8C08C">
      <w:pPr>
        <w:spacing w:line="360" w:lineRule="auto"/>
        <w:ind w:firstLine="480" w:firstLineChars="200"/>
        <w:rPr>
          <w:bCs/>
          <w:sz w:val="24"/>
        </w:rPr>
      </w:pPr>
      <w:r>
        <w:rPr>
          <w:bCs/>
          <w:sz w:val="24"/>
        </w:rPr>
        <w:t>5、《基金合同》可印制成册，供投资者在基金管理人、基金托管人、销售机构的办公场所和营业场所查阅</w:t>
      </w:r>
      <w:r>
        <w:rPr>
          <w:rFonts w:hint="eastAsia"/>
          <w:bCs/>
          <w:sz w:val="24"/>
        </w:rPr>
        <w:t>，但应以《基金合同》正本为准</w:t>
      </w:r>
      <w:r>
        <w:rPr>
          <w:bCs/>
          <w:sz w:val="24"/>
        </w:rPr>
        <w:t>。</w:t>
      </w:r>
    </w:p>
    <w:p w14:paraId="2F8F7E99">
      <w:pPr>
        <w:pStyle w:val="2"/>
        <w:spacing w:before="0" w:after="0"/>
        <w:jc w:val="center"/>
        <w:rPr>
          <w:rFonts w:ascii="Times New Roman"/>
          <w:color w:val="auto"/>
          <w:sz w:val="30"/>
        </w:rPr>
      </w:pPr>
      <w:r>
        <w:rPr>
          <w:rFonts w:ascii="Times New Roman"/>
          <w:b w:val="0"/>
          <w:bCs/>
          <w:color w:val="auto"/>
        </w:rPr>
        <w:br w:type="page"/>
      </w:r>
      <w:bookmarkStart w:id="480" w:name="_Toc425241725"/>
      <w:bookmarkStart w:id="481" w:name="_Toc21726"/>
      <w:r>
        <w:rPr>
          <w:rFonts w:hint="eastAsia" w:ascii="Times New Roman"/>
          <w:color w:val="auto"/>
          <w:sz w:val="30"/>
        </w:rPr>
        <w:t>第二十三部分其他事项</w:t>
      </w:r>
      <w:bookmarkEnd w:id="480"/>
      <w:bookmarkEnd w:id="481"/>
    </w:p>
    <w:p w14:paraId="2EF87A5A">
      <w:pPr>
        <w:spacing w:line="360" w:lineRule="auto"/>
        <w:ind w:firstLine="480" w:firstLineChars="200"/>
        <w:rPr>
          <w:rFonts w:ascii="宋体" w:hAnsi="宋体"/>
          <w:sz w:val="24"/>
        </w:rPr>
      </w:pPr>
    </w:p>
    <w:p w14:paraId="0D7AAAD3">
      <w:pPr>
        <w:spacing w:line="360" w:lineRule="auto"/>
        <w:ind w:firstLine="480" w:firstLineChars="200"/>
        <w:rPr>
          <w:bCs/>
          <w:sz w:val="24"/>
        </w:rPr>
      </w:pPr>
      <w:r>
        <w:rPr>
          <w:rFonts w:hint="eastAsia" w:ascii="宋体" w:hAnsi="宋体"/>
          <w:sz w:val="24"/>
        </w:rPr>
        <w:t>《基金合同》如有未尽事宜，由《基金合同》当事人各方按有关法律法规协商解决。</w:t>
      </w:r>
    </w:p>
    <w:p w14:paraId="35F80D7F">
      <w:pPr>
        <w:pStyle w:val="2"/>
        <w:spacing w:before="0" w:after="0"/>
        <w:jc w:val="center"/>
        <w:rPr>
          <w:rFonts w:ascii="Times New Roman"/>
          <w:color w:val="auto"/>
          <w:sz w:val="30"/>
        </w:rPr>
      </w:pPr>
      <w:r>
        <w:rPr>
          <w:rFonts w:ascii="Times New Roman"/>
          <w:b w:val="0"/>
          <w:bCs/>
          <w:color w:val="auto"/>
        </w:rPr>
        <w:br w:type="page"/>
      </w:r>
      <w:bookmarkStart w:id="482" w:name="_Toc393284155"/>
      <w:bookmarkStart w:id="483" w:name="_Toc425241726"/>
      <w:bookmarkStart w:id="484" w:name="_Toc395532111"/>
      <w:r>
        <w:rPr>
          <w:rFonts w:ascii="Times New Roman"/>
          <w:color w:val="auto"/>
          <w:sz w:val="30"/>
        </w:rPr>
        <w:t>第二十</w:t>
      </w:r>
      <w:r>
        <w:rPr>
          <w:rFonts w:hint="eastAsia" w:ascii="Times New Roman"/>
          <w:color w:val="auto"/>
          <w:sz w:val="30"/>
        </w:rPr>
        <w:t>四</w:t>
      </w:r>
      <w:r>
        <w:rPr>
          <w:rFonts w:ascii="Times New Roman"/>
          <w:color w:val="auto"/>
          <w:sz w:val="30"/>
        </w:rPr>
        <w:t>部分</w:t>
      </w:r>
      <w:r>
        <w:rPr>
          <w:rFonts w:hint="eastAsia" w:ascii="Times New Roman"/>
          <w:color w:val="auto"/>
          <w:sz w:val="30"/>
        </w:rPr>
        <w:t>基金合同内容摘要</w:t>
      </w:r>
    </w:p>
    <w:p w14:paraId="082AA31C">
      <w:pPr>
        <w:spacing w:line="360" w:lineRule="auto"/>
        <w:ind w:firstLine="480" w:firstLineChars="200"/>
        <w:rPr>
          <w:sz w:val="24"/>
          <w:szCs w:val="24"/>
        </w:rPr>
      </w:pPr>
    </w:p>
    <w:p w14:paraId="66C01C6C">
      <w:pPr>
        <w:spacing w:line="360" w:lineRule="auto"/>
        <w:ind w:firstLine="482" w:firstLineChars="200"/>
        <w:rPr>
          <w:b/>
          <w:sz w:val="24"/>
          <w:szCs w:val="24"/>
        </w:rPr>
      </w:pPr>
      <w:r>
        <w:rPr>
          <w:rFonts w:hAnsi="宋体"/>
          <w:b/>
          <w:sz w:val="24"/>
          <w:szCs w:val="24"/>
        </w:rPr>
        <w:t>一、基金管理人、基金托管人和基金份额持有人的权利、义务</w:t>
      </w:r>
    </w:p>
    <w:p w14:paraId="730F3E5D">
      <w:pPr>
        <w:spacing w:line="360" w:lineRule="auto"/>
        <w:ind w:firstLine="480" w:firstLineChars="200"/>
        <w:outlineLvl w:val="0"/>
        <w:rPr>
          <w:bCs/>
          <w:sz w:val="24"/>
        </w:rPr>
      </w:pPr>
      <w:r>
        <w:rPr>
          <w:rFonts w:hAnsi="宋体"/>
          <w:bCs/>
          <w:sz w:val="24"/>
        </w:rPr>
        <w:t>（一）</w:t>
      </w:r>
      <w:r>
        <w:rPr>
          <w:bCs/>
          <w:sz w:val="24"/>
        </w:rPr>
        <w:tab/>
      </w:r>
      <w:r>
        <w:rPr>
          <w:rFonts w:hAnsi="宋体"/>
          <w:bCs/>
          <w:sz w:val="24"/>
        </w:rPr>
        <w:t>基金管理人的权利</w:t>
      </w:r>
    </w:p>
    <w:p w14:paraId="2AD85B8A">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14:paraId="493C8A62">
      <w:pPr>
        <w:spacing w:line="360" w:lineRule="auto"/>
        <w:ind w:firstLine="480" w:firstLineChars="200"/>
        <w:rPr>
          <w:bCs/>
          <w:sz w:val="24"/>
        </w:rPr>
      </w:pPr>
      <w:r>
        <w:rPr>
          <w:bCs/>
          <w:sz w:val="24"/>
        </w:rPr>
        <w:t>（1）依法募集</w:t>
      </w:r>
      <w:r>
        <w:rPr>
          <w:rFonts w:hint="eastAsia"/>
          <w:bCs/>
          <w:sz w:val="24"/>
        </w:rPr>
        <w:t>资金</w:t>
      </w:r>
      <w:r>
        <w:rPr>
          <w:bCs/>
          <w:sz w:val="24"/>
        </w:rPr>
        <w:t>；</w:t>
      </w:r>
    </w:p>
    <w:p w14:paraId="3295B5DB">
      <w:pPr>
        <w:spacing w:line="360" w:lineRule="auto"/>
        <w:ind w:firstLine="480" w:firstLineChars="200"/>
        <w:rPr>
          <w:bCs/>
          <w:sz w:val="24"/>
        </w:rPr>
      </w:pPr>
      <w:r>
        <w:rPr>
          <w:bCs/>
          <w:sz w:val="24"/>
        </w:rPr>
        <w:t>（2）自《基金合同》生效之日起，根据法律法规和《基金合同》独立运用并管理基金财产；</w:t>
      </w:r>
    </w:p>
    <w:p w14:paraId="346E6DBF">
      <w:pPr>
        <w:spacing w:line="360" w:lineRule="auto"/>
        <w:ind w:firstLine="480" w:firstLineChars="200"/>
        <w:rPr>
          <w:bCs/>
          <w:sz w:val="24"/>
        </w:rPr>
      </w:pPr>
      <w:r>
        <w:rPr>
          <w:bCs/>
          <w:sz w:val="24"/>
        </w:rPr>
        <w:t>（3）依照《基金合同》收取基金管理费以及法律法规规定或中国证监会批准的其他费用；</w:t>
      </w:r>
    </w:p>
    <w:p w14:paraId="0B751467">
      <w:pPr>
        <w:spacing w:line="360" w:lineRule="auto"/>
        <w:ind w:firstLine="480" w:firstLineChars="200"/>
        <w:rPr>
          <w:bCs/>
          <w:sz w:val="24"/>
        </w:rPr>
      </w:pPr>
      <w:r>
        <w:rPr>
          <w:bCs/>
          <w:sz w:val="24"/>
        </w:rPr>
        <w:t>（4）销售基金份额；</w:t>
      </w:r>
    </w:p>
    <w:p w14:paraId="259C68FE">
      <w:pPr>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7C74AD3D">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2326FC9E">
      <w:pPr>
        <w:spacing w:line="360" w:lineRule="auto"/>
        <w:ind w:firstLine="480" w:firstLineChars="200"/>
        <w:rPr>
          <w:bCs/>
          <w:sz w:val="24"/>
        </w:rPr>
      </w:pPr>
      <w:r>
        <w:rPr>
          <w:bCs/>
          <w:sz w:val="24"/>
        </w:rPr>
        <w:t>（7）在基金托管人更换时，提名新的基金托管人；</w:t>
      </w:r>
    </w:p>
    <w:p w14:paraId="29B5EBD4">
      <w:pPr>
        <w:spacing w:line="440" w:lineRule="atLeast"/>
        <w:ind w:firstLine="480" w:firstLineChars="200"/>
        <w:rPr>
          <w:bCs/>
          <w:sz w:val="24"/>
        </w:rPr>
      </w:pPr>
      <w:r>
        <w:rPr>
          <w:bCs/>
          <w:sz w:val="24"/>
        </w:rPr>
        <w:t>（8）选择、更换基金销售机构，对基金销售机构的相关行为进行监督和处理；</w:t>
      </w:r>
    </w:p>
    <w:p w14:paraId="4324E0DC">
      <w:pPr>
        <w:spacing w:line="440" w:lineRule="atLeast"/>
        <w:ind w:firstLine="480" w:firstLineChars="200"/>
        <w:rPr>
          <w:bCs/>
          <w:sz w:val="24"/>
        </w:rPr>
      </w:pPr>
      <w:r>
        <w:rPr>
          <w:bCs/>
          <w:sz w:val="24"/>
        </w:rPr>
        <w:t>（9）担任或委托其他符合条件的机构担任基金登记机构办理基金登记业务并获得《基金合同》规定的费用；</w:t>
      </w:r>
    </w:p>
    <w:p w14:paraId="78D31E47">
      <w:pPr>
        <w:spacing w:line="440" w:lineRule="atLeast"/>
        <w:ind w:firstLine="480" w:firstLineChars="200"/>
        <w:rPr>
          <w:bCs/>
          <w:sz w:val="24"/>
        </w:rPr>
      </w:pPr>
      <w:r>
        <w:rPr>
          <w:bCs/>
          <w:sz w:val="24"/>
        </w:rPr>
        <w:t>（10）依据《基金合同》及有关法律规定决定基金收益的分配方案；</w:t>
      </w:r>
      <w:r>
        <w:rPr>
          <w:bCs/>
          <w:sz w:val="24"/>
        </w:rPr>
        <w:tab/>
      </w:r>
    </w:p>
    <w:p w14:paraId="563D7923">
      <w:pPr>
        <w:spacing w:line="440" w:lineRule="atLeast"/>
        <w:ind w:firstLine="480" w:firstLineChars="200"/>
        <w:rPr>
          <w:bCs/>
          <w:sz w:val="24"/>
        </w:rPr>
      </w:pPr>
      <w:r>
        <w:rPr>
          <w:bCs/>
          <w:sz w:val="24"/>
        </w:rPr>
        <w:t>（11）在《基金合同》约定的范围内，拒绝或暂停受理申购</w:t>
      </w:r>
      <w:r>
        <w:rPr>
          <w:rFonts w:hint="eastAsia"/>
          <w:bCs/>
          <w:sz w:val="24"/>
        </w:rPr>
        <w:t>、</w:t>
      </w:r>
      <w:r>
        <w:rPr>
          <w:bCs/>
          <w:sz w:val="24"/>
        </w:rPr>
        <w:t>赎回</w:t>
      </w:r>
      <w:r>
        <w:rPr>
          <w:rFonts w:hint="eastAsia"/>
          <w:bCs/>
          <w:sz w:val="24"/>
        </w:rPr>
        <w:t>与转换</w:t>
      </w:r>
      <w:r>
        <w:rPr>
          <w:bCs/>
          <w:sz w:val="24"/>
        </w:rPr>
        <w:t>申请；</w:t>
      </w:r>
    </w:p>
    <w:p w14:paraId="0F5D0A8F">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7F6AD76D">
      <w:pPr>
        <w:spacing w:line="440" w:lineRule="atLeast"/>
        <w:ind w:firstLine="480" w:firstLineChars="200"/>
        <w:rPr>
          <w:bCs/>
          <w:sz w:val="24"/>
        </w:rPr>
      </w:pPr>
      <w:r>
        <w:rPr>
          <w:bCs/>
          <w:sz w:val="24"/>
        </w:rPr>
        <w:t>（13）在法律法规允许的前提下，为基金的利益依法为基金进行融资</w:t>
      </w:r>
      <w:r>
        <w:rPr>
          <w:rFonts w:hint="eastAsia"/>
          <w:bCs/>
          <w:sz w:val="24"/>
        </w:rPr>
        <w:t>；</w:t>
      </w:r>
    </w:p>
    <w:p w14:paraId="40D77BBD">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25B2E757">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5B61BABD">
      <w:pPr>
        <w:spacing w:line="440" w:lineRule="atLeast"/>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4F45BF19">
      <w:pPr>
        <w:spacing w:line="440" w:lineRule="atLeast"/>
        <w:ind w:firstLine="480" w:firstLineChars="200"/>
        <w:rPr>
          <w:bCs/>
          <w:sz w:val="24"/>
        </w:rPr>
      </w:pPr>
      <w:r>
        <w:rPr>
          <w:bCs/>
          <w:sz w:val="24"/>
        </w:rPr>
        <w:t>（17）法律法规及中国证监会规定的和《基金合同》约定的其他权利。</w:t>
      </w:r>
    </w:p>
    <w:p w14:paraId="41C10523">
      <w:pPr>
        <w:spacing w:line="360" w:lineRule="auto"/>
        <w:ind w:firstLine="480" w:firstLineChars="200"/>
        <w:outlineLvl w:val="0"/>
        <w:rPr>
          <w:bCs/>
          <w:sz w:val="24"/>
        </w:rPr>
      </w:pPr>
      <w:r>
        <w:rPr>
          <w:rFonts w:hAnsi="宋体"/>
          <w:bCs/>
          <w:sz w:val="24"/>
        </w:rPr>
        <w:t>（二）基金管理人的义务</w:t>
      </w:r>
    </w:p>
    <w:p w14:paraId="24EEEE80">
      <w:pPr>
        <w:spacing w:line="360" w:lineRule="auto"/>
        <w:ind w:firstLine="480" w:firstLineChars="200"/>
        <w:rPr>
          <w:rFonts w:hAnsi="宋体"/>
          <w:bCs/>
          <w:sz w:val="24"/>
        </w:rPr>
      </w:pPr>
      <w:r>
        <w:rPr>
          <w:rFonts w:hAnsi="宋体"/>
          <w:bCs/>
          <w:sz w:val="24"/>
        </w:rPr>
        <w:t>根据《基金法》、《运作办法》及其他有关规定，基金管理人的义务包括但不限于：</w:t>
      </w:r>
    </w:p>
    <w:p w14:paraId="7D4075B8">
      <w:pPr>
        <w:spacing w:line="440" w:lineRule="atLeast"/>
        <w:ind w:firstLine="480" w:firstLineChars="200"/>
        <w:rPr>
          <w:bCs/>
          <w:sz w:val="24"/>
        </w:rPr>
      </w:pPr>
      <w:r>
        <w:rPr>
          <w:bCs/>
          <w:sz w:val="24"/>
        </w:rPr>
        <w:t>（1）依法募集</w:t>
      </w:r>
      <w:r>
        <w:rPr>
          <w:rFonts w:hint="eastAsia"/>
          <w:bCs/>
          <w:sz w:val="24"/>
        </w:rPr>
        <w:t>资金</w:t>
      </w:r>
      <w:r>
        <w:rPr>
          <w:bCs/>
          <w:sz w:val="24"/>
        </w:rPr>
        <w:t>，办理或者委托经中国证监会认定的其他机构办理基金份额的发售、申购、赎回和登记事宜；</w:t>
      </w:r>
    </w:p>
    <w:p w14:paraId="2CF11027">
      <w:pPr>
        <w:spacing w:line="440" w:lineRule="atLeast"/>
        <w:ind w:firstLine="480" w:firstLineChars="200"/>
        <w:rPr>
          <w:bCs/>
          <w:sz w:val="24"/>
        </w:rPr>
      </w:pPr>
      <w:r>
        <w:rPr>
          <w:bCs/>
          <w:sz w:val="24"/>
        </w:rPr>
        <w:t>（2）办理基金备案手续；</w:t>
      </w:r>
    </w:p>
    <w:p w14:paraId="370568D5">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659383DA">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67361F2E">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22571183">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p>
    <w:p w14:paraId="0147945A">
      <w:pPr>
        <w:spacing w:line="360" w:lineRule="auto"/>
        <w:ind w:firstLine="480" w:firstLineChars="200"/>
        <w:rPr>
          <w:bCs/>
          <w:sz w:val="24"/>
        </w:rPr>
      </w:pPr>
      <w:r>
        <w:rPr>
          <w:bCs/>
          <w:sz w:val="24"/>
        </w:rPr>
        <w:t>（7）依法接受基金托管人的监督；</w:t>
      </w:r>
    </w:p>
    <w:p w14:paraId="3212F84B">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（8）采取适当合理的措施使计算基金份额认购、申购、赎回和注销价格的方法符合《基金合同》等法律文件的规定，按有关规定计算并公告基金净值信息，确定基金份额申购、赎回的价格；</w:t>
      </w:r>
    </w:p>
    <w:p w14:paraId="1CCC268C">
      <w:pPr>
        <w:spacing w:line="360" w:lineRule="auto"/>
        <w:ind w:firstLine="480" w:firstLineChars="200"/>
        <w:rPr>
          <w:bCs/>
          <w:sz w:val="24"/>
        </w:rPr>
      </w:pPr>
      <w:r>
        <w:rPr>
          <w:bCs/>
          <w:sz w:val="24"/>
        </w:rPr>
        <w:t>（9）进行基金会计核算并编制基金财务会计报告；</w:t>
      </w:r>
    </w:p>
    <w:p w14:paraId="5EEF8AE8">
      <w:pPr>
        <w:spacing w:line="360" w:lineRule="auto"/>
        <w:ind w:firstLine="480" w:firstLineChars="200"/>
        <w:rPr>
          <w:bCs/>
          <w:sz w:val="24"/>
        </w:rPr>
      </w:pPr>
      <w:r>
        <w:rPr>
          <w:bCs/>
          <w:sz w:val="24"/>
        </w:rPr>
        <w:t>（10）编制季度报告、</w:t>
      </w:r>
      <w:r>
        <w:rPr>
          <w:rFonts w:hint="eastAsia"/>
          <w:bCs/>
          <w:sz w:val="24"/>
        </w:rPr>
        <w:t>中期</w:t>
      </w:r>
      <w:r>
        <w:rPr>
          <w:bCs/>
          <w:sz w:val="24"/>
        </w:rPr>
        <w:t>报告和年度报告；</w:t>
      </w:r>
    </w:p>
    <w:p w14:paraId="26B0D7C3">
      <w:pPr>
        <w:spacing w:line="360" w:lineRule="auto"/>
        <w:ind w:firstLine="480" w:firstLineChars="200"/>
        <w:rPr>
          <w:bCs/>
          <w:sz w:val="24"/>
        </w:rPr>
      </w:pPr>
      <w:r>
        <w:rPr>
          <w:bCs/>
          <w:sz w:val="24"/>
        </w:rPr>
        <w:t>（11）严格按照《基金法》、《基金合同》及其他有关规定，履行信息披露及报告义务；</w:t>
      </w:r>
    </w:p>
    <w:p w14:paraId="69521E2B">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0E5C38A8">
      <w:pPr>
        <w:spacing w:line="360" w:lineRule="auto"/>
        <w:ind w:firstLine="480" w:firstLineChars="200"/>
        <w:rPr>
          <w:bCs/>
          <w:sz w:val="24"/>
        </w:rPr>
      </w:pPr>
      <w:r>
        <w:rPr>
          <w:bCs/>
          <w:sz w:val="24"/>
        </w:rPr>
        <w:t>（13）按《基金合同》的约定确定基金收益分配方案，及时向基金份额持有人分配基金收益；</w:t>
      </w:r>
    </w:p>
    <w:p w14:paraId="02F64121">
      <w:pPr>
        <w:spacing w:line="360" w:lineRule="auto"/>
        <w:ind w:firstLine="480" w:firstLineChars="200"/>
        <w:rPr>
          <w:bCs/>
          <w:sz w:val="24"/>
        </w:rPr>
      </w:pPr>
      <w:r>
        <w:rPr>
          <w:bCs/>
          <w:sz w:val="24"/>
        </w:rPr>
        <w:t>（14）按规定受理申购与赎回申请，及时、足额支付赎回款项；</w:t>
      </w:r>
    </w:p>
    <w:p w14:paraId="3C2D3607">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2D7E7660">
      <w:pPr>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15</w:t>
      </w:r>
      <w:r>
        <w:rPr>
          <w:bCs/>
          <w:sz w:val="24"/>
        </w:rPr>
        <w:t>年以上；</w:t>
      </w:r>
    </w:p>
    <w:p w14:paraId="67900475">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B07F691">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1B8AC808">
      <w:pPr>
        <w:spacing w:line="360" w:lineRule="auto"/>
        <w:ind w:firstLine="480" w:firstLineChars="200"/>
        <w:rPr>
          <w:bCs/>
          <w:sz w:val="24"/>
        </w:rPr>
      </w:pPr>
      <w:r>
        <w:rPr>
          <w:bCs/>
          <w:sz w:val="24"/>
        </w:rPr>
        <w:t>（19）面临解散、依法被撤销或者被依法宣告破产时，及时报告中国证监会并通知基金托管人；</w:t>
      </w:r>
    </w:p>
    <w:p w14:paraId="3628ACF4">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517FE282">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32217536">
      <w:pPr>
        <w:spacing w:line="360" w:lineRule="auto"/>
        <w:ind w:firstLine="480" w:firstLineChars="200"/>
        <w:rPr>
          <w:bCs/>
          <w:sz w:val="24"/>
        </w:rPr>
      </w:pPr>
      <w:r>
        <w:rPr>
          <w:bCs/>
          <w:sz w:val="24"/>
        </w:rPr>
        <w:t>（22）当基金管理人将其义务委托第三方处理时，应当对第三方处理有关基金事务的行为承担责任；</w:t>
      </w:r>
    </w:p>
    <w:p w14:paraId="489A663E">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66513941">
      <w:pPr>
        <w:spacing w:line="360" w:lineRule="auto"/>
        <w:ind w:firstLine="480" w:firstLineChars="200"/>
        <w:rPr>
          <w:bCs/>
          <w:sz w:val="24"/>
        </w:rPr>
      </w:pPr>
      <w:r>
        <w:rPr>
          <w:bCs/>
          <w:sz w:val="24"/>
        </w:rPr>
        <w:t>（24）基金管理人在募集期间未能达到基金的备案条件，《基金合同》不能生效，基金管理人承担</w:t>
      </w:r>
      <w:r>
        <w:rPr>
          <w:rFonts w:hint="eastAsia"/>
          <w:bCs/>
          <w:sz w:val="24"/>
        </w:rPr>
        <w:t>因</w:t>
      </w:r>
      <w:r>
        <w:rPr>
          <w:bCs/>
          <w:sz w:val="24"/>
        </w:rPr>
        <w:t>募集</w:t>
      </w:r>
      <w:r>
        <w:rPr>
          <w:rFonts w:hint="eastAsia"/>
          <w:bCs/>
          <w:sz w:val="24"/>
        </w:rPr>
        <w:t>行为而产生的债务和</w:t>
      </w:r>
      <w:r>
        <w:rPr>
          <w:bCs/>
          <w:sz w:val="24"/>
        </w:rPr>
        <w:t>费用，将已募集资金并加计银行同期存款利息在基金募集期结束后</w:t>
      </w:r>
      <w:r>
        <w:rPr>
          <w:rFonts w:hint="eastAsia"/>
          <w:bCs/>
          <w:sz w:val="24"/>
        </w:rPr>
        <w:t>30</w:t>
      </w:r>
      <w:r>
        <w:rPr>
          <w:bCs/>
          <w:sz w:val="24"/>
        </w:rPr>
        <w:t>日内退还基金认购人；</w:t>
      </w:r>
    </w:p>
    <w:p w14:paraId="550E5F8F">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2374CED6">
      <w:pPr>
        <w:spacing w:line="360" w:lineRule="auto"/>
        <w:ind w:firstLine="480" w:firstLineChars="200"/>
        <w:rPr>
          <w:bCs/>
          <w:sz w:val="24"/>
        </w:rPr>
      </w:pPr>
      <w:r>
        <w:rPr>
          <w:bCs/>
          <w:sz w:val="24"/>
        </w:rPr>
        <w:t>（26）建立并保存基金份额持有人名册；</w:t>
      </w:r>
    </w:p>
    <w:p w14:paraId="532FB212">
      <w:pPr>
        <w:spacing w:line="360" w:lineRule="auto"/>
        <w:ind w:firstLine="480" w:firstLineChars="200"/>
        <w:rPr>
          <w:bCs/>
          <w:sz w:val="24"/>
        </w:rPr>
      </w:pPr>
      <w:r>
        <w:rPr>
          <w:bCs/>
          <w:sz w:val="24"/>
        </w:rPr>
        <w:t>（27）法律法规及中国证监会规定的和《基金合同》约定的其他义务。</w:t>
      </w:r>
    </w:p>
    <w:p w14:paraId="67CF3D92">
      <w:pPr>
        <w:spacing w:line="360" w:lineRule="auto"/>
        <w:ind w:firstLine="480" w:firstLineChars="200"/>
        <w:outlineLvl w:val="0"/>
        <w:rPr>
          <w:bCs/>
          <w:sz w:val="24"/>
        </w:rPr>
      </w:pPr>
      <w:r>
        <w:rPr>
          <w:rFonts w:hAnsi="宋体"/>
          <w:bCs/>
          <w:sz w:val="24"/>
        </w:rPr>
        <w:t>（三）基金托管人的权利</w:t>
      </w:r>
    </w:p>
    <w:p w14:paraId="1479EC7F">
      <w:pPr>
        <w:spacing w:line="360" w:lineRule="auto"/>
        <w:ind w:firstLine="480" w:firstLineChars="200"/>
        <w:rPr>
          <w:bCs/>
          <w:sz w:val="24"/>
        </w:rPr>
      </w:pPr>
      <w:r>
        <w:rPr>
          <w:rFonts w:hAnsi="宋体"/>
          <w:bCs/>
          <w:sz w:val="24"/>
        </w:rPr>
        <w:t>根据《基金法》、《运作办法》及其他有关规定，基金托管人的权利包括但不限于：</w:t>
      </w:r>
    </w:p>
    <w:p w14:paraId="2472918A">
      <w:pPr>
        <w:spacing w:line="360" w:lineRule="auto"/>
        <w:ind w:firstLine="480" w:firstLineChars="200"/>
        <w:rPr>
          <w:bCs/>
          <w:sz w:val="24"/>
        </w:rPr>
      </w:pPr>
      <w:r>
        <w:rPr>
          <w:bCs/>
          <w:sz w:val="24"/>
        </w:rPr>
        <w:t>（1）自《基金合同》生效之日起，依法律法规和《基金合同》的规定安全保管基金财产；</w:t>
      </w:r>
    </w:p>
    <w:p w14:paraId="5A4626F5">
      <w:pPr>
        <w:spacing w:line="360" w:lineRule="auto"/>
        <w:ind w:firstLine="480" w:firstLineChars="200"/>
        <w:rPr>
          <w:bCs/>
          <w:sz w:val="24"/>
        </w:rPr>
      </w:pPr>
      <w:r>
        <w:rPr>
          <w:bCs/>
          <w:sz w:val="24"/>
        </w:rPr>
        <w:t>（2）依《基金合同》约定获得基金托管费以及法律法规规定或监管部门批准的其他费用；</w:t>
      </w:r>
    </w:p>
    <w:p w14:paraId="50517E50">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1679FD2">
      <w:pPr>
        <w:spacing w:line="360" w:lineRule="auto"/>
        <w:ind w:firstLine="480" w:firstLineChars="200"/>
        <w:rPr>
          <w:bCs/>
          <w:sz w:val="24"/>
        </w:rPr>
      </w:pPr>
      <w:r>
        <w:rPr>
          <w:bCs/>
          <w:sz w:val="24"/>
        </w:rPr>
        <w:t>（4）根据相关市场规则，为基金开设</w:t>
      </w:r>
      <w:r>
        <w:rPr>
          <w:rFonts w:hint="eastAsia"/>
          <w:bCs/>
          <w:sz w:val="24"/>
        </w:rPr>
        <w:t>资金账户、</w:t>
      </w:r>
      <w:r>
        <w:rPr>
          <w:bCs/>
          <w:sz w:val="24"/>
        </w:rPr>
        <w:t>证券</w:t>
      </w:r>
      <w:r>
        <w:rPr>
          <w:rFonts w:hint="eastAsia"/>
          <w:bCs/>
          <w:sz w:val="24"/>
        </w:rPr>
        <w:t>账户等投资所需账户，为</w:t>
      </w:r>
      <w:r>
        <w:rPr>
          <w:bCs/>
          <w:sz w:val="24"/>
        </w:rPr>
        <w:t>基金办理证券</w:t>
      </w:r>
      <w:r>
        <w:rPr>
          <w:rFonts w:hint="eastAsia"/>
          <w:bCs/>
          <w:sz w:val="24"/>
        </w:rPr>
        <w:t>、期货</w:t>
      </w:r>
      <w:r>
        <w:rPr>
          <w:bCs/>
          <w:sz w:val="24"/>
        </w:rPr>
        <w:t>交易资金清算</w:t>
      </w:r>
      <w:r>
        <w:rPr>
          <w:rFonts w:hint="eastAsia"/>
          <w:bCs/>
          <w:sz w:val="24"/>
        </w:rPr>
        <w:t>；</w:t>
      </w:r>
    </w:p>
    <w:p w14:paraId="5F6B368B">
      <w:pPr>
        <w:spacing w:line="360" w:lineRule="auto"/>
        <w:ind w:firstLine="480" w:firstLineChars="200"/>
        <w:rPr>
          <w:bCs/>
          <w:sz w:val="24"/>
        </w:rPr>
      </w:pPr>
      <w:r>
        <w:rPr>
          <w:bCs/>
          <w:sz w:val="24"/>
        </w:rPr>
        <w:t>（5）提议召开或召集基金份额持有人大会；</w:t>
      </w:r>
    </w:p>
    <w:p w14:paraId="2F186AFB">
      <w:pPr>
        <w:spacing w:line="360" w:lineRule="auto"/>
        <w:ind w:firstLine="480" w:firstLineChars="200"/>
        <w:rPr>
          <w:bCs/>
          <w:sz w:val="24"/>
        </w:rPr>
      </w:pPr>
      <w:r>
        <w:rPr>
          <w:bCs/>
          <w:sz w:val="24"/>
        </w:rPr>
        <w:t>（6）在基金管理人更换时，提名新的基金管理人；</w:t>
      </w:r>
    </w:p>
    <w:p w14:paraId="56CCFC05">
      <w:pPr>
        <w:spacing w:line="360" w:lineRule="auto"/>
        <w:ind w:firstLine="480" w:firstLineChars="200"/>
        <w:rPr>
          <w:bCs/>
          <w:sz w:val="24"/>
        </w:rPr>
      </w:pPr>
      <w:r>
        <w:rPr>
          <w:bCs/>
          <w:sz w:val="24"/>
        </w:rPr>
        <w:t>（7）</w:t>
      </w:r>
      <w:r>
        <w:rPr>
          <w:rFonts w:hint="eastAsia"/>
          <w:bCs/>
          <w:sz w:val="24"/>
        </w:rPr>
        <w:t>法律法规及中国证监会规定的和《基金合同》约定的其他</w:t>
      </w:r>
      <w:r>
        <w:rPr>
          <w:bCs/>
          <w:sz w:val="24"/>
        </w:rPr>
        <w:t>权利。</w:t>
      </w:r>
    </w:p>
    <w:p w14:paraId="10ED27AF">
      <w:pPr>
        <w:spacing w:line="360" w:lineRule="auto"/>
        <w:ind w:firstLine="480" w:firstLineChars="200"/>
        <w:outlineLvl w:val="0"/>
        <w:rPr>
          <w:sz w:val="24"/>
        </w:rPr>
      </w:pPr>
      <w:r>
        <w:rPr>
          <w:rFonts w:hAnsi="宋体"/>
          <w:bCs/>
          <w:sz w:val="24"/>
        </w:rPr>
        <w:t>（四）</w:t>
      </w:r>
      <w:r>
        <w:rPr>
          <w:rFonts w:hAnsi="宋体"/>
          <w:sz w:val="24"/>
        </w:rPr>
        <w:t>基金托管人的义务</w:t>
      </w:r>
    </w:p>
    <w:p w14:paraId="75180C35">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根据《基金法》、《运作办法》及其他有关规定，基金托管人的义务包括但不限于：</w:t>
      </w:r>
    </w:p>
    <w:p w14:paraId="369950D4">
      <w:pPr>
        <w:spacing w:line="360" w:lineRule="auto"/>
        <w:ind w:firstLine="480" w:firstLineChars="200"/>
        <w:rPr>
          <w:bCs/>
          <w:sz w:val="24"/>
        </w:rPr>
      </w:pPr>
      <w:r>
        <w:rPr>
          <w:bCs/>
          <w:sz w:val="24"/>
        </w:rPr>
        <w:t>（1）以诚实信用、勤勉尽责的原则持有并安全保管基金财产；</w:t>
      </w:r>
    </w:p>
    <w:p w14:paraId="32BEAD5B">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580D5BD1">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3884003">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6D0C79D2">
      <w:pPr>
        <w:spacing w:line="360" w:lineRule="auto"/>
        <w:ind w:firstLine="480" w:firstLineChars="200"/>
        <w:rPr>
          <w:bCs/>
          <w:sz w:val="24"/>
        </w:rPr>
      </w:pPr>
      <w:r>
        <w:rPr>
          <w:bCs/>
          <w:sz w:val="24"/>
        </w:rPr>
        <w:t>（5）保管由基金管理人代表基金签订的与基金有关的重大合同及有关凭证；</w:t>
      </w:r>
    </w:p>
    <w:p w14:paraId="12AA591D">
      <w:pPr>
        <w:spacing w:line="360" w:lineRule="auto"/>
        <w:ind w:firstLine="480" w:firstLineChars="200"/>
        <w:rPr>
          <w:bCs/>
          <w:sz w:val="24"/>
        </w:rPr>
      </w:pPr>
      <w:r>
        <w:rPr>
          <w:bCs/>
          <w:sz w:val="24"/>
        </w:rPr>
        <w:t>（6）按规定开设基金财产的资金账户和证券账户</w:t>
      </w:r>
      <w:r>
        <w:rPr>
          <w:rFonts w:hint="eastAsia"/>
          <w:bCs/>
          <w:sz w:val="24"/>
        </w:rPr>
        <w:t>等投资所需账户，按</w:t>
      </w:r>
      <w:r>
        <w:rPr>
          <w:bCs/>
          <w:sz w:val="24"/>
        </w:rPr>
        <w:t>照《基金合同》的约定，根据基金管理人的投资指令，及时办理清算、交割事宜；</w:t>
      </w:r>
    </w:p>
    <w:p w14:paraId="2C296FB3">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4CAEE86A">
      <w:pPr>
        <w:spacing w:line="360" w:lineRule="auto"/>
        <w:ind w:firstLine="480" w:firstLineChars="200"/>
        <w:rPr>
          <w:bCs/>
          <w:sz w:val="24"/>
        </w:rPr>
      </w:pPr>
      <w:r>
        <w:rPr>
          <w:bCs/>
          <w:sz w:val="24"/>
        </w:rPr>
        <w:t>（8）复核、审查基金管理人计算的基金资产净值、基金份额净值</w:t>
      </w:r>
      <w:r>
        <w:rPr>
          <w:rFonts w:hint="eastAsia"/>
          <w:bCs/>
          <w:sz w:val="24"/>
        </w:rPr>
        <w:t>、</w:t>
      </w:r>
      <w:r>
        <w:rPr>
          <w:bCs/>
          <w:sz w:val="24"/>
        </w:rPr>
        <w:t>基金份额申购、赎回价格；</w:t>
      </w:r>
    </w:p>
    <w:p w14:paraId="6D1701CC">
      <w:pPr>
        <w:spacing w:line="360" w:lineRule="auto"/>
        <w:ind w:firstLine="480" w:firstLineChars="200"/>
        <w:rPr>
          <w:bCs/>
          <w:sz w:val="24"/>
        </w:rPr>
      </w:pPr>
      <w:r>
        <w:rPr>
          <w:bCs/>
          <w:sz w:val="24"/>
        </w:rPr>
        <w:t>（9）办理与基金托管业务活动有关的信息披露事项；</w:t>
      </w:r>
    </w:p>
    <w:p w14:paraId="26ACE067">
      <w:pPr>
        <w:spacing w:line="360" w:lineRule="auto"/>
        <w:ind w:firstLine="480" w:firstLineChars="200"/>
        <w:rPr>
          <w:bCs/>
          <w:sz w:val="24"/>
        </w:rPr>
      </w:pPr>
      <w:r>
        <w:rPr>
          <w:bCs/>
          <w:sz w:val="24"/>
        </w:rPr>
        <w:t>（10）对基金财务会计报告、</w:t>
      </w:r>
      <w:r>
        <w:rPr>
          <w:rFonts w:hint="eastAsia"/>
          <w:bCs/>
          <w:sz w:val="24"/>
        </w:rPr>
        <w:t>季度报告、中期</w:t>
      </w:r>
      <w:r>
        <w:rPr>
          <w:bCs/>
          <w:sz w:val="24"/>
        </w:rPr>
        <w:t>报告和年度报告出具意见，说明基金管理人在各重要方面的运作是否严格按照《基金合同》的规定进行；如果基金管理人有未执行《基金合同》规定的行为，还应当说明基金托管人是否采取了适当的措施；</w:t>
      </w:r>
    </w:p>
    <w:p w14:paraId="51299B78">
      <w:pPr>
        <w:spacing w:line="360" w:lineRule="auto"/>
        <w:ind w:firstLine="480" w:firstLineChars="200"/>
        <w:rPr>
          <w:bCs/>
          <w:sz w:val="24"/>
        </w:rPr>
      </w:pPr>
      <w:r>
        <w:rPr>
          <w:bCs/>
          <w:sz w:val="24"/>
        </w:rPr>
        <w:t>（11）保存基金托管业务活动的记录、账册、报表和其他相关资料</w:t>
      </w:r>
      <w:r>
        <w:rPr>
          <w:rFonts w:hint="eastAsia"/>
        </w:rPr>
        <w:t>15</w:t>
      </w:r>
      <w:r>
        <w:rPr>
          <w:bCs/>
          <w:sz w:val="24"/>
        </w:rPr>
        <w:t>年以上；</w:t>
      </w:r>
    </w:p>
    <w:p w14:paraId="443E3272">
      <w:pPr>
        <w:spacing w:line="360" w:lineRule="auto"/>
        <w:ind w:firstLine="480" w:firstLineChars="200"/>
        <w:rPr>
          <w:bCs/>
          <w:sz w:val="24"/>
        </w:rPr>
      </w:pPr>
      <w:r>
        <w:rPr>
          <w:bCs/>
          <w:sz w:val="24"/>
        </w:rPr>
        <w:t>（12）建立并保存基金份额持有人名册；</w:t>
      </w:r>
    </w:p>
    <w:p w14:paraId="21220FD0">
      <w:pPr>
        <w:spacing w:line="360" w:lineRule="auto"/>
        <w:ind w:firstLine="480" w:firstLineChars="200"/>
        <w:rPr>
          <w:bCs/>
          <w:sz w:val="24"/>
        </w:rPr>
      </w:pPr>
      <w:r>
        <w:rPr>
          <w:bCs/>
          <w:sz w:val="24"/>
        </w:rPr>
        <w:t>（13）按规定制作相关账册并与基金管理人核对；</w:t>
      </w:r>
    </w:p>
    <w:p w14:paraId="32C57495">
      <w:pPr>
        <w:spacing w:line="360" w:lineRule="auto"/>
        <w:ind w:firstLine="480" w:firstLineChars="200"/>
        <w:rPr>
          <w:bCs/>
          <w:sz w:val="24"/>
        </w:rPr>
      </w:pPr>
      <w:r>
        <w:rPr>
          <w:bCs/>
          <w:sz w:val="24"/>
        </w:rPr>
        <w:t>（14）依据基金管理人的指令或有关规定向基金份额持有人支付基金收益和赎回款项；</w:t>
      </w:r>
    </w:p>
    <w:p w14:paraId="5C163FAF">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5C960852">
      <w:pPr>
        <w:spacing w:line="360" w:lineRule="auto"/>
        <w:ind w:firstLine="480" w:firstLineChars="200"/>
        <w:rPr>
          <w:bCs/>
          <w:sz w:val="24"/>
        </w:rPr>
      </w:pPr>
      <w:r>
        <w:rPr>
          <w:bCs/>
          <w:sz w:val="24"/>
        </w:rPr>
        <w:t>（16）按照法律法规和《基金合同》的规定监督基金管理人的投资运作；</w:t>
      </w:r>
    </w:p>
    <w:p w14:paraId="02CA1346">
      <w:pPr>
        <w:spacing w:line="360" w:lineRule="auto"/>
        <w:ind w:firstLine="480" w:firstLineChars="200"/>
        <w:rPr>
          <w:bCs/>
          <w:sz w:val="24"/>
        </w:rPr>
      </w:pPr>
      <w:r>
        <w:rPr>
          <w:bCs/>
          <w:sz w:val="24"/>
        </w:rPr>
        <w:t>（17）参加基金财产清算小组，参与基金财产的保管、清理、估价、变现和分配；</w:t>
      </w:r>
    </w:p>
    <w:p w14:paraId="1D5223F9">
      <w:pPr>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733ABC22">
      <w:pPr>
        <w:spacing w:line="360" w:lineRule="auto"/>
        <w:ind w:firstLine="480" w:firstLineChars="200"/>
        <w:rPr>
          <w:bCs/>
          <w:sz w:val="24"/>
        </w:rPr>
      </w:pPr>
      <w:r>
        <w:rPr>
          <w:bCs/>
          <w:sz w:val="24"/>
        </w:rPr>
        <w:t>（19）因违反《基金合同》导致基金财产损失时，应承担赔偿责任，其赔偿责任不因其退任而免除；</w:t>
      </w:r>
    </w:p>
    <w:p w14:paraId="2F50496E">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361DDC26">
      <w:pPr>
        <w:spacing w:line="360" w:lineRule="auto"/>
        <w:ind w:firstLine="480" w:firstLineChars="200"/>
        <w:rPr>
          <w:bCs/>
          <w:sz w:val="24"/>
        </w:rPr>
      </w:pPr>
      <w:r>
        <w:rPr>
          <w:bCs/>
          <w:sz w:val="24"/>
        </w:rPr>
        <w:t>（21）执行生效的基金份额持有人大会的决</w:t>
      </w:r>
      <w:r>
        <w:rPr>
          <w:rFonts w:hint="eastAsia"/>
          <w:bCs/>
          <w:sz w:val="24"/>
        </w:rPr>
        <w:t>议</w:t>
      </w:r>
      <w:r>
        <w:rPr>
          <w:bCs/>
          <w:sz w:val="24"/>
        </w:rPr>
        <w:t>；</w:t>
      </w:r>
    </w:p>
    <w:p w14:paraId="329379D1">
      <w:pPr>
        <w:spacing w:line="360" w:lineRule="auto"/>
        <w:ind w:firstLine="480" w:firstLineChars="200"/>
        <w:rPr>
          <w:bCs/>
          <w:sz w:val="24"/>
        </w:rPr>
      </w:pPr>
      <w:r>
        <w:rPr>
          <w:bCs/>
          <w:sz w:val="24"/>
        </w:rPr>
        <w:t>（22）法律法规及中国证监会规定的和《基金合同》约定的其他义务。</w:t>
      </w:r>
    </w:p>
    <w:p w14:paraId="5EB522DC">
      <w:pPr>
        <w:spacing w:line="360" w:lineRule="auto"/>
        <w:ind w:firstLine="480" w:firstLineChars="200"/>
        <w:rPr>
          <w:bCs/>
          <w:sz w:val="24"/>
        </w:rPr>
      </w:pPr>
      <w:r>
        <w:rPr>
          <w:bCs/>
          <w:sz w:val="24"/>
        </w:rPr>
        <w:t>（五）基金份额持有人的权利</w:t>
      </w:r>
    </w:p>
    <w:p w14:paraId="66074D40">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412B8FB4">
      <w:pPr>
        <w:autoSpaceDE w:val="0"/>
        <w:autoSpaceDN w:val="0"/>
        <w:adjustRightInd w:val="0"/>
        <w:spacing w:line="360" w:lineRule="auto"/>
        <w:ind w:firstLine="480" w:firstLineChars="200"/>
        <w:jc w:val="left"/>
        <w:rPr>
          <w:bCs/>
          <w:sz w:val="24"/>
        </w:rPr>
      </w:pPr>
      <w:r>
        <w:rPr>
          <w:bCs/>
          <w:sz w:val="24"/>
        </w:rPr>
        <w:t>每份基金份额具有同等的合法权益。</w:t>
      </w:r>
    </w:p>
    <w:p w14:paraId="3F34C51B">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根据《基金法》、《运作办法》及其他有关规定，基金份额持有人的权利包括但不限于：</w:t>
      </w:r>
    </w:p>
    <w:p w14:paraId="667A790B">
      <w:pPr>
        <w:spacing w:line="360" w:lineRule="auto"/>
        <w:ind w:firstLine="480" w:firstLineChars="200"/>
        <w:rPr>
          <w:bCs/>
          <w:sz w:val="24"/>
        </w:rPr>
      </w:pPr>
      <w:r>
        <w:rPr>
          <w:bCs/>
          <w:sz w:val="24"/>
        </w:rPr>
        <w:t>（1）分享基金财产收益；</w:t>
      </w:r>
    </w:p>
    <w:p w14:paraId="03828BD8">
      <w:pPr>
        <w:spacing w:line="360" w:lineRule="auto"/>
        <w:ind w:firstLine="480" w:firstLineChars="200"/>
        <w:rPr>
          <w:bCs/>
          <w:sz w:val="24"/>
        </w:rPr>
      </w:pPr>
      <w:r>
        <w:rPr>
          <w:bCs/>
          <w:sz w:val="24"/>
        </w:rPr>
        <w:t>（2）参与分配清算后的剩余基金财产；</w:t>
      </w:r>
    </w:p>
    <w:p w14:paraId="423B7FB6">
      <w:pPr>
        <w:spacing w:line="360" w:lineRule="auto"/>
        <w:ind w:firstLine="480" w:firstLineChars="200"/>
        <w:rPr>
          <w:bCs/>
          <w:sz w:val="24"/>
        </w:rPr>
      </w:pPr>
      <w:r>
        <w:rPr>
          <w:bCs/>
          <w:sz w:val="24"/>
        </w:rPr>
        <w:t>（3）依法</w:t>
      </w:r>
      <w:r>
        <w:rPr>
          <w:rFonts w:hint="eastAsia"/>
          <w:bCs/>
          <w:sz w:val="24"/>
        </w:rPr>
        <w:t>并按照基金合同和招募说明书的规定</w:t>
      </w:r>
      <w:r>
        <w:rPr>
          <w:bCs/>
          <w:sz w:val="24"/>
        </w:rPr>
        <w:t>申请赎回</w:t>
      </w:r>
      <w:r>
        <w:rPr>
          <w:rFonts w:hint="eastAsia"/>
          <w:bCs/>
          <w:sz w:val="24"/>
        </w:rPr>
        <w:t>或转让</w:t>
      </w:r>
      <w:r>
        <w:rPr>
          <w:bCs/>
          <w:sz w:val="24"/>
        </w:rPr>
        <w:t>其持有的基金份额；</w:t>
      </w:r>
    </w:p>
    <w:p w14:paraId="7F9F4354">
      <w:pPr>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1BE6E208">
      <w:pPr>
        <w:spacing w:line="360" w:lineRule="auto"/>
        <w:ind w:firstLine="480" w:firstLineChars="200"/>
        <w:rPr>
          <w:bCs/>
          <w:sz w:val="24"/>
        </w:rPr>
      </w:pPr>
      <w:r>
        <w:rPr>
          <w:bCs/>
          <w:sz w:val="24"/>
        </w:rPr>
        <w:t>（5）出席或者委派代表出席基金份额持有人大会，对基金份额持有人大会审议事项行使表决权；</w:t>
      </w:r>
    </w:p>
    <w:p w14:paraId="037A11C5">
      <w:pPr>
        <w:spacing w:line="360" w:lineRule="auto"/>
        <w:ind w:firstLine="480" w:firstLineChars="200"/>
        <w:rPr>
          <w:bCs/>
          <w:sz w:val="24"/>
        </w:rPr>
      </w:pPr>
      <w:r>
        <w:rPr>
          <w:bCs/>
          <w:sz w:val="24"/>
        </w:rPr>
        <w:t>（6）查阅或者复制公开披露的基金信息资料；</w:t>
      </w:r>
    </w:p>
    <w:p w14:paraId="7D086344">
      <w:pPr>
        <w:spacing w:line="360" w:lineRule="auto"/>
        <w:ind w:firstLine="480" w:firstLineChars="200"/>
        <w:rPr>
          <w:bCs/>
          <w:sz w:val="24"/>
        </w:rPr>
      </w:pPr>
      <w:r>
        <w:rPr>
          <w:bCs/>
          <w:sz w:val="24"/>
        </w:rPr>
        <w:t>（7）监督基金管理人的投资运作；</w:t>
      </w:r>
    </w:p>
    <w:p w14:paraId="45D52A74">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1DCA7CA2">
      <w:pPr>
        <w:spacing w:line="360" w:lineRule="auto"/>
        <w:ind w:firstLine="480" w:firstLineChars="200"/>
        <w:rPr>
          <w:bCs/>
          <w:sz w:val="24"/>
        </w:rPr>
      </w:pPr>
      <w:r>
        <w:rPr>
          <w:bCs/>
          <w:sz w:val="24"/>
        </w:rPr>
        <w:t>（9）法律法规及中国证监会规定的和《基金合同》约定的其他权利。</w:t>
      </w:r>
    </w:p>
    <w:p w14:paraId="7C1C1A2E">
      <w:pPr>
        <w:spacing w:line="360" w:lineRule="auto"/>
        <w:ind w:firstLine="480" w:firstLineChars="200"/>
        <w:outlineLvl w:val="0"/>
        <w:rPr>
          <w:sz w:val="24"/>
        </w:rPr>
      </w:pPr>
      <w:r>
        <w:rPr>
          <w:rFonts w:hAnsi="宋体"/>
          <w:bCs/>
          <w:sz w:val="24"/>
        </w:rPr>
        <w:t>（六）</w:t>
      </w:r>
      <w:r>
        <w:rPr>
          <w:rFonts w:hAnsi="宋体"/>
          <w:sz w:val="24"/>
        </w:rPr>
        <w:t>基金份额持有人的义务</w:t>
      </w:r>
    </w:p>
    <w:p w14:paraId="5D2553EA">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根据《基金法》、《运作办法》及其他有关规定，基金份额持有人的义务包括但不限于：</w:t>
      </w:r>
    </w:p>
    <w:p w14:paraId="7C1125ED">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38E8E0D8">
      <w:pPr>
        <w:spacing w:line="360" w:lineRule="auto"/>
        <w:ind w:firstLine="480" w:firstLineChars="200"/>
        <w:rPr>
          <w:bCs/>
          <w:sz w:val="24"/>
        </w:rPr>
      </w:pPr>
      <w:r>
        <w:rPr>
          <w:bCs/>
          <w:sz w:val="24"/>
        </w:rPr>
        <w:t>（2）了解所投资基金产品，了解自身风险承受能力，</w:t>
      </w:r>
      <w:r>
        <w:rPr>
          <w:rFonts w:hint="eastAsia"/>
          <w:bCs/>
          <w:sz w:val="24"/>
        </w:rPr>
        <w:t>自主判断基金的投资价值，自主做出投资决策，</w:t>
      </w:r>
      <w:r>
        <w:rPr>
          <w:bCs/>
          <w:sz w:val="24"/>
        </w:rPr>
        <w:t>自行承担投资风险；</w:t>
      </w:r>
    </w:p>
    <w:p w14:paraId="5906A019">
      <w:pPr>
        <w:spacing w:line="360" w:lineRule="auto"/>
        <w:ind w:firstLine="480" w:firstLineChars="200"/>
        <w:rPr>
          <w:bCs/>
          <w:sz w:val="24"/>
        </w:rPr>
      </w:pPr>
      <w:r>
        <w:rPr>
          <w:bCs/>
          <w:sz w:val="24"/>
        </w:rPr>
        <w:t>（3）关注基金信息披露，及时行使权利和履行义务；</w:t>
      </w:r>
    </w:p>
    <w:p w14:paraId="6E38D2EB">
      <w:pPr>
        <w:spacing w:line="360" w:lineRule="auto"/>
        <w:ind w:firstLine="480" w:firstLineChars="200"/>
        <w:rPr>
          <w:bCs/>
          <w:sz w:val="24"/>
        </w:rPr>
      </w:pPr>
      <w:r>
        <w:rPr>
          <w:bCs/>
          <w:sz w:val="24"/>
        </w:rPr>
        <w:t>（4）缴纳基金认购、申购款项及法律法规和《基金合同》所规定的费用；</w:t>
      </w:r>
    </w:p>
    <w:p w14:paraId="15007A88">
      <w:pPr>
        <w:spacing w:line="360" w:lineRule="auto"/>
        <w:ind w:firstLine="480" w:firstLineChars="200"/>
        <w:rPr>
          <w:bCs/>
          <w:sz w:val="24"/>
        </w:rPr>
      </w:pPr>
      <w:r>
        <w:rPr>
          <w:bCs/>
          <w:sz w:val="24"/>
        </w:rPr>
        <w:t>（5）在其持有的基金份额范围内，承担基金亏损或者《基金合同》终止的有限责任；</w:t>
      </w:r>
    </w:p>
    <w:p w14:paraId="4E69824E">
      <w:pPr>
        <w:spacing w:line="360" w:lineRule="auto"/>
        <w:ind w:firstLine="480" w:firstLineChars="200"/>
        <w:rPr>
          <w:bCs/>
          <w:sz w:val="24"/>
        </w:rPr>
      </w:pPr>
      <w:r>
        <w:rPr>
          <w:bCs/>
          <w:sz w:val="24"/>
        </w:rPr>
        <w:t>（6）不从事任何有损基金及其他《基金合同》当事人合法权益的活动；</w:t>
      </w:r>
    </w:p>
    <w:p w14:paraId="40B8CE71">
      <w:pPr>
        <w:spacing w:line="360" w:lineRule="auto"/>
        <w:ind w:firstLine="480" w:firstLineChars="200"/>
        <w:rPr>
          <w:bCs/>
          <w:sz w:val="24"/>
        </w:rPr>
      </w:pPr>
      <w:r>
        <w:rPr>
          <w:bCs/>
          <w:sz w:val="24"/>
        </w:rPr>
        <w:t>（7）执行生效的基金份额持有人大会的决</w:t>
      </w:r>
      <w:r>
        <w:rPr>
          <w:rFonts w:hint="eastAsia"/>
          <w:bCs/>
          <w:sz w:val="24"/>
        </w:rPr>
        <w:t>议</w:t>
      </w:r>
      <w:r>
        <w:rPr>
          <w:bCs/>
          <w:sz w:val="24"/>
        </w:rPr>
        <w:t>；</w:t>
      </w:r>
    </w:p>
    <w:p w14:paraId="0CD4924E">
      <w:pPr>
        <w:spacing w:line="360" w:lineRule="auto"/>
        <w:ind w:firstLine="480" w:firstLineChars="200"/>
        <w:rPr>
          <w:bCs/>
          <w:sz w:val="24"/>
        </w:rPr>
      </w:pPr>
      <w:r>
        <w:rPr>
          <w:bCs/>
          <w:sz w:val="24"/>
        </w:rPr>
        <w:t>（8）返还在基金交易过程中因任何原因获得的不当得利；</w:t>
      </w:r>
    </w:p>
    <w:p w14:paraId="51FD783A">
      <w:pPr>
        <w:spacing w:line="360" w:lineRule="auto"/>
        <w:ind w:firstLine="480" w:firstLineChars="200"/>
        <w:rPr>
          <w:bCs/>
          <w:sz w:val="24"/>
        </w:rPr>
      </w:pPr>
      <w:r>
        <w:rPr>
          <w:rFonts w:hint="eastAsia"/>
          <w:bCs/>
          <w:sz w:val="24"/>
        </w:rPr>
        <w:t>（</w:t>
      </w:r>
      <w:r>
        <w:rPr>
          <w:bCs/>
          <w:sz w:val="24"/>
        </w:rPr>
        <w:t>9</w:t>
      </w:r>
      <w:r>
        <w:rPr>
          <w:rFonts w:hint="eastAsia"/>
          <w:bCs/>
          <w:sz w:val="24"/>
        </w:rPr>
        <w:t>）</w:t>
      </w:r>
      <w:r>
        <w:rPr>
          <w:bCs/>
          <w:sz w:val="24"/>
        </w:rPr>
        <w:t>法律法规及中国证监会规定的和《基金合同》约定的其他义务。</w:t>
      </w:r>
    </w:p>
    <w:p w14:paraId="03FA2443">
      <w:pPr>
        <w:spacing w:line="360" w:lineRule="auto"/>
        <w:rPr>
          <w:b/>
          <w:bCs/>
          <w:sz w:val="24"/>
        </w:rPr>
      </w:pPr>
      <w:r>
        <w:rPr>
          <w:rFonts w:hAnsi="宋体"/>
          <w:b/>
          <w:bCs/>
          <w:sz w:val="24"/>
        </w:rPr>
        <w:t>二、基金份额持有人大会召集、议事及表决的程序和规则</w:t>
      </w:r>
    </w:p>
    <w:p w14:paraId="2E4DD3FD">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7ACA6CD8">
      <w:pPr>
        <w:spacing w:line="360" w:lineRule="auto"/>
        <w:ind w:firstLine="480" w:firstLineChars="200"/>
        <w:rPr>
          <w:bCs/>
          <w:sz w:val="24"/>
        </w:rPr>
      </w:pPr>
      <w:r>
        <w:rPr>
          <w:rFonts w:hint="eastAsia"/>
          <w:bCs/>
          <w:sz w:val="24"/>
        </w:rPr>
        <w:t>本基金份额持有人大会不设日常机构。</w:t>
      </w:r>
    </w:p>
    <w:p w14:paraId="42BE95CD">
      <w:pPr>
        <w:spacing w:line="360" w:lineRule="auto"/>
        <w:ind w:firstLine="480" w:firstLineChars="200"/>
        <w:rPr>
          <w:bCs/>
          <w:sz w:val="24"/>
        </w:rPr>
      </w:pPr>
      <w:r>
        <w:rPr>
          <w:rFonts w:hAnsi="宋体"/>
          <w:bCs/>
          <w:sz w:val="24"/>
        </w:rPr>
        <w:t>（一）召开事由</w:t>
      </w:r>
    </w:p>
    <w:p w14:paraId="2485B2B7">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，法律法规、中国证监会另有规定或基金合同另有约定的除外</w:t>
      </w:r>
      <w:r>
        <w:rPr>
          <w:bCs/>
          <w:sz w:val="24"/>
        </w:rPr>
        <w:t>：</w:t>
      </w:r>
    </w:p>
    <w:p w14:paraId="3825D6C5">
      <w:pPr>
        <w:spacing w:line="440" w:lineRule="atLeast"/>
        <w:ind w:firstLine="480" w:firstLineChars="200"/>
        <w:rPr>
          <w:bCs/>
          <w:sz w:val="24"/>
        </w:rPr>
      </w:pPr>
      <w:r>
        <w:rPr>
          <w:bCs/>
          <w:sz w:val="24"/>
        </w:rPr>
        <w:t>（1）终止《基金合同》；</w:t>
      </w:r>
    </w:p>
    <w:p w14:paraId="1EAD1790">
      <w:pPr>
        <w:spacing w:line="440" w:lineRule="atLeast"/>
        <w:ind w:firstLine="480" w:firstLineChars="200"/>
        <w:rPr>
          <w:bCs/>
          <w:sz w:val="24"/>
        </w:rPr>
      </w:pPr>
      <w:r>
        <w:rPr>
          <w:bCs/>
          <w:sz w:val="24"/>
        </w:rPr>
        <w:t>（2）更换基金管理人；</w:t>
      </w:r>
    </w:p>
    <w:p w14:paraId="716DBA8A">
      <w:pPr>
        <w:spacing w:line="440" w:lineRule="atLeast"/>
        <w:ind w:firstLine="480" w:firstLineChars="200"/>
        <w:rPr>
          <w:bCs/>
          <w:sz w:val="24"/>
        </w:rPr>
      </w:pPr>
      <w:r>
        <w:rPr>
          <w:bCs/>
          <w:sz w:val="24"/>
        </w:rPr>
        <w:t>（3）更换基金托管人；</w:t>
      </w:r>
    </w:p>
    <w:p w14:paraId="199A2810">
      <w:pPr>
        <w:spacing w:line="440" w:lineRule="atLeast"/>
        <w:ind w:firstLine="480" w:firstLineChars="200"/>
        <w:rPr>
          <w:bCs/>
          <w:sz w:val="24"/>
        </w:rPr>
      </w:pPr>
      <w:r>
        <w:rPr>
          <w:bCs/>
          <w:sz w:val="24"/>
        </w:rPr>
        <w:t>（4）转换基金运作方式；</w:t>
      </w:r>
    </w:p>
    <w:p w14:paraId="49FF9EE4">
      <w:pPr>
        <w:spacing w:line="440" w:lineRule="atLeast"/>
        <w:ind w:firstLine="480" w:firstLineChars="200"/>
        <w:rPr>
          <w:bCs/>
          <w:sz w:val="24"/>
        </w:rPr>
      </w:pPr>
      <w:r>
        <w:rPr>
          <w:bCs/>
          <w:sz w:val="24"/>
        </w:rPr>
        <w:t>（5）</w:t>
      </w:r>
      <w:r>
        <w:rPr>
          <w:rFonts w:hint="eastAsia"/>
          <w:bCs/>
          <w:sz w:val="24"/>
        </w:rPr>
        <w:t>调整</w:t>
      </w:r>
      <w:r>
        <w:rPr>
          <w:bCs/>
          <w:sz w:val="24"/>
        </w:rPr>
        <w:t>基金管理人、基金托管人的报酬标准</w:t>
      </w:r>
      <w:r>
        <w:rPr>
          <w:rFonts w:hint="eastAsia"/>
          <w:bCs/>
          <w:sz w:val="24"/>
        </w:rPr>
        <w:t>；</w:t>
      </w:r>
    </w:p>
    <w:p w14:paraId="6E7F69B1">
      <w:pPr>
        <w:spacing w:line="440" w:lineRule="atLeast"/>
        <w:ind w:firstLine="480" w:firstLineChars="200"/>
        <w:rPr>
          <w:bCs/>
          <w:sz w:val="24"/>
        </w:rPr>
      </w:pPr>
      <w:r>
        <w:rPr>
          <w:bCs/>
          <w:sz w:val="24"/>
        </w:rPr>
        <w:t>（6）变更基金类别；</w:t>
      </w:r>
    </w:p>
    <w:p w14:paraId="2906957A">
      <w:pPr>
        <w:spacing w:line="440" w:lineRule="atLeast"/>
        <w:ind w:firstLine="480" w:firstLineChars="200"/>
        <w:rPr>
          <w:bCs/>
          <w:sz w:val="24"/>
        </w:rPr>
      </w:pPr>
      <w:r>
        <w:rPr>
          <w:bCs/>
          <w:sz w:val="24"/>
        </w:rPr>
        <w:t>（7）本基金与其他基金的合并；</w:t>
      </w:r>
    </w:p>
    <w:p w14:paraId="7CA12BA1">
      <w:pPr>
        <w:spacing w:line="440" w:lineRule="atLeast"/>
        <w:ind w:firstLine="480" w:firstLineChars="200"/>
        <w:rPr>
          <w:bCs/>
          <w:sz w:val="24"/>
        </w:rPr>
      </w:pPr>
      <w:r>
        <w:rPr>
          <w:bCs/>
          <w:sz w:val="24"/>
        </w:rPr>
        <w:t>（8）变更基金投资目标、范围或策略；</w:t>
      </w:r>
    </w:p>
    <w:p w14:paraId="4E13B62D">
      <w:pPr>
        <w:spacing w:line="440" w:lineRule="atLeast"/>
        <w:ind w:firstLine="480" w:firstLineChars="200"/>
        <w:rPr>
          <w:bCs/>
          <w:sz w:val="24"/>
        </w:rPr>
      </w:pPr>
      <w:r>
        <w:rPr>
          <w:bCs/>
          <w:sz w:val="24"/>
        </w:rPr>
        <w:t>（9）变更基金份额持有人大会程序；</w:t>
      </w:r>
    </w:p>
    <w:p w14:paraId="6540AB65">
      <w:pPr>
        <w:spacing w:line="440" w:lineRule="atLeast"/>
        <w:ind w:firstLine="480" w:firstLineChars="200"/>
        <w:rPr>
          <w:bCs/>
          <w:sz w:val="24"/>
        </w:rPr>
      </w:pPr>
      <w:r>
        <w:rPr>
          <w:bCs/>
          <w:sz w:val="24"/>
        </w:rPr>
        <w:t>（10）基金管理人或基金托管人要求召开基金份额持有人大会；</w:t>
      </w:r>
    </w:p>
    <w:p w14:paraId="7CFC33BB">
      <w:pPr>
        <w:spacing w:line="440" w:lineRule="atLeast"/>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7259784E">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6D692D69">
      <w:pPr>
        <w:spacing w:line="440" w:lineRule="atLeast"/>
        <w:ind w:firstLine="480" w:firstLineChars="200"/>
        <w:rPr>
          <w:bCs/>
          <w:sz w:val="24"/>
        </w:rPr>
      </w:pPr>
      <w:r>
        <w:rPr>
          <w:bCs/>
          <w:sz w:val="24"/>
        </w:rPr>
        <w:t>（13）法律法规、《基金合同》或中国证监会规定的其他应当召开基金份额持有人大会的事项。</w:t>
      </w:r>
    </w:p>
    <w:p w14:paraId="770016B1">
      <w:pPr>
        <w:spacing w:line="360" w:lineRule="auto"/>
        <w:ind w:firstLine="480" w:firstLineChars="200"/>
        <w:rPr>
          <w:bCs/>
          <w:sz w:val="24"/>
        </w:rPr>
      </w:pPr>
      <w:r>
        <w:rPr>
          <w:bCs/>
          <w:sz w:val="24"/>
        </w:rPr>
        <w:t>2、以下情况可由基金管理人和基金托管人协商后修改，不需召开基金份额持有人大会：</w:t>
      </w:r>
    </w:p>
    <w:p w14:paraId="597386C0">
      <w:pPr>
        <w:spacing w:line="360" w:lineRule="auto"/>
        <w:ind w:firstLine="480" w:firstLineChars="200"/>
        <w:rPr>
          <w:bCs/>
          <w:sz w:val="24"/>
        </w:rPr>
      </w:pPr>
      <w:r>
        <w:rPr>
          <w:rFonts w:hint="eastAsia"/>
          <w:bCs/>
          <w:sz w:val="24"/>
        </w:rPr>
        <w:t>（1）调低除基金管理费、基金托管费之外的其他应由本基金或基金份额持有人承担的费用；</w:t>
      </w:r>
    </w:p>
    <w:p w14:paraId="400556BB">
      <w:pPr>
        <w:spacing w:line="360" w:lineRule="auto"/>
        <w:ind w:firstLine="480" w:firstLineChars="200"/>
        <w:rPr>
          <w:bCs/>
          <w:sz w:val="24"/>
        </w:rPr>
      </w:pPr>
      <w:r>
        <w:rPr>
          <w:bCs/>
          <w:sz w:val="24"/>
        </w:rPr>
        <w:t>（</w:t>
      </w:r>
      <w:r>
        <w:rPr>
          <w:rFonts w:hint="eastAsia"/>
          <w:bCs/>
          <w:sz w:val="24"/>
        </w:rPr>
        <w:t>2</w:t>
      </w:r>
      <w:r>
        <w:rPr>
          <w:bCs/>
          <w:sz w:val="24"/>
        </w:rPr>
        <w:t>）法律法规要求增加的基金费用的收取；</w:t>
      </w:r>
    </w:p>
    <w:p w14:paraId="27DD1BC0">
      <w:pPr>
        <w:spacing w:line="360" w:lineRule="auto"/>
        <w:ind w:firstLine="480" w:firstLineChars="200"/>
        <w:rPr>
          <w:bCs/>
          <w:sz w:val="24"/>
        </w:rPr>
      </w:pPr>
      <w:r>
        <w:rPr>
          <w:bCs/>
          <w:sz w:val="24"/>
        </w:rPr>
        <w:t>（</w:t>
      </w:r>
      <w:r>
        <w:rPr>
          <w:rFonts w:hint="eastAsia"/>
          <w:bCs/>
          <w:sz w:val="24"/>
        </w:rPr>
        <w:t>3</w:t>
      </w:r>
      <w:r>
        <w:rPr>
          <w:bCs/>
          <w:sz w:val="24"/>
        </w:rPr>
        <w:t>）在法律法规</w:t>
      </w:r>
      <w:r>
        <w:rPr>
          <w:rFonts w:hint="eastAsia"/>
          <w:bCs/>
          <w:sz w:val="24"/>
        </w:rPr>
        <w:t>规定</w:t>
      </w:r>
      <w:r>
        <w:rPr>
          <w:bCs/>
          <w:sz w:val="24"/>
        </w:rPr>
        <w:t>和《基金合同》</w:t>
      </w:r>
      <w:r>
        <w:rPr>
          <w:rFonts w:hint="eastAsia"/>
          <w:bCs/>
          <w:sz w:val="24"/>
        </w:rPr>
        <w:t>约</w:t>
      </w:r>
      <w:r>
        <w:rPr>
          <w:bCs/>
          <w:sz w:val="24"/>
        </w:rPr>
        <w:t>定的范围内</w:t>
      </w:r>
      <w:r>
        <w:rPr>
          <w:rFonts w:hint="eastAsia"/>
          <w:bCs/>
          <w:sz w:val="24"/>
        </w:rPr>
        <w:t>，且在对现有基金份额持有人利益无实质性不利影响的前提下</w:t>
      </w:r>
      <w:r>
        <w:rPr>
          <w:bCs/>
          <w:sz w:val="24"/>
        </w:rPr>
        <w:t>调整本基金的申购费率、调低赎回费率</w:t>
      </w:r>
      <w:r>
        <w:rPr>
          <w:rFonts w:hint="eastAsia"/>
          <w:bCs/>
          <w:sz w:val="24"/>
        </w:rPr>
        <w:t>、变更或增加收费方式</w:t>
      </w:r>
      <w:r>
        <w:rPr>
          <w:bCs/>
          <w:sz w:val="24"/>
        </w:rPr>
        <w:t>；</w:t>
      </w:r>
    </w:p>
    <w:p w14:paraId="687E6A17">
      <w:pPr>
        <w:spacing w:line="360" w:lineRule="auto"/>
        <w:ind w:firstLine="480" w:firstLineChars="200"/>
        <w:rPr>
          <w:bCs/>
          <w:sz w:val="24"/>
        </w:rPr>
      </w:pPr>
      <w:r>
        <w:rPr>
          <w:bCs/>
          <w:sz w:val="24"/>
        </w:rPr>
        <w:t>（</w:t>
      </w:r>
      <w:r>
        <w:rPr>
          <w:rFonts w:hint="eastAsia"/>
          <w:bCs/>
          <w:sz w:val="24"/>
        </w:rPr>
        <w:t>4</w:t>
      </w:r>
      <w:r>
        <w:rPr>
          <w:bCs/>
          <w:sz w:val="24"/>
        </w:rPr>
        <w:t>）因相应的法律法规、登记机构的相关业务规则发生变动而应当对《基金合同》进行修改；</w:t>
      </w:r>
    </w:p>
    <w:p w14:paraId="54B8F049">
      <w:pPr>
        <w:spacing w:line="360" w:lineRule="auto"/>
        <w:ind w:firstLine="480" w:firstLineChars="200"/>
        <w:rPr>
          <w:bCs/>
          <w:sz w:val="24"/>
        </w:rPr>
      </w:pPr>
      <w:r>
        <w:rPr>
          <w:bCs/>
          <w:sz w:val="24"/>
        </w:rPr>
        <w:t>（</w:t>
      </w:r>
      <w:r>
        <w:rPr>
          <w:rFonts w:hint="eastAsia"/>
          <w:bCs/>
          <w:sz w:val="24"/>
        </w:rPr>
        <w:t>5</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55E70AFE">
      <w:pPr>
        <w:spacing w:line="360" w:lineRule="auto"/>
        <w:ind w:firstLine="480" w:firstLineChars="200"/>
        <w:rPr>
          <w:bCs/>
          <w:sz w:val="24"/>
        </w:rPr>
      </w:pPr>
      <w:r>
        <w:rPr>
          <w:rFonts w:hint="eastAsia"/>
          <w:bCs/>
          <w:sz w:val="24"/>
        </w:rPr>
        <w:t>（6）在法律法规允许的情况下，且在对现有基金份额持有人利益无实质性不利影响的前提下，基金推出新业务或服务；</w:t>
      </w:r>
    </w:p>
    <w:p w14:paraId="1B9D9063">
      <w:pPr>
        <w:spacing w:line="360" w:lineRule="auto"/>
        <w:ind w:firstLine="480" w:firstLineChars="200"/>
        <w:rPr>
          <w:bCs/>
          <w:sz w:val="24"/>
        </w:rPr>
      </w:pPr>
      <w:r>
        <w:rPr>
          <w:rFonts w:hint="eastAsia"/>
          <w:bCs/>
          <w:sz w:val="24"/>
        </w:rPr>
        <w:t>（7）在符合法律法规规定及本基金合同约定、并且对基金份额持有人利益无实质不利影响的前提下，增加</w:t>
      </w:r>
      <w:r>
        <w:rPr>
          <w:bCs/>
          <w:sz w:val="24"/>
        </w:rPr>
        <w:t>基金份额类别或</w:t>
      </w:r>
      <w:r>
        <w:rPr>
          <w:rFonts w:hint="eastAsia"/>
          <w:bCs/>
          <w:sz w:val="24"/>
        </w:rPr>
        <w:t>调整本基金份额类别的设置；</w:t>
      </w:r>
    </w:p>
    <w:p w14:paraId="06B8DED7">
      <w:pPr>
        <w:spacing w:line="360" w:lineRule="auto"/>
        <w:ind w:firstLine="480" w:firstLineChars="200"/>
        <w:rPr>
          <w:bCs/>
          <w:sz w:val="24"/>
        </w:rPr>
      </w:pPr>
      <w:r>
        <w:rPr>
          <w:rFonts w:hint="eastAsia"/>
          <w:bCs/>
          <w:sz w:val="24"/>
        </w:rPr>
        <w:t>（8）在不违反法律法规及对基金份额持有人利益无实质性不利影响的前提下，基金管理人、登记机构、销售机构调整有关基金认购、申购、赎回、转换、收益分配、非交易过户、转托管等业务的规则；</w:t>
      </w:r>
    </w:p>
    <w:p w14:paraId="7D498C68">
      <w:pPr>
        <w:spacing w:line="360" w:lineRule="auto"/>
        <w:ind w:firstLine="480" w:firstLineChars="200"/>
        <w:rPr>
          <w:bCs/>
          <w:sz w:val="24"/>
        </w:rPr>
      </w:pPr>
      <w:r>
        <w:rPr>
          <w:bCs/>
          <w:sz w:val="24"/>
        </w:rPr>
        <w:t>（</w:t>
      </w:r>
      <w:r>
        <w:rPr>
          <w:rFonts w:hint="eastAsia"/>
          <w:bCs/>
          <w:sz w:val="24"/>
        </w:rPr>
        <w:t>9</w:t>
      </w:r>
      <w:r>
        <w:rPr>
          <w:bCs/>
          <w:sz w:val="24"/>
        </w:rPr>
        <w:t>）按照法律法规和《基金合同》规定不需召开基金份额持有人大会的其他情形。</w:t>
      </w:r>
    </w:p>
    <w:p w14:paraId="099C7BBA">
      <w:pPr>
        <w:spacing w:line="360" w:lineRule="auto"/>
        <w:ind w:firstLine="480" w:firstLineChars="200"/>
        <w:rPr>
          <w:bCs/>
          <w:sz w:val="24"/>
        </w:rPr>
      </w:pPr>
      <w:r>
        <w:rPr>
          <w:rFonts w:hAnsi="宋体"/>
          <w:bCs/>
          <w:sz w:val="24"/>
        </w:rPr>
        <w:t>（二）</w:t>
      </w:r>
      <w:r>
        <w:rPr>
          <w:rFonts w:hint="eastAsia" w:hAnsi="宋体"/>
          <w:bCs/>
          <w:sz w:val="24"/>
        </w:rPr>
        <w:t>会议</w:t>
      </w:r>
      <w:r>
        <w:rPr>
          <w:rFonts w:hAnsi="宋体"/>
          <w:bCs/>
          <w:sz w:val="24"/>
        </w:rPr>
        <w:t>召集人及召集方式</w:t>
      </w:r>
    </w:p>
    <w:p w14:paraId="5343517B">
      <w:pPr>
        <w:spacing w:line="360" w:lineRule="auto"/>
        <w:ind w:firstLine="480" w:firstLineChars="200"/>
        <w:rPr>
          <w:bCs/>
          <w:sz w:val="24"/>
        </w:rPr>
      </w:pPr>
      <w:r>
        <w:rPr>
          <w:bCs/>
          <w:sz w:val="24"/>
        </w:rPr>
        <w:t>1、除法律法规规定或《基金合同》另有约定外，基金份额持有人大会由基金管理人召集；</w:t>
      </w:r>
    </w:p>
    <w:p w14:paraId="5899BD64">
      <w:pPr>
        <w:spacing w:line="360" w:lineRule="auto"/>
        <w:ind w:firstLine="480" w:firstLineChars="200"/>
        <w:rPr>
          <w:bCs/>
          <w:sz w:val="24"/>
        </w:rPr>
      </w:pPr>
      <w:r>
        <w:rPr>
          <w:bCs/>
          <w:sz w:val="24"/>
        </w:rPr>
        <w:t>2、基金管理人未按规定召集或不能召集时，由基金托管人召集；</w:t>
      </w:r>
    </w:p>
    <w:p w14:paraId="1D0379C6">
      <w:pPr>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p>
    <w:p w14:paraId="29636F9B">
      <w:pPr>
        <w:spacing w:line="360" w:lineRule="auto"/>
        <w:rPr>
          <w:bCs/>
          <w:sz w:val="24"/>
        </w:rPr>
      </w:pP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p>
    <w:p w14:paraId="66BD5C81">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p>
    <w:p w14:paraId="0992C0D8">
      <w:pPr>
        <w:spacing w:line="360" w:lineRule="auto"/>
        <w:rPr>
          <w:bCs/>
          <w:sz w:val="24"/>
        </w:rPr>
      </w:pP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5DFCDB3C">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4873728D">
      <w:pPr>
        <w:spacing w:line="360" w:lineRule="auto"/>
        <w:ind w:firstLine="480" w:firstLineChars="200"/>
        <w:rPr>
          <w:bCs/>
          <w:sz w:val="24"/>
        </w:rPr>
      </w:pPr>
      <w:r>
        <w:rPr>
          <w:bCs/>
          <w:sz w:val="24"/>
        </w:rPr>
        <w:t>6、基金份额持有人会议的召集人负责选择确定开会时间、地点、方式和权益登记日。</w:t>
      </w:r>
    </w:p>
    <w:p w14:paraId="0FFE5854">
      <w:pPr>
        <w:spacing w:line="360" w:lineRule="auto"/>
        <w:ind w:firstLine="480" w:firstLineChars="200"/>
        <w:rPr>
          <w:bCs/>
          <w:sz w:val="24"/>
        </w:rPr>
      </w:pPr>
      <w:r>
        <w:rPr>
          <w:rFonts w:hAnsi="宋体"/>
          <w:bCs/>
          <w:sz w:val="24"/>
        </w:rPr>
        <w:t>（三）召开基金份额持有人大会的通知时间、通知内容、通知方式</w:t>
      </w:r>
    </w:p>
    <w:p w14:paraId="2B8F3E79">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日，在指定媒介公告。基金份额持有人大会通知应至少载明以下内容：</w:t>
      </w:r>
    </w:p>
    <w:p w14:paraId="315C6506">
      <w:pPr>
        <w:spacing w:line="360" w:lineRule="auto"/>
        <w:ind w:firstLine="480" w:firstLineChars="200"/>
        <w:rPr>
          <w:bCs/>
          <w:sz w:val="24"/>
        </w:rPr>
      </w:pPr>
      <w:r>
        <w:rPr>
          <w:bCs/>
          <w:sz w:val="24"/>
        </w:rPr>
        <w:t>（1）会议召开的时间、地点和会议形式；</w:t>
      </w:r>
    </w:p>
    <w:p w14:paraId="409C7271">
      <w:pPr>
        <w:spacing w:line="360" w:lineRule="auto"/>
        <w:ind w:firstLine="480" w:firstLineChars="200"/>
        <w:rPr>
          <w:bCs/>
          <w:sz w:val="24"/>
        </w:rPr>
      </w:pPr>
      <w:r>
        <w:rPr>
          <w:bCs/>
          <w:sz w:val="24"/>
        </w:rPr>
        <w:t>（2）会议拟审议的事项、议事程序和表决方式；</w:t>
      </w:r>
    </w:p>
    <w:p w14:paraId="4CDF3C08">
      <w:pPr>
        <w:spacing w:line="360" w:lineRule="auto"/>
        <w:ind w:firstLine="480" w:firstLineChars="200"/>
        <w:rPr>
          <w:bCs/>
          <w:sz w:val="24"/>
        </w:rPr>
      </w:pPr>
      <w:r>
        <w:rPr>
          <w:bCs/>
          <w:sz w:val="24"/>
        </w:rPr>
        <w:t>（3）有权出席基金份额持有人大会的基金份额持有人的权益登记日；</w:t>
      </w:r>
    </w:p>
    <w:p w14:paraId="2B0ED6B9">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73504C8C">
      <w:pPr>
        <w:spacing w:line="360" w:lineRule="auto"/>
        <w:ind w:firstLine="480" w:firstLineChars="200"/>
        <w:rPr>
          <w:bCs/>
          <w:sz w:val="24"/>
        </w:rPr>
      </w:pPr>
      <w:r>
        <w:rPr>
          <w:bCs/>
          <w:sz w:val="24"/>
        </w:rPr>
        <w:t>（5）会务常设联系人姓名及联系电话；</w:t>
      </w:r>
    </w:p>
    <w:p w14:paraId="6A9592CA">
      <w:pPr>
        <w:spacing w:line="360" w:lineRule="auto"/>
        <w:ind w:firstLine="480" w:firstLineChars="200"/>
        <w:rPr>
          <w:bCs/>
          <w:sz w:val="24"/>
        </w:rPr>
      </w:pPr>
      <w:r>
        <w:rPr>
          <w:bCs/>
          <w:sz w:val="24"/>
        </w:rPr>
        <w:t>（6）出席会议者必须准备的文件和必须履行的手续；</w:t>
      </w:r>
    </w:p>
    <w:p w14:paraId="072D3A02">
      <w:pPr>
        <w:spacing w:line="360" w:lineRule="auto"/>
        <w:ind w:firstLine="480" w:firstLineChars="200"/>
        <w:rPr>
          <w:bCs/>
          <w:sz w:val="24"/>
        </w:rPr>
      </w:pPr>
      <w:r>
        <w:rPr>
          <w:bCs/>
          <w:sz w:val="24"/>
        </w:rPr>
        <w:t>（7）召集人需要通知的其他事项。</w:t>
      </w:r>
    </w:p>
    <w:p w14:paraId="6D172468">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BDCA723">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B04BF35">
      <w:pPr>
        <w:spacing w:line="360" w:lineRule="auto"/>
        <w:ind w:firstLine="480" w:firstLineChars="200"/>
        <w:rPr>
          <w:bCs/>
          <w:sz w:val="24"/>
        </w:rPr>
      </w:pPr>
      <w:r>
        <w:rPr>
          <w:rFonts w:hAnsi="宋体"/>
          <w:bCs/>
          <w:sz w:val="24"/>
        </w:rPr>
        <w:t>（四）基金份额持有人出席会议的方式</w:t>
      </w:r>
    </w:p>
    <w:p w14:paraId="102837C3">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71EFEFB4">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1CCBD19E">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2354C60">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14:paraId="61BFDEA2">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会议通知载明的</w:t>
      </w:r>
      <w:r>
        <w:rPr>
          <w:bCs/>
          <w:sz w:val="24"/>
        </w:rPr>
        <w:t>形式在表决截</w:t>
      </w:r>
      <w:r>
        <w:rPr>
          <w:rFonts w:hint="eastAsia"/>
          <w:bCs/>
          <w:sz w:val="24"/>
        </w:rPr>
        <w:t>止</w:t>
      </w:r>
      <w:r>
        <w:rPr>
          <w:bCs/>
          <w:sz w:val="24"/>
        </w:rPr>
        <w:t>日以前送达至召集人指定的地址</w:t>
      </w:r>
      <w:r>
        <w:rPr>
          <w:rFonts w:hint="eastAsia"/>
          <w:bCs/>
          <w:sz w:val="24"/>
        </w:rPr>
        <w:t>或系统</w:t>
      </w:r>
      <w:r>
        <w:rPr>
          <w:bCs/>
          <w:sz w:val="24"/>
        </w:rPr>
        <w:t>。</w:t>
      </w:r>
    </w:p>
    <w:p w14:paraId="18CCCBF0">
      <w:pPr>
        <w:spacing w:line="360" w:lineRule="auto"/>
        <w:ind w:firstLine="480" w:firstLineChars="200"/>
        <w:rPr>
          <w:bCs/>
          <w:sz w:val="24"/>
        </w:rPr>
      </w:pPr>
      <w:r>
        <w:rPr>
          <w:bCs/>
          <w:sz w:val="24"/>
        </w:rPr>
        <w:t>在同时符合以下条件时，通讯开会的方式视为有效：</w:t>
      </w:r>
    </w:p>
    <w:p w14:paraId="03B87CEC">
      <w:pPr>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579D2F31">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44285340">
      <w:pPr>
        <w:spacing w:line="360" w:lineRule="auto"/>
        <w:ind w:firstLine="540" w:firstLineChars="225"/>
        <w:rPr>
          <w:bCs/>
          <w:sz w:val="24"/>
        </w:rPr>
      </w:pPr>
      <w:r>
        <w:rPr>
          <w:bCs/>
          <w:sz w:val="24"/>
        </w:rPr>
        <w:t>（3）本人直接出具表决意见或授权他人代表出具表决意见的，基金份额持有人所持有的基金份额不小于在权益登记日基金总份额的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本人直接出具表决意见或授权他人代表出具表决意见</w:t>
      </w:r>
      <w:r>
        <w:rPr>
          <w:rFonts w:hint="eastAsia"/>
          <w:bCs/>
          <w:sz w:val="24"/>
        </w:rPr>
        <w:t>的</w:t>
      </w:r>
      <w:r>
        <w:rPr>
          <w:bCs/>
          <w:sz w:val="24"/>
        </w:rPr>
        <w:t>基金份额持有人所持有的基金份额小于在权益登记日基金总份额的</w:t>
      </w:r>
      <w:r>
        <w:rPr>
          <w:rFonts w:hint="eastAsia"/>
          <w:sz w:val="24"/>
          <w:szCs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w:t>
      </w:r>
      <w:r>
        <w:rPr>
          <w:rFonts w:hint="eastAsia"/>
          <w:bCs/>
          <w:sz w:val="24"/>
        </w:rPr>
        <w:t>基金总份额三分之一以上（含三分之一）基金份额的持有人直接出具表决意见或授权他人代表出具表决意见；</w:t>
      </w:r>
    </w:p>
    <w:p w14:paraId="5A0EA008">
      <w:pPr>
        <w:spacing w:line="360" w:lineRule="auto"/>
        <w:ind w:firstLine="480" w:firstLineChars="200"/>
        <w:rPr>
          <w:bCs/>
          <w:sz w:val="24"/>
        </w:rPr>
      </w:pPr>
      <w:r>
        <w:rPr>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7E1E2E51">
      <w:pPr>
        <w:spacing w:line="360" w:lineRule="auto"/>
        <w:ind w:firstLine="480"/>
        <w:rPr>
          <w:bCs/>
          <w:sz w:val="24"/>
        </w:rPr>
      </w:pPr>
      <w:r>
        <w:rPr>
          <w:rFonts w:hint="eastAsia"/>
          <w:bCs/>
          <w:sz w:val="24"/>
          <w:szCs w:val="24"/>
        </w:rPr>
        <w:t>3、在法律法规和监管机关允许的情况下，经会议通知载明，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p w14:paraId="66E3CA57">
      <w:pPr>
        <w:spacing w:line="360" w:lineRule="auto"/>
        <w:ind w:firstLine="480" w:firstLineChars="200"/>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14:paraId="4BD6619E">
      <w:pPr>
        <w:spacing w:line="360" w:lineRule="auto"/>
        <w:ind w:firstLine="480" w:firstLineChars="200"/>
        <w:rPr>
          <w:bCs/>
          <w:sz w:val="24"/>
        </w:rPr>
      </w:pPr>
      <w:r>
        <w:rPr>
          <w:bCs/>
          <w:sz w:val="24"/>
        </w:rPr>
        <w:t>1、议事内容及提案权</w:t>
      </w:r>
    </w:p>
    <w:p w14:paraId="7A6BC775">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13CFC446">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24A97325">
      <w:pPr>
        <w:spacing w:line="360" w:lineRule="auto"/>
        <w:ind w:firstLine="480" w:firstLineChars="200"/>
        <w:rPr>
          <w:bCs/>
          <w:sz w:val="24"/>
        </w:rPr>
      </w:pPr>
      <w:r>
        <w:rPr>
          <w:bCs/>
          <w:sz w:val="24"/>
        </w:rPr>
        <w:t>基金份额持有人大会不得对未事先公告的议事内容进行表决。</w:t>
      </w:r>
    </w:p>
    <w:p w14:paraId="13B31162">
      <w:pPr>
        <w:spacing w:line="360" w:lineRule="auto"/>
        <w:ind w:firstLine="480" w:firstLineChars="200"/>
        <w:rPr>
          <w:bCs/>
          <w:sz w:val="24"/>
        </w:rPr>
      </w:pPr>
      <w:r>
        <w:rPr>
          <w:bCs/>
          <w:sz w:val="24"/>
        </w:rPr>
        <w:t>2、议事程序</w:t>
      </w:r>
    </w:p>
    <w:p w14:paraId="57AEA641">
      <w:pPr>
        <w:spacing w:line="360" w:lineRule="auto"/>
        <w:ind w:firstLine="480" w:firstLineChars="200"/>
        <w:rPr>
          <w:bCs/>
          <w:sz w:val="24"/>
        </w:rPr>
      </w:pPr>
      <w:r>
        <w:rPr>
          <w:bCs/>
          <w:sz w:val="24"/>
        </w:rPr>
        <w:t>（1）现场开会</w:t>
      </w:r>
    </w:p>
    <w:p w14:paraId="622CFAA8">
      <w:pPr>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w:t>
      </w:r>
      <w:r>
        <w:rPr>
          <w:rFonts w:hint="eastAsia"/>
          <w:bCs/>
          <w:sz w:val="24"/>
        </w:rPr>
        <w:t>或代理人</w:t>
      </w:r>
      <w:r>
        <w:rPr>
          <w:bCs/>
          <w:sz w:val="24"/>
        </w:rPr>
        <w:t>作为该次基金份额持有人大会的主持人。基金管理人和基金托管人拒不出席或主持基金份额持有人大会，不影响基金份额持有人大会作出的决议的效力。</w:t>
      </w:r>
    </w:p>
    <w:p w14:paraId="7298E036">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6DDE6802">
      <w:pPr>
        <w:spacing w:line="360" w:lineRule="auto"/>
        <w:ind w:firstLine="480" w:firstLineChars="200"/>
        <w:rPr>
          <w:bCs/>
          <w:sz w:val="24"/>
        </w:rPr>
      </w:pPr>
      <w:r>
        <w:rPr>
          <w:bCs/>
          <w:sz w:val="24"/>
        </w:rPr>
        <w:t>（2）通讯开会</w:t>
      </w:r>
    </w:p>
    <w:p w14:paraId="08490041">
      <w:pPr>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739B63E6">
      <w:pPr>
        <w:spacing w:line="360" w:lineRule="auto"/>
        <w:ind w:firstLine="480" w:firstLineChars="200"/>
        <w:rPr>
          <w:rFonts w:hAnsi="宋体"/>
          <w:bCs/>
          <w:sz w:val="24"/>
        </w:rPr>
      </w:pPr>
      <w:r>
        <w:rPr>
          <w:rFonts w:hAnsi="宋体"/>
          <w:bCs/>
          <w:sz w:val="24"/>
        </w:rPr>
        <w:t>（六）</w:t>
      </w:r>
      <w:r>
        <w:rPr>
          <w:rFonts w:hint="eastAsia" w:hAnsi="宋体"/>
          <w:bCs/>
          <w:sz w:val="24"/>
        </w:rPr>
        <w:t>表决</w:t>
      </w:r>
    </w:p>
    <w:p w14:paraId="2B5467CA">
      <w:pPr>
        <w:spacing w:line="360" w:lineRule="auto"/>
        <w:ind w:firstLine="480" w:firstLineChars="200"/>
        <w:rPr>
          <w:bCs/>
          <w:sz w:val="24"/>
        </w:rPr>
      </w:pPr>
      <w:r>
        <w:rPr>
          <w:bCs/>
          <w:sz w:val="24"/>
        </w:rPr>
        <w:t>基金份额持有人所持每份基金份额有一票表决权。</w:t>
      </w:r>
    </w:p>
    <w:p w14:paraId="601E8653">
      <w:pPr>
        <w:spacing w:line="360" w:lineRule="auto"/>
        <w:ind w:firstLine="480" w:firstLineChars="200"/>
        <w:rPr>
          <w:bCs/>
          <w:sz w:val="24"/>
        </w:rPr>
      </w:pPr>
      <w:r>
        <w:rPr>
          <w:bCs/>
          <w:sz w:val="24"/>
        </w:rPr>
        <w:t>基金份额持有人大会决议分为一般决议和特别决议：</w:t>
      </w:r>
    </w:p>
    <w:p w14:paraId="0E14051B">
      <w:pPr>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）通过方为有效；除下列第2项所规定的须以特别决议通过事项以外的其他事项均以一般决议的方式通过。</w:t>
      </w:r>
    </w:p>
    <w:p w14:paraId="3114A651">
      <w:pPr>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）通过方可做出。转换基金运作方式、更换基金管理人或者基金托管人、终止《基金合同》</w:t>
      </w:r>
      <w:r>
        <w:rPr>
          <w:rFonts w:hint="eastAsia"/>
          <w:bCs/>
          <w:sz w:val="24"/>
        </w:rPr>
        <w:t>、本基金与其他基金合并（法律法规、中国证监会另有规定或《基金合同》另有约定的除外）以特别决议通</w:t>
      </w:r>
      <w:r>
        <w:rPr>
          <w:bCs/>
          <w:sz w:val="24"/>
        </w:rPr>
        <w:t>过方为有效。</w:t>
      </w:r>
    </w:p>
    <w:p w14:paraId="003D2C2C">
      <w:pPr>
        <w:spacing w:line="360" w:lineRule="auto"/>
        <w:ind w:firstLine="480" w:firstLineChars="200"/>
        <w:rPr>
          <w:bCs/>
          <w:sz w:val="24"/>
        </w:rPr>
      </w:pPr>
      <w:r>
        <w:rPr>
          <w:bCs/>
          <w:sz w:val="24"/>
        </w:rPr>
        <w:t>基金份额持有人大会采取记名方式进行投票表决。</w:t>
      </w:r>
    </w:p>
    <w:p w14:paraId="45D4570C">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7E1C30A3">
      <w:pPr>
        <w:spacing w:line="360" w:lineRule="auto"/>
        <w:ind w:firstLine="480" w:firstLineChars="200"/>
        <w:rPr>
          <w:bCs/>
          <w:sz w:val="24"/>
        </w:rPr>
      </w:pPr>
      <w:r>
        <w:rPr>
          <w:bCs/>
          <w:sz w:val="24"/>
        </w:rPr>
        <w:t>基金份额持有人大会的各项提案或同一项提案内并列的各项议题应当分开审议、逐项表决。</w:t>
      </w:r>
    </w:p>
    <w:p w14:paraId="1A82DE2B">
      <w:pPr>
        <w:spacing w:line="360" w:lineRule="auto"/>
        <w:ind w:firstLine="480" w:firstLineChars="200"/>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14:paraId="2991E254">
      <w:pPr>
        <w:spacing w:line="360" w:lineRule="auto"/>
        <w:ind w:firstLine="480" w:firstLineChars="200"/>
        <w:rPr>
          <w:bCs/>
          <w:sz w:val="24"/>
        </w:rPr>
      </w:pPr>
      <w:r>
        <w:rPr>
          <w:bCs/>
          <w:sz w:val="24"/>
        </w:rPr>
        <w:t>1、现场开会</w:t>
      </w:r>
    </w:p>
    <w:p w14:paraId="5CA467A9">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2A29B29C">
      <w:pPr>
        <w:spacing w:line="360" w:lineRule="auto"/>
        <w:ind w:firstLine="480" w:firstLineChars="200"/>
        <w:rPr>
          <w:bCs/>
          <w:sz w:val="24"/>
        </w:rPr>
      </w:pPr>
      <w:r>
        <w:rPr>
          <w:bCs/>
          <w:sz w:val="24"/>
        </w:rPr>
        <w:t>（2）监票人应当在基金份额持有人表决后立即进行清点并由大会主持人当场公布计票结果。</w:t>
      </w:r>
    </w:p>
    <w:p w14:paraId="1CB5D9F3">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0776F980">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7A4E5C24">
      <w:pPr>
        <w:spacing w:line="360" w:lineRule="auto"/>
        <w:ind w:firstLine="480" w:firstLineChars="200"/>
        <w:rPr>
          <w:bCs/>
          <w:sz w:val="24"/>
        </w:rPr>
      </w:pPr>
      <w:r>
        <w:rPr>
          <w:bCs/>
          <w:sz w:val="24"/>
        </w:rPr>
        <w:t>2、通讯开会</w:t>
      </w:r>
    </w:p>
    <w:p w14:paraId="2B31DD92">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330DF3B2">
      <w:pPr>
        <w:spacing w:line="360" w:lineRule="auto"/>
        <w:ind w:firstLine="480" w:firstLineChars="200"/>
        <w:rPr>
          <w:bCs/>
          <w:sz w:val="24"/>
        </w:rPr>
      </w:pPr>
      <w:r>
        <w:rPr>
          <w:rFonts w:hint="eastAsia"/>
          <w:bCs/>
          <w:sz w:val="24"/>
        </w:rPr>
        <w:t>（</w:t>
      </w:r>
      <w:r>
        <w:rPr>
          <w:bCs/>
          <w:sz w:val="24"/>
        </w:rPr>
        <w:t>八</w:t>
      </w:r>
      <w:r>
        <w:rPr>
          <w:rFonts w:hint="eastAsia"/>
          <w:bCs/>
          <w:sz w:val="24"/>
        </w:rPr>
        <w:t>）</w:t>
      </w:r>
      <w:r>
        <w:rPr>
          <w:bCs/>
          <w:sz w:val="24"/>
        </w:rPr>
        <w:t>生效与公告</w:t>
      </w:r>
    </w:p>
    <w:p w14:paraId="394ABC58">
      <w:pPr>
        <w:spacing w:line="360" w:lineRule="auto"/>
        <w:ind w:firstLine="480" w:firstLineChars="200"/>
        <w:rPr>
          <w:bCs/>
          <w:sz w:val="24"/>
        </w:rPr>
      </w:pPr>
      <w:r>
        <w:rPr>
          <w:bCs/>
          <w:sz w:val="24"/>
        </w:rPr>
        <w:t>基金份额持有人大会的决定的事项自表决通过之日起生效，召集人应当自通过之日起</w:t>
      </w:r>
      <w:r>
        <w:rPr>
          <w:rFonts w:hint="eastAsia"/>
          <w:bCs/>
          <w:sz w:val="24"/>
        </w:rPr>
        <w:t>5</w:t>
      </w:r>
      <w:r>
        <w:rPr>
          <w:bCs/>
          <w:sz w:val="24"/>
        </w:rPr>
        <w:t>日内报中国证监会备案。</w:t>
      </w:r>
    </w:p>
    <w:p w14:paraId="03285D28">
      <w:pPr>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指定媒介</w:t>
      </w:r>
      <w:r>
        <w:rPr>
          <w:bCs/>
          <w:sz w:val="24"/>
        </w:rPr>
        <w:t>上公告。如果采用通讯方式进行表决，在公告基金份额持有人大会决议时，必须将公证书全文、公证机构、公证员姓名等一同公告。</w:t>
      </w:r>
    </w:p>
    <w:p w14:paraId="3E8A6B33">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5F3F48B0">
      <w:pPr>
        <w:spacing w:line="360" w:lineRule="auto"/>
        <w:ind w:firstLine="480" w:firstLineChars="200"/>
        <w:rPr>
          <w:bCs/>
          <w:sz w:val="24"/>
        </w:rPr>
      </w:pPr>
      <w:r>
        <w:rPr>
          <w:rFonts w:hint="eastAsia"/>
          <w:bCs/>
          <w:sz w:val="24"/>
        </w:rPr>
        <w:t>（九）本部分对基金份额持有人大会召开事由、召开条件、议事程序、表决条件等规定，凡是直接引用法律法规的部分，如将来法律法规修改导致相关内容被取消或变更的，基金管理人经</w:t>
      </w:r>
      <w:r>
        <w:rPr>
          <w:bCs/>
          <w:sz w:val="24"/>
        </w:rPr>
        <w:t>与基金托管人协商一致并</w:t>
      </w:r>
      <w:r>
        <w:rPr>
          <w:rFonts w:hint="eastAsia"/>
          <w:bCs/>
          <w:sz w:val="24"/>
        </w:rPr>
        <w:t>提前公告后，可直接对本部分内容进行修改和调整，无需召开基金份额持有人大会审议。</w:t>
      </w:r>
    </w:p>
    <w:p w14:paraId="19D46B85">
      <w:pPr>
        <w:pStyle w:val="38"/>
        <w:spacing w:afterLines="0"/>
        <w:ind w:firstLine="482"/>
        <w:rPr>
          <w:b/>
        </w:rPr>
      </w:pPr>
      <w:r>
        <w:rPr>
          <w:rFonts w:hAnsi="宋体"/>
          <w:b/>
        </w:rPr>
        <w:t>三、基金收益分配原则、执行方式</w:t>
      </w:r>
    </w:p>
    <w:p w14:paraId="052D9028">
      <w:pPr>
        <w:spacing w:line="360" w:lineRule="auto"/>
        <w:ind w:firstLine="480" w:firstLineChars="200"/>
        <w:outlineLvl w:val="0"/>
        <w:rPr>
          <w:sz w:val="24"/>
        </w:rPr>
      </w:pPr>
      <w:r>
        <w:rPr>
          <w:rFonts w:hAnsi="宋体"/>
          <w:sz w:val="24"/>
        </w:rPr>
        <w:t>（一）基金收益分配原则</w:t>
      </w:r>
    </w:p>
    <w:p w14:paraId="400002E8">
      <w:pPr>
        <w:spacing w:line="360" w:lineRule="auto"/>
        <w:ind w:firstLine="540" w:firstLineChars="225"/>
        <w:rPr>
          <w:bCs/>
          <w:sz w:val="24"/>
        </w:rPr>
      </w:pPr>
      <w:r>
        <w:rPr>
          <w:bCs/>
          <w:sz w:val="24"/>
        </w:rPr>
        <w:t>1、若《基金合同》生效不满3个月可不进行收益分配；</w:t>
      </w:r>
    </w:p>
    <w:p w14:paraId="5B7C56D8">
      <w:pPr>
        <w:spacing w:line="360" w:lineRule="auto"/>
        <w:ind w:firstLine="540" w:firstLineChars="225"/>
        <w:rPr>
          <w:bCs/>
          <w:sz w:val="24"/>
        </w:rPr>
      </w:pPr>
      <w:r>
        <w:rPr>
          <w:bCs/>
          <w:sz w:val="24"/>
        </w:rPr>
        <w:t>2、本基金收益分配方式分两种：现金分红与红利再投资，投资者可选择现金红利或将现金红利自动转为基金份额进行再投资；若投资者不选择，本基金默认的收益分配方式是现金分红；</w:t>
      </w:r>
    </w:p>
    <w:p w14:paraId="4C1C9122">
      <w:pPr>
        <w:spacing w:line="360" w:lineRule="auto"/>
        <w:ind w:firstLine="540" w:firstLineChars="225"/>
        <w:rPr>
          <w:bCs/>
          <w:sz w:val="24"/>
        </w:rPr>
      </w:pPr>
      <w:r>
        <w:rPr>
          <w:bCs/>
          <w:sz w:val="24"/>
        </w:rPr>
        <w:t>3、基金收益分配后基金份额净值不能低于面值</w:t>
      </w:r>
      <w:r>
        <w:rPr>
          <w:rFonts w:hint="eastAsia"/>
          <w:bCs/>
          <w:sz w:val="24"/>
        </w:rPr>
        <w:t>，</w:t>
      </w:r>
      <w:r>
        <w:rPr>
          <w:bCs/>
          <w:sz w:val="24"/>
        </w:rPr>
        <w:t>即基金收益分配基准日的基金份额净值减去每单位基金份额收益分配金额后不能低于面值</w:t>
      </w:r>
      <w:r>
        <w:rPr>
          <w:rFonts w:hint="eastAsia"/>
          <w:bCs/>
          <w:sz w:val="24"/>
        </w:rPr>
        <w:t>；</w:t>
      </w:r>
    </w:p>
    <w:p w14:paraId="7EF89812">
      <w:pPr>
        <w:spacing w:line="360" w:lineRule="auto"/>
        <w:ind w:firstLine="540" w:firstLineChars="225"/>
        <w:rPr>
          <w:bCs/>
          <w:sz w:val="24"/>
        </w:rPr>
      </w:pPr>
      <w:r>
        <w:rPr>
          <w:bCs/>
          <w:sz w:val="24"/>
        </w:rPr>
        <w:t>4、每一基金份额享有同等分配权；</w:t>
      </w:r>
    </w:p>
    <w:p w14:paraId="21EED8C3">
      <w:pPr>
        <w:spacing w:line="360" w:lineRule="auto"/>
        <w:ind w:firstLine="540" w:firstLineChars="225"/>
        <w:rPr>
          <w:bCs/>
          <w:sz w:val="24"/>
        </w:rPr>
      </w:pPr>
      <w:r>
        <w:rPr>
          <w:bCs/>
          <w:sz w:val="24"/>
        </w:rPr>
        <w:t>5、法律法规或监管机关另有规定的，从其规定。</w:t>
      </w:r>
    </w:p>
    <w:p w14:paraId="62FE6BCE">
      <w:pPr>
        <w:pStyle w:val="38"/>
        <w:spacing w:afterLines="0"/>
        <w:ind w:firstLine="480"/>
        <w:outlineLvl w:val="0"/>
      </w:pPr>
      <w:r>
        <w:rPr>
          <w:rFonts w:hAnsi="宋体"/>
        </w:rPr>
        <w:t>（二）收益分配方案</w:t>
      </w:r>
    </w:p>
    <w:p w14:paraId="557ABC2A">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60917A89">
      <w:pPr>
        <w:pStyle w:val="38"/>
        <w:spacing w:afterLines="0"/>
        <w:ind w:firstLine="480"/>
        <w:outlineLvl w:val="0"/>
      </w:pPr>
      <w:r>
        <w:rPr>
          <w:rFonts w:hAnsi="宋体"/>
        </w:rPr>
        <w:t>（三）收益分配方案的确定、公告与实施</w:t>
      </w:r>
    </w:p>
    <w:p w14:paraId="4816CD75">
      <w:pPr>
        <w:spacing w:line="360" w:lineRule="auto"/>
        <w:ind w:firstLine="540" w:firstLineChars="225"/>
        <w:rPr>
          <w:bCs/>
          <w:sz w:val="24"/>
        </w:rPr>
      </w:pPr>
      <w:r>
        <w:rPr>
          <w:bCs/>
          <w:sz w:val="24"/>
        </w:rPr>
        <w:t>本基金收益分配方案由基金管理人拟定，并由基金托管人复核，</w:t>
      </w:r>
      <w:r>
        <w:rPr>
          <w:rFonts w:hint="eastAsia"/>
          <w:bCs/>
          <w:sz w:val="24"/>
        </w:rPr>
        <w:t>依照《信息披露办法》的有关规定</w:t>
      </w:r>
      <w:r>
        <w:rPr>
          <w:bCs/>
          <w:sz w:val="24"/>
        </w:rPr>
        <w:t>在指定媒介公告。</w:t>
      </w:r>
    </w:p>
    <w:p w14:paraId="2DD4ECBA">
      <w:pPr>
        <w:spacing w:line="360" w:lineRule="auto"/>
        <w:ind w:firstLine="540" w:firstLineChars="225"/>
        <w:rPr>
          <w:bCs/>
          <w:sz w:val="24"/>
        </w:rPr>
      </w:pPr>
      <w:r>
        <w:rPr>
          <w:bCs/>
          <w:sz w:val="24"/>
        </w:rPr>
        <w:t>基金红利发放日距离收益分配基准日（即可供分配利润计算截止日）的时间不得超过15个工作日。</w:t>
      </w:r>
    </w:p>
    <w:p w14:paraId="5C8A72A3">
      <w:pPr>
        <w:spacing w:line="360" w:lineRule="auto"/>
        <w:ind w:firstLine="540" w:firstLineChars="225"/>
        <w:rPr>
          <w:bCs/>
          <w:sz w:val="24"/>
        </w:rPr>
      </w:pPr>
      <w:r>
        <w:rPr>
          <w:rFonts w:hint="eastAsia" w:ascii="宋体" w:hAnsi="宋体"/>
          <w:sz w:val="24"/>
        </w:rPr>
        <w:t>法律法规或监管机关另有规定的，从其规定。</w:t>
      </w:r>
    </w:p>
    <w:p w14:paraId="465CB39A">
      <w:pPr>
        <w:pStyle w:val="38"/>
        <w:spacing w:afterLines="0"/>
        <w:ind w:firstLine="482"/>
        <w:outlineLvl w:val="0"/>
        <w:rPr>
          <w:b/>
        </w:rPr>
      </w:pPr>
      <w:r>
        <w:rPr>
          <w:rFonts w:hAnsi="宋体"/>
          <w:b/>
        </w:rPr>
        <w:t>四、与基金财产管理、运用有关费用的提取、支付方式与比例</w:t>
      </w:r>
    </w:p>
    <w:p w14:paraId="6D62F35C">
      <w:pPr>
        <w:spacing w:line="360" w:lineRule="auto"/>
        <w:ind w:firstLine="480" w:firstLineChars="200"/>
        <w:rPr>
          <w:bCs/>
          <w:sz w:val="24"/>
        </w:rPr>
      </w:pPr>
      <w:r>
        <w:rPr>
          <w:rFonts w:hint="eastAsia"/>
          <w:bCs/>
          <w:sz w:val="24"/>
        </w:rPr>
        <w:t>（一）基金费用的种类</w:t>
      </w:r>
    </w:p>
    <w:p w14:paraId="081EF727">
      <w:pPr>
        <w:spacing w:line="360" w:lineRule="auto"/>
        <w:ind w:firstLine="480" w:firstLineChars="200"/>
        <w:rPr>
          <w:bCs/>
          <w:sz w:val="24"/>
        </w:rPr>
      </w:pPr>
      <w:r>
        <w:rPr>
          <w:bCs/>
          <w:sz w:val="24"/>
        </w:rPr>
        <w:t>1、基金管理人的管理费；</w:t>
      </w:r>
    </w:p>
    <w:p w14:paraId="26FC47D8">
      <w:pPr>
        <w:spacing w:line="360" w:lineRule="auto"/>
        <w:ind w:firstLine="480" w:firstLineChars="200"/>
        <w:rPr>
          <w:bCs/>
          <w:sz w:val="24"/>
        </w:rPr>
      </w:pPr>
      <w:r>
        <w:rPr>
          <w:bCs/>
          <w:sz w:val="24"/>
        </w:rPr>
        <w:t>2、基金托管人的托管费；</w:t>
      </w:r>
    </w:p>
    <w:p w14:paraId="375CF78B">
      <w:pPr>
        <w:spacing w:line="360" w:lineRule="auto"/>
        <w:ind w:firstLine="480" w:firstLineChars="200"/>
        <w:rPr>
          <w:bCs/>
          <w:sz w:val="24"/>
        </w:rPr>
      </w:pPr>
      <w:r>
        <w:rPr>
          <w:bCs/>
          <w:sz w:val="24"/>
        </w:rPr>
        <w:t>3、《基金合同》生效后与基金相关的信息披露费用；</w:t>
      </w:r>
    </w:p>
    <w:p w14:paraId="049173AE">
      <w:pPr>
        <w:spacing w:line="360" w:lineRule="auto"/>
        <w:ind w:firstLine="480" w:firstLineChars="200"/>
        <w:rPr>
          <w:bCs/>
          <w:sz w:val="24"/>
        </w:rPr>
      </w:pPr>
      <w:r>
        <w:rPr>
          <w:bCs/>
          <w:sz w:val="24"/>
        </w:rPr>
        <w:t>4、《基金合同》生效后与基金相关的会计师费、律师费</w:t>
      </w:r>
      <w:r>
        <w:rPr>
          <w:rFonts w:hint="eastAsia"/>
          <w:bCs/>
          <w:sz w:val="24"/>
        </w:rPr>
        <w:t>、仲裁费</w:t>
      </w:r>
      <w:r>
        <w:rPr>
          <w:bCs/>
          <w:sz w:val="24"/>
        </w:rPr>
        <w:t>和诉讼费；</w:t>
      </w:r>
    </w:p>
    <w:p w14:paraId="5B0F8811">
      <w:pPr>
        <w:spacing w:line="360" w:lineRule="auto"/>
        <w:ind w:firstLine="480" w:firstLineChars="200"/>
        <w:rPr>
          <w:bCs/>
          <w:sz w:val="24"/>
        </w:rPr>
      </w:pPr>
      <w:r>
        <w:rPr>
          <w:bCs/>
          <w:sz w:val="24"/>
        </w:rPr>
        <w:t>5、基金份额持有人大会费用；</w:t>
      </w:r>
    </w:p>
    <w:p w14:paraId="7DE3D44E">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2854B643">
      <w:pPr>
        <w:spacing w:line="360" w:lineRule="auto"/>
        <w:ind w:firstLine="480" w:firstLineChars="200"/>
        <w:rPr>
          <w:bCs/>
          <w:sz w:val="24"/>
        </w:rPr>
      </w:pPr>
      <w:r>
        <w:rPr>
          <w:bCs/>
          <w:sz w:val="24"/>
        </w:rPr>
        <w:t>7、基金的银行汇划费用；</w:t>
      </w:r>
    </w:p>
    <w:p w14:paraId="54E100FB">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14:paraId="56EF7273">
      <w:pPr>
        <w:spacing w:line="360" w:lineRule="auto"/>
        <w:ind w:firstLine="480" w:firstLineChars="200"/>
        <w:rPr>
          <w:rFonts w:hAnsi="宋体"/>
          <w:bCs/>
        </w:rPr>
      </w:pPr>
      <w:r>
        <w:rPr>
          <w:bCs/>
          <w:sz w:val="24"/>
        </w:rPr>
        <w:t>9、按照国家有关规定和《基金合同》约定，可以在基金财产中列支的其他费用。</w:t>
      </w:r>
    </w:p>
    <w:p w14:paraId="3B069ABE">
      <w:pPr>
        <w:pStyle w:val="38"/>
        <w:spacing w:after="78"/>
        <w:ind w:firstLine="480"/>
        <w:rPr>
          <w:rFonts w:hAnsi="宋体"/>
          <w:bCs/>
        </w:rPr>
      </w:pPr>
      <w:r>
        <w:rPr>
          <w:rFonts w:hint="eastAsia" w:hAnsi="宋体"/>
          <w:bCs/>
        </w:rPr>
        <w:t>（二）基金费用计提方法、计提标准和支付方式</w:t>
      </w:r>
    </w:p>
    <w:p w14:paraId="076B3342">
      <w:pPr>
        <w:spacing w:line="360" w:lineRule="auto"/>
        <w:ind w:firstLine="480" w:firstLineChars="200"/>
        <w:rPr>
          <w:bCs/>
          <w:sz w:val="24"/>
        </w:rPr>
      </w:pPr>
      <w:r>
        <w:rPr>
          <w:bCs/>
          <w:sz w:val="24"/>
        </w:rPr>
        <w:t>1、基金管理人的管理费</w:t>
      </w:r>
    </w:p>
    <w:p w14:paraId="369A2259">
      <w:pPr>
        <w:spacing w:line="360" w:lineRule="auto"/>
        <w:ind w:firstLine="480" w:firstLineChars="200"/>
        <w:rPr>
          <w:bCs/>
          <w:sz w:val="24"/>
        </w:rPr>
      </w:pPr>
      <w:r>
        <w:rPr>
          <w:rFonts w:hint="eastAsia"/>
          <w:bCs/>
          <w:sz w:val="24"/>
        </w:rPr>
        <w:t>本基金的管理费按前一日基金资产净值的</w:t>
      </w:r>
      <w:r>
        <w:rPr>
          <w:bCs/>
          <w:sz w:val="24"/>
        </w:rPr>
        <w:t>1.2%</w:t>
      </w:r>
      <w:r>
        <w:rPr>
          <w:rFonts w:hint="eastAsia"/>
          <w:bCs/>
          <w:sz w:val="24"/>
        </w:rPr>
        <w:t>年费率计提。管理费的计算方法如下：</w:t>
      </w:r>
    </w:p>
    <w:p w14:paraId="52249316">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×年管理费率÷当年天数</w:t>
      </w:r>
    </w:p>
    <w:p w14:paraId="602B9C44">
      <w:pPr>
        <w:spacing w:line="360" w:lineRule="auto"/>
        <w:ind w:firstLine="480" w:firstLineChars="200"/>
        <w:rPr>
          <w:bCs/>
          <w:sz w:val="24"/>
        </w:rPr>
      </w:pPr>
      <w:r>
        <w:rPr>
          <w:bCs/>
          <w:sz w:val="24"/>
        </w:rPr>
        <w:t>H</w:t>
      </w:r>
      <w:r>
        <w:rPr>
          <w:rFonts w:hint="eastAsia"/>
          <w:bCs/>
          <w:sz w:val="24"/>
        </w:rPr>
        <w:t>为每日应计提的基金管理费</w:t>
      </w:r>
    </w:p>
    <w:p w14:paraId="0416BE6A">
      <w:pPr>
        <w:spacing w:line="360" w:lineRule="auto"/>
        <w:ind w:firstLine="480" w:firstLineChars="200"/>
        <w:rPr>
          <w:bCs/>
          <w:sz w:val="24"/>
        </w:rPr>
      </w:pPr>
      <w:r>
        <w:rPr>
          <w:bCs/>
          <w:sz w:val="24"/>
        </w:rPr>
        <w:t>E</w:t>
      </w:r>
      <w:r>
        <w:rPr>
          <w:rFonts w:hint="eastAsia"/>
          <w:bCs/>
          <w:sz w:val="24"/>
        </w:rPr>
        <w:t>为前一日的基金资产净值</w:t>
      </w:r>
    </w:p>
    <w:p w14:paraId="77939696">
      <w:pPr>
        <w:spacing w:line="360" w:lineRule="auto"/>
        <w:ind w:firstLine="480" w:firstLineChars="200"/>
        <w:rPr>
          <w:bCs/>
          <w:sz w:val="24"/>
        </w:rPr>
      </w:pPr>
      <w:r>
        <w:rPr>
          <w:rFonts w:hint="eastAsia"/>
          <w:bCs/>
          <w:sz w:val="24"/>
        </w:rPr>
        <w:t>自基金合同生效日起，基金管理费每日计提，按月支付。由基金托管人根据与基金管理人核对一致的财务数据，自动在月初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7404ED87">
      <w:pPr>
        <w:spacing w:line="360" w:lineRule="auto"/>
        <w:ind w:firstLine="480" w:firstLineChars="200"/>
        <w:rPr>
          <w:bCs/>
          <w:sz w:val="24"/>
        </w:rPr>
      </w:pPr>
      <w:r>
        <w:rPr>
          <w:bCs/>
          <w:sz w:val="24"/>
        </w:rPr>
        <w:t>2</w:t>
      </w:r>
      <w:r>
        <w:rPr>
          <w:rFonts w:hint="eastAsia"/>
          <w:bCs/>
          <w:sz w:val="24"/>
        </w:rPr>
        <w:t>、基金托管人的托管费</w:t>
      </w:r>
    </w:p>
    <w:p w14:paraId="7C1949C1">
      <w:pPr>
        <w:spacing w:line="360" w:lineRule="auto"/>
        <w:ind w:firstLine="480" w:firstLineChars="200"/>
        <w:rPr>
          <w:bCs/>
          <w:sz w:val="24"/>
        </w:rPr>
      </w:pPr>
      <w:r>
        <w:rPr>
          <w:rFonts w:hint="eastAsia"/>
          <w:bCs/>
          <w:sz w:val="24"/>
        </w:rPr>
        <w:t>本基金的托管费按前一日基金资产净值的0.2</w:t>
      </w:r>
      <w:r>
        <w:rPr>
          <w:bCs/>
          <w:sz w:val="24"/>
        </w:rPr>
        <w:t>0</w:t>
      </w:r>
      <w:r>
        <w:rPr>
          <w:rFonts w:hint="eastAsia"/>
          <w:bCs/>
          <w:sz w:val="24"/>
        </w:rPr>
        <w:t>%年费率计提。托管费的计算方法如下：</w:t>
      </w:r>
    </w:p>
    <w:p w14:paraId="712F58BD">
      <w:pPr>
        <w:spacing w:line="360" w:lineRule="auto"/>
        <w:ind w:firstLine="480" w:firstLineChars="200"/>
        <w:rPr>
          <w:bCs/>
          <w:sz w:val="24"/>
        </w:rPr>
      </w:pPr>
      <w:r>
        <w:rPr>
          <w:bCs/>
          <w:sz w:val="24"/>
        </w:rPr>
        <w:t>H</w:t>
      </w:r>
      <w:r>
        <w:rPr>
          <w:rFonts w:hint="eastAsia"/>
          <w:bCs/>
          <w:sz w:val="24"/>
        </w:rPr>
        <w:t>＝</w:t>
      </w:r>
      <w:r>
        <w:rPr>
          <w:bCs/>
          <w:sz w:val="24"/>
        </w:rPr>
        <w:t>E</w:t>
      </w:r>
      <w:r>
        <w:rPr>
          <w:rFonts w:hint="eastAsia"/>
          <w:bCs/>
          <w:sz w:val="24"/>
        </w:rPr>
        <w:t>×年托管费率÷当年天数</w:t>
      </w:r>
    </w:p>
    <w:p w14:paraId="406C2C97">
      <w:pPr>
        <w:spacing w:line="360" w:lineRule="auto"/>
        <w:ind w:firstLine="480" w:firstLineChars="200"/>
        <w:rPr>
          <w:bCs/>
          <w:sz w:val="24"/>
        </w:rPr>
      </w:pPr>
      <w:r>
        <w:rPr>
          <w:bCs/>
          <w:sz w:val="24"/>
        </w:rPr>
        <w:t>H</w:t>
      </w:r>
      <w:r>
        <w:rPr>
          <w:rFonts w:hint="eastAsia"/>
          <w:bCs/>
          <w:sz w:val="24"/>
        </w:rPr>
        <w:t>为每日应计提的基金托管费</w:t>
      </w:r>
    </w:p>
    <w:p w14:paraId="10F78648">
      <w:pPr>
        <w:spacing w:line="360" w:lineRule="auto"/>
        <w:ind w:firstLine="480" w:firstLineChars="200"/>
        <w:rPr>
          <w:bCs/>
          <w:sz w:val="24"/>
        </w:rPr>
      </w:pPr>
      <w:r>
        <w:rPr>
          <w:bCs/>
          <w:sz w:val="24"/>
        </w:rPr>
        <w:t>E</w:t>
      </w:r>
      <w:r>
        <w:rPr>
          <w:rFonts w:hint="eastAsia"/>
          <w:bCs/>
          <w:sz w:val="24"/>
        </w:rPr>
        <w:t>为前一日的基金资产净值</w:t>
      </w:r>
    </w:p>
    <w:p w14:paraId="02E74171">
      <w:pPr>
        <w:spacing w:line="360" w:lineRule="auto"/>
        <w:ind w:firstLine="480" w:firstLineChars="200"/>
        <w:rPr>
          <w:bCs/>
          <w:sz w:val="24"/>
        </w:rPr>
      </w:pPr>
      <w:r>
        <w:rPr>
          <w:rFonts w:hint="eastAsia"/>
          <w:bCs/>
          <w:sz w:val="24"/>
        </w:rPr>
        <w:t>自基金合同生效日起，基金托管费每日计提，按月支付。由基金托管人根据与基金管理人核对一致的财务数据，自动在月初</w:t>
      </w:r>
      <w:r>
        <w:rPr>
          <w:bCs/>
          <w:sz w:val="24"/>
        </w:rPr>
        <w:t>5</w:t>
      </w:r>
      <w:r>
        <w:rPr>
          <w:rFonts w:hint="eastAsia"/>
          <w:bCs/>
          <w:sz w:val="24"/>
        </w:rPr>
        <w:t>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14:paraId="7CC631E3">
      <w:pPr>
        <w:spacing w:line="360" w:lineRule="auto"/>
        <w:ind w:firstLine="480" w:firstLineChars="200"/>
        <w:rPr>
          <w:rFonts w:hAnsi="宋体"/>
          <w:bCs/>
        </w:rPr>
      </w:pPr>
      <w:r>
        <w:rPr>
          <w:rFonts w:hint="eastAsia"/>
          <w:bCs/>
          <w:sz w:val="24"/>
        </w:rPr>
        <w:t>3、</w:t>
      </w:r>
      <w:r>
        <w:rPr>
          <w:bCs/>
          <w:sz w:val="24"/>
        </w:rPr>
        <w:t>上述</w:t>
      </w:r>
      <w:r>
        <w:rPr>
          <w:rFonts w:hint="eastAsia"/>
          <w:bCs/>
          <w:sz w:val="24"/>
        </w:rPr>
        <w:t>“</w:t>
      </w:r>
      <w:r>
        <w:rPr>
          <w:bCs/>
          <w:sz w:val="24"/>
        </w:rPr>
        <w:t>一、基金费用的种类</w:t>
      </w:r>
      <w:r>
        <w:rPr>
          <w:rFonts w:hint="eastAsia"/>
          <w:bCs/>
          <w:sz w:val="24"/>
        </w:rPr>
        <w:t>”</w:t>
      </w:r>
      <w:r>
        <w:rPr>
          <w:bCs/>
          <w:sz w:val="24"/>
        </w:rPr>
        <w:t>中第3－</w:t>
      </w:r>
      <w:r>
        <w:rPr>
          <w:rFonts w:hint="eastAsia"/>
          <w:bCs/>
          <w:sz w:val="24"/>
        </w:rPr>
        <w:t>9</w:t>
      </w:r>
      <w:r>
        <w:rPr>
          <w:bCs/>
          <w:sz w:val="24"/>
        </w:rPr>
        <w:t>项费用，根据有关法规及相应协议规定，按费用实际支出金额列入当期费用，由基金托管人从基金财产中支付。</w:t>
      </w:r>
    </w:p>
    <w:p w14:paraId="5A74C741">
      <w:pPr>
        <w:spacing w:line="360" w:lineRule="auto"/>
        <w:ind w:firstLine="480" w:firstLineChars="200"/>
        <w:rPr>
          <w:bCs/>
          <w:sz w:val="24"/>
        </w:rPr>
      </w:pPr>
      <w:r>
        <w:rPr>
          <w:rFonts w:hint="eastAsia"/>
          <w:bCs/>
          <w:sz w:val="24"/>
        </w:rPr>
        <w:t>（三）不列入基金费用的项目</w:t>
      </w:r>
    </w:p>
    <w:p w14:paraId="4D0CE7D9">
      <w:pPr>
        <w:spacing w:line="360" w:lineRule="auto"/>
        <w:ind w:firstLine="480" w:firstLineChars="200"/>
        <w:rPr>
          <w:bCs/>
          <w:sz w:val="24"/>
        </w:rPr>
      </w:pPr>
      <w:r>
        <w:rPr>
          <w:bCs/>
          <w:sz w:val="24"/>
        </w:rPr>
        <w:t>下列费用不列入基金费用：</w:t>
      </w:r>
    </w:p>
    <w:p w14:paraId="03274481">
      <w:pPr>
        <w:spacing w:line="360" w:lineRule="auto"/>
        <w:ind w:firstLine="480" w:firstLineChars="200"/>
        <w:rPr>
          <w:bCs/>
          <w:sz w:val="24"/>
        </w:rPr>
      </w:pPr>
      <w:r>
        <w:rPr>
          <w:bCs/>
          <w:sz w:val="24"/>
        </w:rPr>
        <w:t>1、基金管理人和基金托管人因未履行或未完全履行义务导致的费用支出或基金财产的损失；</w:t>
      </w:r>
    </w:p>
    <w:p w14:paraId="147BC615">
      <w:pPr>
        <w:spacing w:line="360" w:lineRule="auto"/>
        <w:ind w:firstLine="480" w:firstLineChars="200"/>
        <w:rPr>
          <w:bCs/>
          <w:sz w:val="24"/>
        </w:rPr>
      </w:pPr>
      <w:r>
        <w:rPr>
          <w:bCs/>
          <w:sz w:val="24"/>
        </w:rPr>
        <w:t>2、基金管理人和基金托管人处理与基金运作无关的事项发生的费用；</w:t>
      </w:r>
    </w:p>
    <w:p w14:paraId="6B6AD677">
      <w:pPr>
        <w:spacing w:line="360" w:lineRule="auto"/>
        <w:ind w:firstLine="480" w:firstLineChars="200"/>
        <w:rPr>
          <w:bCs/>
          <w:sz w:val="24"/>
        </w:rPr>
      </w:pPr>
      <w:r>
        <w:rPr>
          <w:bCs/>
          <w:sz w:val="24"/>
        </w:rPr>
        <w:t>3、《基金合同》生效前的相关费用；</w:t>
      </w:r>
    </w:p>
    <w:p w14:paraId="7CB284F8">
      <w:pPr>
        <w:spacing w:line="360" w:lineRule="auto"/>
        <w:ind w:firstLine="480" w:firstLineChars="200"/>
        <w:rPr>
          <w:bCs/>
          <w:sz w:val="24"/>
        </w:rPr>
      </w:pPr>
      <w:r>
        <w:rPr>
          <w:bCs/>
          <w:sz w:val="24"/>
        </w:rPr>
        <w:t>4、其他根据相关法律法规及中国证监会的有关规定不得列入基金费用的项目。</w:t>
      </w:r>
    </w:p>
    <w:p w14:paraId="67A4141B">
      <w:pPr>
        <w:spacing w:line="360" w:lineRule="auto"/>
        <w:ind w:firstLine="480" w:firstLineChars="200"/>
        <w:rPr>
          <w:bCs/>
          <w:sz w:val="24"/>
        </w:rPr>
      </w:pPr>
      <w:r>
        <w:rPr>
          <w:rFonts w:hint="eastAsia"/>
          <w:bCs/>
          <w:sz w:val="24"/>
        </w:rPr>
        <w:t>（四）基金税收</w:t>
      </w:r>
    </w:p>
    <w:p w14:paraId="1CA42CF2">
      <w:pPr>
        <w:spacing w:line="360" w:lineRule="auto"/>
        <w:ind w:firstLine="480" w:firstLineChars="200"/>
        <w:rPr>
          <w:rFonts w:hAnsi="宋体"/>
          <w:b/>
        </w:rPr>
      </w:pPr>
      <w:r>
        <w:rPr>
          <w:bCs/>
          <w:sz w:val="24"/>
        </w:rPr>
        <w:t>本基金运作过程中涉及的各纳税主体，其纳税义务按国家税收法律、法规执行。</w:t>
      </w:r>
    </w:p>
    <w:p w14:paraId="615D1149">
      <w:pPr>
        <w:pStyle w:val="38"/>
        <w:spacing w:afterLines="0"/>
        <w:ind w:firstLine="482"/>
        <w:rPr>
          <w:b/>
        </w:rPr>
      </w:pPr>
      <w:r>
        <w:rPr>
          <w:rFonts w:hAnsi="宋体"/>
          <w:b/>
        </w:rPr>
        <w:t>五、基金财产的投资方向和投资限制</w:t>
      </w:r>
    </w:p>
    <w:p w14:paraId="4A6D0166">
      <w:pPr>
        <w:spacing w:line="360" w:lineRule="auto"/>
        <w:ind w:firstLine="480" w:firstLineChars="200"/>
        <w:outlineLvl w:val="0"/>
        <w:rPr>
          <w:rFonts w:ascii="宋体" w:hAnsi="宋体"/>
          <w:sz w:val="24"/>
        </w:rPr>
      </w:pPr>
      <w:r>
        <w:rPr>
          <w:rFonts w:ascii="宋体" w:hAnsi="宋体"/>
          <w:sz w:val="24"/>
        </w:rPr>
        <w:t>（</w:t>
      </w:r>
      <w:r>
        <w:rPr>
          <w:rFonts w:hint="eastAsia" w:ascii="宋体" w:hAnsi="宋体"/>
          <w:sz w:val="24"/>
        </w:rPr>
        <w:t>一</w:t>
      </w:r>
      <w:r>
        <w:rPr>
          <w:rFonts w:ascii="宋体" w:hAnsi="宋体"/>
          <w:sz w:val="24"/>
        </w:rPr>
        <w:t>）</w:t>
      </w:r>
      <w:r>
        <w:rPr>
          <w:rFonts w:hint="eastAsia" w:ascii="宋体" w:hAnsi="宋体"/>
          <w:sz w:val="24"/>
        </w:rPr>
        <w:t>投资目标</w:t>
      </w:r>
    </w:p>
    <w:p w14:paraId="52DB84C3">
      <w:pPr>
        <w:spacing w:line="360" w:lineRule="auto"/>
        <w:ind w:firstLine="480" w:firstLineChars="200"/>
        <w:outlineLvl w:val="0"/>
        <w:rPr>
          <w:bCs/>
          <w:sz w:val="24"/>
        </w:rPr>
      </w:pPr>
      <w:r>
        <w:rPr>
          <w:rFonts w:hint="eastAsia"/>
          <w:bCs/>
          <w:sz w:val="24"/>
        </w:rPr>
        <w:t>本基金主要投资于具有稳定股息收益的优质成长性上市公司，以稳健收益为目标，追求长期的资产增值。</w:t>
      </w:r>
    </w:p>
    <w:p w14:paraId="4A811D75">
      <w:pPr>
        <w:spacing w:line="360" w:lineRule="auto"/>
        <w:ind w:firstLine="480" w:firstLineChars="200"/>
        <w:outlineLvl w:val="0"/>
        <w:rPr>
          <w:bCs/>
          <w:sz w:val="24"/>
        </w:rPr>
      </w:pPr>
      <w:r>
        <w:rPr>
          <w:rFonts w:hint="eastAsia"/>
          <w:bCs/>
          <w:sz w:val="24"/>
        </w:rPr>
        <w:t>（</w:t>
      </w:r>
      <w:r>
        <w:rPr>
          <w:bCs/>
          <w:sz w:val="24"/>
        </w:rPr>
        <w:t>二</w:t>
      </w:r>
      <w:r>
        <w:rPr>
          <w:rFonts w:hint="eastAsia"/>
          <w:bCs/>
          <w:sz w:val="24"/>
        </w:rPr>
        <w:t>）</w:t>
      </w:r>
      <w:r>
        <w:rPr>
          <w:bCs/>
          <w:sz w:val="24"/>
        </w:rPr>
        <w:t>投资范围</w:t>
      </w:r>
    </w:p>
    <w:p w14:paraId="5653EB91">
      <w:pPr>
        <w:spacing w:line="360" w:lineRule="auto"/>
        <w:ind w:firstLine="480"/>
        <w:rPr>
          <w:bCs/>
          <w:sz w:val="24"/>
        </w:rPr>
      </w:pPr>
      <w:r>
        <w:rPr>
          <w:rFonts w:hint="eastAsia"/>
          <w:bCs/>
          <w:sz w:val="24"/>
        </w:rPr>
        <w:t>本基金的投资范围为具有良好流动性的金融工具，包括国内依法发行上市的股票</w:t>
      </w:r>
      <w:r>
        <w:rPr>
          <w:rFonts w:hint="eastAsia" w:ascii="宋体" w:hAnsi="宋体"/>
          <w:sz w:val="24"/>
        </w:rPr>
        <w:t>（含中小板、创业板及其他经中国证监会核准上市的股票</w:t>
      </w:r>
      <w:r>
        <w:rPr>
          <w:rFonts w:hint="eastAsia"/>
          <w:bCs/>
          <w:sz w:val="24"/>
        </w:rPr>
        <w:t>、存托凭证</w:t>
      </w:r>
      <w:r>
        <w:rPr>
          <w:rFonts w:hint="eastAsia" w:ascii="宋体" w:hAnsi="宋体"/>
          <w:sz w:val="24"/>
        </w:rPr>
        <w:t>）</w:t>
      </w:r>
      <w:r>
        <w:rPr>
          <w:rFonts w:hint="eastAsia"/>
          <w:bCs/>
          <w:sz w:val="24"/>
        </w:rPr>
        <w:t>、债券（含国债、央行票据、金融债券、政府支持债券</w:t>
      </w:r>
      <w:r>
        <w:rPr>
          <w:bCs/>
          <w:sz w:val="24"/>
        </w:rPr>
        <w:t>、政府支持</w:t>
      </w:r>
      <w:r>
        <w:rPr>
          <w:rFonts w:hint="eastAsia"/>
          <w:bCs/>
          <w:sz w:val="24"/>
        </w:rPr>
        <w:t>机构</w:t>
      </w:r>
      <w:r>
        <w:rPr>
          <w:bCs/>
          <w:sz w:val="24"/>
        </w:rPr>
        <w:t>债券</w:t>
      </w:r>
      <w:r>
        <w:rPr>
          <w:rFonts w:hint="eastAsia"/>
          <w:bCs/>
          <w:sz w:val="24"/>
        </w:rPr>
        <w:t>、地方政府债券、企业债券、公司债券、可转换债券（含可分离交易可转换债券）、可交换公司债券、次级债券、中期票据、短期融资券、超短期融资券等）、</w:t>
      </w:r>
      <w:r>
        <w:rPr>
          <w:rFonts w:hint="eastAsia" w:ascii="宋体" w:hAnsi="宋体"/>
          <w:sz w:val="24"/>
        </w:rPr>
        <w:t>货币市场工具、</w:t>
      </w:r>
      <w:r>
        <w:rPr>
          <w:rFonts w:hint="eastAsia" w:ascii="宋体" w:hAnsi="宋体"/>
          <w:bCs/>
          <w:sz w:val="24"/>
        </w:rPr>
        <w:t>债券</w:t>
      </w:r>
      <w:r>
        <w:rPr>
          <w:rFonts w:ascii="宋体" w:hAnsi="宋体"/>
          <w:bCs/>
          <w:sz w:val="24"/>
        </w:rPr>
        <w:t>回购、同业存单、</w:t>
      </w:r>
      <w:r>
        <w:rPr>
          <w:rFonts w:hint="eastAsia" w:ascii="宋体" w:hAnsi="宋体"/>
          <w:bCs/>
          <w:sz w:val="24"/>
        </w:rPr>
        <w:t>银行存款（含协议存款、定期存款及其他银行存款</w:t>
      </w:r>
      <w:r>
        <w:rPr>
          <w:rFonts w:ascii="宋体" w:hAnsi="宋体"/>
          <w:bCs/>
          <w:sz w:val="24"/>
        </w:rPr>
        <w:t>）</w:t>
      </w:r>
      <w:r>
        <w:rPr>
          <w:rFonts w:hint="eastAsia" w:ascii="宋体" w:hAnsi="宋体"/>
          <w:bCs/>
          <w:sz w:val="24"/>
        </w:rPr>
        <w:t>、</w:t>
      </w:r>
      <w:r>
        <w:rPr>
          <w:rFonts w:hint="eastAsia" w:ascii="宋体" w:hAnsi="宋体"/>
          <w:sz w:val="24"/>
        </w:rPr>
        <w:t>权证、资产支持证券、股指期货</w:t>
      </w:r>
      <w:r>
        <w:rPr>
          <w:rFonts w:hint="eastAsia"/>
          <w:bCs/>
          <w:sz w:val="24"/>
        </w:rPr>
        <w:t>以及法律法规或中国证监会允许基金投资的其他金融工具（但须符合中国证监会相关规定）。</w:t>
      </w:r>
    </w:p>
    <w:p w14:paraId="6C810040">
      <w:pPr>
        <w:spacing w:line="360" w:lineRule="auto"/>
        <w:ind w:firstLine="480"/>
        <w:rPr>
          <w:bCs/>
        </w:rPr>
      </w:pPr>
      <w:r>
        <w:rPr>
          <w:rFonts w:hint="eastAsia"/>
          <w:bCs/>
          <w:sz w:val="24"/>
        </w:rPr>
        <w:t>如法律法规或监管机构以后允许基金投资其他品种，基金管理人在履行适当程序后，可以将其纳入投资范围。</w:t>
      </w:r>
    </w:p>
    <w:p w14:paraId="2BF38AA4">
      <w:pPr>
        <w:spacing w:line="360" w:lineRule="auto"/>
        <w:ind w:firstLine="480"/>
        <w:rPr>
          <w:rFonts w:hAnsi="宋体"/>
          <w:bCs/>
        </w:rPr>
      </w:pPr>
      <w:r>
        <w:rPr>
          <w:rFonts w:hint="eastAsia"/>
          <w:bCs/>
          <w:sz w:val="24"/>
        </w:rPr>
        <w:t>基金的投资组合比例为：</w:t>
      </w:r>
      <w:r>
        <w:rPr>
          <w:rFonts w:hint="eastAsia" w:hAnsi="宋体"/>
          <w:bCs/>
          <w:sz w:val="24"/>
          <w:szCs w:val="24"/>
        </w:rPr>
        <w:t>股票资产</w:t>
      </w:r>
      <w:r>
        <w:rPr>
          <w:rFonts w:hint="eastAsia"/>
          <w:bCs/>
          <w:sz w:val="24"/>
        </w:rPr>
        <w:t>（</w:t>
      </w:r>
      <w:r>
        <w:rPr>
          <w:bCs/>
          <w:sz w:val="24"/>
        </w:rPr>
        <w:t>含存托凭证</w:t>
      </w:r>
      <w:r>
        <w:rPr>
          <w:rFonts w:hint="eastAsia"/>
          <w:bCs/>
          <w:sz w:val="24"/>
        </w:rPr>
        <w:t>）</w:t>
      </w:r>
      <w:r>
        <w:rPr>
          <w:rFonts w:hint="eastAsia" w:hAnsi="宋体"/>
          <w:bCs/>
          <w:sz w:val="24"/>
          <w:szCs w:val="24"/>
        </w:rPr>
        <w:t>占基金资产的</w:t>
      </w:r>
      <w:r>
        <w:rPr>
          <w:rFonts w:hAnsi="宋体"/>
          <w:bCs/>
          <w:sz w:val="24"/>
          <w:szCs w:val="24"/>
        </w:rPr>
        <w:t>50%-95%</w:t>
      </w:r>
      <w:r>
        <w:rPr>
          <w:rFonts w:hint="eastAsia"/>
          <w:bCs/>
          <w:sz w:val="24"/>
        </w:rPr>
        <w:t>，其中投资于股息优化型证券的比例不低于非现金基金资产的</w:t>
      </w:r>
      <w:r>
        <w:rPr>
          <w:bCs/>
          <w:sz w:val="24"/>
        </w:rPr>
        <w:t>80%</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w:t>
      </w:r>
      <w:r>
        <w:rPr>
          <w:rFonts w:hint="eastAsia" w:hAnsi="宋体"/>
          <w:bCs/>
          <w:sz w:val="24"/>
          <w:szCs w:val="24"/>
        </w:rPr>
        <w:t>本基金保留的现金或者投资于到期日在一年以内的政府债券的比例合计不低于基金资产净值的</w:t>
      </w:r>
      <w:r>
        <w:rPr>
          <w:rFonts w:hAnsi="宋体"/>
          <w:bCs/>
          <w:sz w:val="24"/>
          <w:szCs w:val="24"/>
        </w:rPr>
        <w:t>5%</w:t>
      </w:r>
      <w:r>
        <w:rPr>
          <w:rFonts w:hint="eastAsia" w:hAnsi="宋体"/>
          <w:bCs/>
          <w:sz w:val="24"/>
          <w:szCs w:val="24"/>
        </w:rPr>
        <w:t>，其中现金不包括结算备付金、存出保证金、应收申购款等。</w:t>
      </w:r>
    </w:p>
    <w:p w14:paraId="391A84EE">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14:paraId="496A5FA6">
      <w:pPr>
        <w:spacing w:line="360" w:lineRule="auto"/>
        <w:ind w:firstLine="480" w:firstLineChars="200"/>
        <w:outlineLvl w:val="0"/>
        <w:rPr>
          <w:bCs/>
          <w:sz w:val="24"/>
        </w:rPr>
      </w:pPr>
      <w:r>
        <w:rPr>
          <w:rFonts w:hint="eastAsia"/>
          <w:bCs/>
          <w:sz w:val="24"/>
        </w:rPr>
        <w:t>（</w:t>
      </w:r>
      <w:r>
        <w:rPr>
          <w:bCs/>
          <w:sz w:val="24"/>
        </w:rPr>
        <w:t>三</w:t>
      </w:r>
      <w:r>
        <w:rPr>
          <w:rFonts w:hint="eastAsia"/>
          <w:bCs/>
          <w:sz w:val="24"/>
        </w:rPr>
        <w:t>）</w:t>
      </w:r>
      <w:r>
        <w:rPr>
          <w:bCs/>
          <w:sz w:val="24"/>
        </w:rPr>
        <w:t>投资策略</w:t>
      </w:r>
    </w:p>
    <w:p w14:paraId="10E43E32">
      <w:pPr>
        <w:spacing w:line="360" w:lineRule="auto"/>
        <w:ind w:firstLine="480"/>
        <w:rPr>
          <w:bCs/>
          <w:sz w:val="24"/>
        </w:rPr>
      </w:pPr>
      <w:r>
        <w:rPr>
          <w:rFonts w:hint="eastAsia"/>
          <w:bCs/>
          <w:sz w:val="24"/>
        </w:rPr>
        <w:t>本基金充分发挥基金管理人的研究优势，在分析和判断宏观经济周期和金融市场运行趋势的基础上，自上而下调整基金大类资产配置和股票行业配置策略，确定债券组合久期和债券类别配置；在严谨深入的股票和债券研究分析基础上，自下而上精选个券。其中，本基金在股票投资上突出对有稳定股息收益的股票的侧重，同时选取能够体现公司竞争比较优势、盈利能力、内生成长性因子和体现公司财务状况、抗周期波动和分红稳定性因子，力争投资于具有稳定股息收益的优质成长</w:t>
      </w:r>
      <w:r>
        <w:rPr>
          <w:bCs/>
          <w:sz w:val="24"/>
        </w:rPr>
        <w:t>性</w:t>
      </w:r>
      <w:r>
        <w:rPr>
          <w:rFonts w:hint="eastAsia"/>
          <w:bCs/>
          <w:sz w:val="24"/>
        </w:rPr>
        <w:t>上市公司。</w:t>
      </w:r>
    </w:p>
    <w:p w14:paraId="1F32C44E">
      <w:pPr>
        <w:spacing w:line="360" w:lineRule="auto"/>
        <w:ind w:firstLine="480" w:firstLineChars="200"/>
        <w:rPr>
          <w:bCs/>
          <w:sz w:val="24"/>
        </w:rPr>
      </w:pPr>
      <w:r>
        <w:rPr>
          <w:rFonts w:hint="eastAsia"/>
          <w:bCs/>
          <w:sz w:val="24"/>
        </w:rPr>
        <w:t>1、资产配置</w:t>
      </w:r>
    </w:p>
    <w:p w14:paraId="79A1AA64">
      <w:pPr>
        <w:spacing w:line="360" w:lineRule="auto"/>
        <w:ind w:firstLine="480" w:firstLineChars="200"/>
        <w:rPr>
          <w:bCs/>
          <w:sz w:val="24"/>
        </w:rPr>
      </w:pPr>
      <w:r>
        <w:rPr>
          <w:rFonts w:hint="eastAsia"/>
          <w:bCs/>
          <w:sz w:val="24"/>
        </w:rPr>
        <w:t>本基金利用经交银施罗德研究团队修正后的投资时钟</w:t>
      </w:r>
      <w:r>
        <w:rPr>
          <w:bCs/>
          <w:sz w:val="24"/>
        </w:rPr>
        <w:t>分析框架，</w:t>
      </w:r>
      <w:r>
        <w:rPr>
          <w:rFonts w:hint="eastAsia"/>
          <w:bCs/>
          <w:sz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14:paraId="4A12B829">
      <w:pPr>
        <w:spacing w:line="360" w:lineRule="auto"/>
        <w:ind w:firstLine="480" w:firstLineChars="200"/>
        <w:rPr>
          <w:bCs/>
          <w:sz w:val="24"/>
        </w:rPr>
      </w:pPr>
      <w:r>
        <w:rPr>
          <w:bCs/>
          <w:sz w:val="24"/>
        </w:rPr>
        <w:t>2</w:t>
      </w:r>
      <w:r>
        <w:rPr>
          <w:rFonts w:hint="eastAsia"/>
          <w:bCs/>
          <w:sz w:val="24"/>
        </w:rPr>
        <w:t>、股票投资</w:t>
      </w:r>
    </w:p>
    <w:p w14:paraId="4B2FE438">
      <w:pPr>
        <w:spacing w:line="360" w:lineRule="auto"/>
        <w:ind w:firstLine="480" w:firstLineChars="200"/>
        <w:rPr>
          <w:bCs/>
          <w:sz w:val="24"/>
        </w:rPr>
      </w:pPr>
      <w:r>
        <w:rPr>
          <w:rFonts w:hint="eastAsia"/>
          <w:bCs/>
          <w:sz w:val="24"/>
        </w:rPr>
        <w:t>本基金在股票选择上侧重于对“股息优化</w:t>
      </w:r>
      <w:r>
        <w:rPr>
          <w:bCs/>
          <w:sz w:val="24"/>
        </w:rPr>
        <w:t>型</w:t>
      </w:r>
      <w:r>
        <w:rPr>
          <w:rFonts w:hint="eastAsia"/>
          <w:bCs/>
          <w:sz w:val="24"/>
        </w:rPr>
        <w:t>”证券的</w:t>
      </w:r>
      <w:r>
        <w:rPr>
          <w:bCs/>
          <w:sz w:val="24"/>
        </w:rPr>
        <w:t>投资</w:t>
      </w:r>
      <w:r>
        <w:rPr>
          <w:rFonts w:hint="eastAsia"/>
          <w:bCs/>
          <w:sz w:val="24"/>
        </w:rPr>
        <w:t>，“</w:t>
      </w:r>
      <w:r>
        <w:rPr>
          <w:bCs/>
          <w:sz w:val="24"/>
        </w:rPr>
        <w:t>股息优化型</w:t>
      </w:r>
      <w:r>
        <w:rPr>
          <w:rFonts w:hint="eastAsia"/>
          <w:bCs/>
          <w:sz w:val="24"/>
        </w:rPr>
        <w:t>”证券是</w:t>
      </w:r>
      <w:r>
        <w:rPr>
          <w:bCs/>
          <w:sz w:val="24"/>
        </w:rPr>
        <w:t>指</w:t>
      </w:r>
      <w:r>
        <w:rPr>
          <w:rFonts w:hint="eastAsia"/>
          <w:bCs/>
          <w:sz w:val="24"/>
        </w:rPr>
        <w:t>有稳定</w:t>
      </w:r>
      <w:r>
        <w:rPr>
          <w:bCs/>
          <w:sz w:val="24"/>
        </w:rPr>
        <w:t>股息</w:t>
      </w:r>
      <w:r>
        <w:rPr>
          <w:rFonts w:hint="eastAsia"/>
          <w:bCs/>
          <w:sz w:val="24"/>
        </w:rPr>
        <w:t>收益</w:t>
      </w:r>
      <w:r>
        <w:rPr>
          <w:rFonts w:hint="eastAsia" w:hAnsi="宋体"/>
          <w:sz w:val="24"/>
          <w:szCs w:val="24"/>
        </w:rPr>
        <w:t>且具有成长</w:t>
      </w:r>
      <w:r>
        <w:rPr>
          <w:rFonts w:hAnsi="宋体"/>
          <w:sz w:val="24"/>
          <w:szCs w:val="24"/>
        </w:rPr>
        <w:t>性</w:t>
      </w:r>
      <w:r>
        <w:rPr>
          <w:rFonts w:hint="eastAsia" w:hAnsi="宋体"/>
          <w:sz w:val="24"/>
          <w:szCs w:val="24"/>
        </w:rPr>
        <w:t>的</w:t>
      </w:r>
      <w:r>
        <w:rPr>
          <w:rFonts w:hint="eastAsia"/>
          <w:bCs/>
          <w:sz w:val="24"/>
        </w:rPr>
        <w:t>优质上市公司发行的证券</w:t>
      </w:r>
      <w:r>
        <w:rPr>
          <w:bCs/>
          <w:sz w:val="24"/>
        </w:rPr>
        <w:t>。</w:t>
      </w:r>
      <w:r>
        <w:rPr>
          <w:rFonts w:hint="eastAsia"/>
          <w:bCs/>
          <w:sz w:val="24"/>
        </w:rPr>
        <w:t>本基金管理人对股息优化型证券的投资具体分以下几个层次进行：</w:t>
      </w:r>
    </w:p>
    <w:p w14:paraId="075324B2">
      <w:pPr>
        <w:spacing w:line="360" w:lineRule="auto"/>
        <w:ind w:firstLine="480" w:firstLineChars="200"/>
        <w:rPr>
          <w:bCs/>
          <w:sz w:val="24"/>
        </w:rPr>
      </w:pPr>
      <w:r>
        <w:rPr>
          <w:rFonts w:hint="eastAsia"/>
          <w:bCs/>
          <w:sz w:val="24"/>
        </w:rPr>
        <w:t>首先</w:t>
      </w:r>
      <w:r>
        <w:rPr>
          <w:bCs/>
          <w:sz w:val="24"/>
        </w:rPr>
        <w:t>，</w:t>
      </w:r>
      <w:r>
        <w:rPr>
          <w:rFonts w:hint="eastAsia"/>
          <w:bCs/>
          <w:sz w:val="24"/>
        </w:rPr>
        <w:t>基金</w:t>
      </w:r>
      <w:r>
        <w:rPr>
          <w:bCs/>
          <w:sz w:val="24"/>
        </w:rPr>
        <w:t>管理人将</w:t>
      </w:r>
      <w:r>
        <w:rPr>
          <w:rFonts w:hint="eastAsia"/>
          <w:bCs/>
          <w:sz w:val="24"/>
        </w:rPr>
        <w:t>满足以下前</w:t>
      </w:r>
      <w:r>
        <w:rPr>
          <w:bCs/>
          <w:sz w:val="24"/>
        </w:rPr>
        <w:t>两项中任一项且</w:t>
      </w:r>
      <w:r>
        <w:rPr>
          <w:rFonts w:hint="eastAsia"/>
          <w:bCs/>
          <w:sz w:val="24"/>
        </w:rPr>
        <w:t>同时</w:t>
      </w:r>
      <w:r>
        <w:rPr>
          <w:bCs/>
          <w:sz w:val="24"/>
        </w:rPr>
        <w:t>满足第三项</w:t>
      </w:r>
      <w:r>
        <w:rPr>
          <w:rFonts w:hint="eastAsia"/>
          <w:bCs/>
          <w:sz w:val="24"/>
        </w:rPr>
        <w:t>特征的股票作为符合股息</w:t>
      </w:r>
      <w:r>
        <w:rPr>
          <w:bCs/>
          <w:sz w:val="24"/>
        </w:rPr>
        <w:t>率</w:t>
      </w:r>
      <w:r>
        <w:rPr>
          <w:rFonts w:hint="eastAsia"/>
          <w:bCs/>
          <w:sz w:val="24"/>
        </w:rPr>
        <w:t>要求的公司，构建备选股票池：</w:t>
      </w:r>
    </w:p>
    <w:p w14:paraId="1BB366CE">
      <w:pPr>
        <w:spacing w:line="360" w:lineRule="auto"/>
        <w:ind w:firstLine="480" w:firstLineChars="200"/>
        <w:rPr>
          <w:bCs/>
          <w:sz w:val="24"/>
        </w:rPr>
      </w:pPr>
      <w:r>
        <w:rPr>
          <w:rFonts w:hint="eastAsia"/>
          <w:bCs/>
          <w:sz w:val="24"/>
        </w:rPr>
        <w:t>1）在</w:t>
      </w:r>
      <w:r>
        <w:rPr>
          <w:bCs/>
          <w:sz w:val="24"/>
        </w:rPr>
        <w:t>过去两年中，至少</w:t>
      </w:r>
      <w:r>
        <w:rPr>
          <w:rFonts w:hint="eastAsia"/>
          <w:bCs/>
          <w:sz w:val="24"/>
        </w:rPr>
        <w:t>有</w:t>
      </w:r>
      <w:r>
        <w:rPr>
          <w:bCs/>
          <w:sz w:val="24"/>
        </w:rPr>
        <w:t>一年</w:t>
      </w:r>
      <w:r>
        <w:rPr>
          <w:rFonts w:hint="eastAsia"/>
          <w:bCs/>
          <w:sz w:val="24"/>
        </w:rPr>
        <w:t>实施</w:t>
      </w:r>
      <w:r>
        <w:rPr>
          <w:bCs/>
          <w:sz w:val="24"/>
        </w:rPr>
        <w:t>现金分红且</w:t>
      </w:r>
      <w:r>
        <w:rPr>
          <w:rFonts w:hint="eastAsia"/>
          <w:bCs/>
          <w:sz w:val="24"/>
        </w:rPr>
        <w:t>股息率（当年现金分红</w:t>
      </w:r>
      <w:r>
        <w:rPr>
          <w:bCs/>
          <w:sz w:val="24"/>
        </w:rPr>
        <w:t>/</w:t>
      </w:r>
      <w:r>
        <w:rPr>
          <w:rFonts w:hint="eastAsia"/>
          <w:bCs/>
          <w:sz w:val="24"/>
        </w:rPr>
        <w:t>股票的年均价（年均价</w:t>
      </w:r>
      <w:r>
        <w:rPr>
          <w:bCs/>
          <w:sz w:val="24"/>
        </w:rPr>
        <w:t>=</w:t>
      </w:r>
      <w:r>
        <w:rPr>
          <w:rFonts w:hint="eastAsia"/>
          <w:bCs/>
          <w:sz w:val="24"/>
        </w:rPr>
        <w:t>年成交额</w:t>
      </w:r>
      <w:r>
        <w:rPr>
          <w:bCs/>
          <w:sz w:val="24"/>
        </w:rPr>
        <w:t>/</w:t>
      </w:r>
      <w:r>
        <w:rPr>
          <w:rFonts w:hint="eastAsia"/>
          <w:bCs/>
          <w:sz w:val="24"/>
        </w:rPr>
        <w:t>年成交量））处于市场前</w:t>
      </w:r>
      <w:r>
        <w:rPr>
          <w:bCs/>
          <w:sz w:val="24"/>
        </w:rPr>
        <w:t>50%</w:t>
      </w:r>
    </w:p>
    <w:p w14:paraId="4C7BB1C5">
      <w:pPr>
        <w:spacing w:line="360" w:lineRule="auto"/>
        <w:ind w:firstLine="480" w:firstLineChars="200"/>
        <w:rPr>
          <w:bCs/>
          <w:sz w:val="24"/>
        </w:rPr>
      </w:pPr>
      <w:r>
        <w:rPr>
          <w:rFonts w:hint="eastAsia"/>
          <w:bCs/>
          <w:sz w:val="24"/>
        </w:rPr>
        <w:t>2）具有潜在股息优势（未来预期有稳定股息收益或具有较强分红意愿、且</w:t>
      </w:r>
      <w:r>
        <w:rPr>
          <w:bCs/>
          <w:sz w:val="24"/>
        </w:rPr>
        <w:t>股票估值合理</w:t>
      </w:r>
      <w:r>
        <w:rPr>
          <w:rFonts w:hint="eastAsia"/>
          <w:bCs/>
          <w:sz w:val="24"/>
        </w:rPr>
        <w:t>）</w:t>
      </w:r>
    </w:p>
    <w:p w14:paraId="405FB09A">
      <w:pPr>
        <w:spacing w:line="360" w:lineRule="auto"/>
        <w:ind w:firstLine="480" w:firstLineChars="200"/>
        <w:rPr>
          <w:bCs/>
          <w:sz w:val="24"/>
        </w:rPr>
      </w:pPr>
      <w:r>
        <w:rPr>
          <w:bCs/>
          <w:sz w:val="24"/>
        </w:rPr>
        <w:t>3</w:t>
      </w:r>
      <w:r>
        <w:rPr>
          <w:rFonts w:hint="eastAsia"/>
          <w:bCs/>
          <w:sz w:val="24"/>
        </w:rPr>
        <w:t>）经营状况良好、无重大违法违规事项、股息分配与经营情况不存在重大异常。</w:t>
      </w:r>
    </w:p>
    <w:p w14:paraId="3206DC36">
      <w:pPr>
        <w:spacing w:line="360" w:lineRule="auto"/>
        <w:ind w:firstLine="480" w:firstLineChars="200"/>
        <w:rPr>
          <w:rFonts w:hAnsi="宋体"/>
          <w:sz w:val="24"/>
          <w:szCs w:val="24"/>
        </w:rPr>
      </w:pPr>
      <w:r>
        <w:rPr>
          <w:rFonts w:hint="eastAsia"/>
          <w:bCs/>
          <w:sz w:val="24"/>
        </w:rPr>
        <w:t>其次</w:t>
      </w:r>
      <w:r>
        <w:rPr>
          <w:bCs/>
          <w:sz w:val="24"/>
        </w:rPr>
        <w:t>，</w:t>
      </w:r>
      <w:r>
        <w:rPr>
          <w:rFonts w:hAnsi="宋体"/>
          <w:sz w:val="24"/>
          <w:szCs w:val="24"/>
        </w:rPr>
        <w:t>在公司备选</w:t>
      </w:r>
      <w:r>
        <w:rPr>
          <w:rFonts w:hint="eastAsia" w:hAnsi="宋体"/>
          <w:sz w:val="24"/>
          <w:szCs w:val="24"/>
        </w:rPr>
        <w:t>股票池的基础上，本基金管理人将根据公司</w:t>
      </w:r>
      <w:r>
        <w:rPr>
          <w:rFonts w:hAnsi="宋体"/>
          <w:sz w:val="24"/>
          <w:szCs w:val="24"/>
        </w:rPr>
        <w:t>的竞争比较优势、</w:t>
      </w:r>
      <w:r>
        <w:rPr>
          <w:rFonts w:hint="eastAsia" w:hAnsi="宋体"/>
          <w:sz w:val="24"/>
          <w:szCs w:val="24"/>
        </w:rPr>
        <w:t>企业盈利能力、内生成长性和成长质量等因子，优选基本面良好且具有成长动能的优质上市公司。</w:t>
      </w:r>
    </w:p>
    <w:p w14:paraId="4C3ADC68">
      <w:pPr>
        <w:spacing w:line="360" w:lineRule="auto"/>
        <w:ind w:firstLine="480" w:firstLineChars="200"/>
        <w:rPr>
          <w:rFonts w:hAnsi="宋体"/>
          <w:sz w:val="24"/>
          <w:szCs w:val="24"/>
        </w:rPr>
      </w:pPr>
      <w:r>
        <w:rPr>
          <w:rFonts w:hAnsi="宋体"/>
          <w:sz w:val="24"/>
          <w:szCs w:val="24"/>
        </w:rPr>
        <w:t>1</w:t>
      </w:r>
      <w:r>
        <w:rPr>
          <w:rFonts w:hint="eastAsia" w:hAnsi="宋体"/>
          <w:sz w:val="24"/>
          <w:szCs w:val="24"/>
        </w:rPr>
        <w:t>）公司的竞争比较优势：重点考察公司的市场优势，包括市场地位和市场份额，在细分市场是否占据领先位置，是否具有品牌号召力或较高的行业知名度，在营销渠道及营销网络方面的优势和发展潜力等；资源优势，包括是否拥有独特优势的物资或非物质资源，比如市场资源、专利技术等；产品优势，包括是否拥有创新和受专利保护的具有市场竞争力的产品，对产品的定价能力等以及其他优势，例如是否受到中央或地方政府政策的扶持等因素；</w:t>
      </w:r>
    </w:p>
    <w:p w14:paraId="092664FD">
      <w:pPr>
        <w:spacing w:line="360" w:lineRule="auto"/>
        <w:ind w:firstLine="480" w:firstLineChars="200"/>
        <w:rPr>
          <w:rFonts w:hAnsi="宋体"/>
          <w:sz w:val="24"/>
          <w:szCs w:val="24"/>
        </w:rPr>
      </w:pPr>
      <w:r>
        <w:rPr>
          <w:rFonts w:hAnsi="宋体"/>
          <w:sz w:val="24"/>
          <w:szCs w:val="24"/>
        </w:rPr>
        <w:t>2</w:t>
      </w:r>
      <w:r>
        <w:rPr>
          <w:rFonts w:hint="eastAsia" w:hAnsi="宋体"/>
          <w:sz w:val="24"/>
          <w:szCs w:val="24"/>
        </w:rPr>
        <w:t>）企业盈利能力是企业成长潜力的体现，企业能否将自身各种优势转化为不断释放的盈利能力是其具有成长动能的主要标志。本</w:t>
      </w:r>
      <w:r>
        <w:rPr>
          <w:rFonts w:hAnsi="宋体"/>
          <w:sz w:val="24"/>
          <w:szCs w:val="24"/>
        </w:rPr>
        <w:t>基金拟</w:t>
      </w:r>
      <w:r>
        <w:rPr>
          <w:rFonts w:hint="eastAsia" w:hAnsi="宋体"/>
          <w:sz w:val="24"/>
          <w:szCs w:val="24"/>
        </w:rPr>
        <w:t>通过定量和定性相结合的</w:t>
      </w:r>
      <w:r>
        <w:rPr>
          <w:rFonts w:hAnsi="宋体"/>
          <w:sz w:val="24"/>
          <w:szCs w:val="24"/>
        </w:rPr>
        <w:t>方法</w:t>
      </w:r>
      <w:r>
        <w:rPr>
          <w:rFonts w:hint="eastAsia" w:hAnsi="宋体"/>
          <w:sz w:val="24"/>
          <w:szCs w:val="24"/>
        </w:rPr>
        <w:t>对</w:t>
      </w:r>
      <w:r>
        <w:rPr>
          <w:rFonts w:hAnsi="宋体"/>
          <w:sz w:val="24"/>
          <w:szCs w:val="24"/>
        </w:rPr>
        <w:t>企业盈利能力进行</w:t>
      </w:r>
      <w:r>
        <w:rPr>
          <w:rFonts w:hint="eastAsia" w:hAnsi="宋体"/>
          <w:sz w:val="24"/>
          <w:szCs w:val="24"/>
        </w:rPr>
        <w:t>分析。定量分析主要是通过上市公司主营业务收入增长率和利润增长率等财务指标进行分析，定性分析主要考察上市公司盈利能力的质量和可靠性，即对上市公司的技术优势、资源优势和商业模式优势的分析，判断推动上市公司主营业务收入或上市公司利润增长的原因和可望保持的时间，进而判断上市公司盈利能力的持续性。</w:t>
      </w:r>
    </w:p>
    <w:p w14:paraId="20FD0445">
      <w:pPr>
        <w:spacing w:line="360" w:lineRule="auto"/>
        <w:ind w:firstLine="480" w:firstLineChars="200"/>
        <w:rPr>
          <w:rFonts w:hAnsi="宋体"/>
          <w:sz w:val="24"/>
          <w:szCs w:val="24"/>
        </w:rPr>
      </w:pPr>
      <w:r>
        <w:rPr>
          <w:rFonts w:hAnsi="宋体"/>
          <w:sz w:val="24"/>
          <w:szCs w:val="24"/>
        </w:rPr>
        <w:t>3</w:t>
      </w:r>
      <w:r>
        <w:rPr>
          <w:rFonts w:hint="eastAsia" w:hAnsi="宋体"/>
          <w:sz w:val="24"/>
          <w:szCs w:val="24"/>
        </w:rPr>
        <w:t>）</w:t>
      </w:r>
      <w:r>
        <w:rPr>
          <w:rFonts w:hAnsi="宋体"/>
          <w:sz w:val="24"/>
          <w:szCs w:val="24"/>
        </w:rPr>
        <w:t>内生成长性和成长质量</w:t>
      </w:r>
      <w:r>
        <w:rPr>
          <w:rFonts w:hint="eastAsia" w:hAnsi="宋体"/>
          <w:sz w:val="24"/>
          <w:szCs w:val="24"/>
        </w:rPr>
        <w:t>：本基金将从上市公司的</w:t>
      </w:r>
      <w:r>
        <w:rPr>
          <w:rFonts w:hAnsi="宋体"/>
          <w:sz w:val="24"/>
          <w:szCs w:val="24"/>
        </w:rPr>
        <w:t>发展战略</w:t>
      </w:r>
      <w:r>
        <w:rPr>
          <w:rFonts w:hint="eastAsia" w:hAnsi="宋体"/>
          <w:sz w:val="24"/>
          <w:szCs w:val="24"/>
        </w:rPr>
        <w:t>、公司的创新能力、商业模式、市场竞争力、公司治理结构等多角度研判上市公司的成长性和成长质量，考察公司是否具有以下一项或多项优势：</w:t>
      </w:r>
    </w:p>
    <w:p w14:paraId="2599940C">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1 \* GB3</w:instrText>
      </w:r>
      <w:r>
        <w:rPr>
          <w:rFonts w:hAnsi="宋体"/>
          <w:sz w:val="24"/>
          <w:szCs w:val="24"/>
        </w:rPr>
        <w:fldChar w:fldCharType="separate"/>
      </w:r>
      <w:r>
        <w:rPr>
          <w:rFonts w:hint="eastAsia" w:hAnsi="宋体"/>
          <w:sz w:val="24"/>
          <w:szCs w:val="24"/>
        </w:rPr>
        <w:t>①</w:t>
      </w:r>
      <w:r>
        <w:rPr>
          <w:rFonts w:hAnsi="宋体"/>
          <w:sz w:val="24"/>
          <w:szCs w:val="24"/>
        </w:rPr>
        <w:fldChar w:fldCharType="end"/>
      </w:r>
      <w:r>
        <w:rPr>
          <w:rFonts w:hint="eastAsia" w:hAnsi="宋体"/>
          <w:sz w:val="24"/>
          <w:szCs w:val="24"/>
        </w:rPr>
        <w:t>公司的发展战略符合产业的发展方向和国家产业政策，有利于支持公司的持续成长；</w:t>
      </w:r>
    </w:p>
    <w:p w14:paraId="0FD1670E">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2 \* GB3</w:instrText>
      </w:r>
      <w:r>
        <w:rPr>
          <w:rFonts w:hAnsi="宋体"/>
          <w:sz w:val="24"/>
          <w:szCs w:val="24"/>
        </w:rPr>
        <w:fldChar w:fldCharType="separate"/>
      </w:r>
      <w:r>
        <w:rPr>
          <w:rFonts w:hint="eastAsia" w:hAnsi="宋体"/>
          <w:sz w:val="24"/>
          <w:szCs w:val="24"/>
        </w:rPr>
        <w:t>②</w:t>
      </w:r>
      <w:r>
        <w:rPr>
          <w:rFonts w:hAnsi="宋体"/>
          <w:sz w:val="24"/>
          <w:szCs w:val="24"/>
        </w:rPr>
        <w:fldChar w:fldCharType="end"/>
      </w:r>
      <w:r>
        <w:rPr>
          <w:rFonts w:hint="eastAsia" w:hAnsi="宋体"/>
          <w:sz w:val="24"/>
          <w:szCs w:val="24"/>
        </w:rPr>
        <w:t>公司创新能力较强，新产品、高技术含量产品的收入比例不断提高；</w:t>
      </w:r>
    </w:p>
    <w:p w14:paraId="6F6B3DA1">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3 \* GB3</w:instrText>
      </w:r>
      <w:r>
        <w:rPr>
          <w:rFonts w:hAnsi="宋体"/>
          <w:sz w:val="24"/>
          <w:szCs w:val="24"/>
        </w:rPr>
        <w:fldChar w:fldCharType="separate"/>
      </w:r>
      <w:r>
        <w:rPr>
          <w:rFonts w:hint="eastAsia" w:hAnsi="宋体"/>
          <w:sz w:val="24"/>
          <w:szCs w:val="24"/>
        </w:rPr>
        <w:t>③</w:t>
      </w:r>
      <w:r>
        <w:rPr>
          <w:rFonts w:hAnsi="宋体"/>
          <w:sz w:val="24"/>
          <w:szCs w:val="24"/>
        </w:rPr>
        <w:fldChar w:fldCharType="end"/>
      </w:r>
      <w:r>
        <w:rPr>
          <w:rFonts w:hint="eastAsia" w:hAnsi="宋体"/>
          <w:sz w:val="24"/>
          <w:szCs w:val="24"/>
        </w:rPr>
        <w:t>公司在资源、技术、人才、资金、销售网络等方面具有难以模仿的竞争优势，有利于公司不断提高市场占有率；</w:t>
      </w:r>
    </w:p>
    <w:p w14:paraId="00283683">
      <w:pPr>
        <w:spacing w:line="360" w:lineRule="auto"/>
        <w:ind w:firstLine="480" w:firstLineChars="200"/>
        <w:rPr>
          <w:rFonts w:hAnsi="宋体"/>
          <w:sz w:val="24"/>
          <w:szCs w:val="24"/>
        </w:rPr>
      </w:pPr>
      <w:r>
        <w:rPr>
          <w:rFonts w:hAnsi="宋体"/>
          <w:sz w:val="24"/>
          <w:szCs w:val="24"/>
        </w:rPr>
        <w:fldChar w:fldCharType="begin"/>
      </w:r>
      <w:r>
        <w:rPr>
          <w:rFonts w:hint="eastAsia" w:hAnsi="宋体"/>
          <w:sz w:val="24"/>
          <w:szCs w:val="24"/>
        </w:rPr>
        <w:instrText xml:space="preserve">= 4 \* GB3</w:instrText>
      </w:r>
      <w:r>
        <w:rPr>
          <w:rFonts w:hAnsi="宋体"/>
          <w:sz w:val="24"/>
          <w:szCs w:val="24"/>
        </w:rPr>
        <w:fldChar w:fldCharType="separate"/>
      </w:r>
      <w:r>
        <w:rPr>
          <w:rFonts w:hint="eastAsia" w:hAnsi="宋体"/>
          <w:sz w:val="24"/>
          <w:szCs w:val="24"/>
        </w:rPr>
        <w:t>④</w:t>
      </w:r>
      <w:r>
        <w:rPr>
          <w:rFonts w:hAnsi="宋体"/>
          <w:sz w:val="24"/>
          <w:szCs w:val="24"/>
        </w:rPr>
        <w:fldChar w:fldCharType="end"/>
      </w:r>
      <w:r>
        <w:rPr>
          <w:rFonts w:hint="eastAsia" w:hAnsi="宋体"/>
          <w:sz w:val="24"/>
          <w:szCs w:val="24"/>
        </w:rPr>
        <w:t>公司治理结构良好，管理层具有较强的经营管理能力。本基金在以上分析的基础上，选择那些短期内利润增长速度高于行业平均水平，并有可能在中长期保持较高增长速度的公司。</w:t>
      </w:r>
    </w:p>
    <w:p w14:paraId="207669CF">
      <w:pPr>
        <w:spacing w:line="360" w:lineRule="auto"/>
        <w:ind w:firstLine="480" w:firstLineChars="200"/>
        <w:rPr>
          <w:bCs/>
          <w:sz w:val="24"/>
        </w:rPr>
      </w:pPr>
      <w:r>
        <w:rPr>
          <w:rFonts w:hint="eastAsia"/>
          <w:bCs/>
          <w:sz w:val="24"/>
        </w:rPr>
        <w:t>本基金投资存托凭证的策略依照境内上市交易的股票投资策略执行。</w:t>
      </w:r>
    </w:p>
    <w:p w14:paraId="21BFFE28">
      <w:pPr>
        <w:spacing w:line="360" w:lineRule="auto"/>
        <w:ind w:firstLine="480" w:firstLineChars="200"/>
        <w:rPr>
          <w:bCs/>
          <w:sz w:val="24"/>
        </w:rPr>
      </w:pPr>
      <w:r>
        <w:rPr>
          <w:bCs/>
          <w:sz w:val="24"/>
        </w:rPr>
        <w:t>3</w:t>
      </w:r>
      <w:r>
        <w:rPr>
          <w:rFonts w:hint="eastAsia"/>
          <w:bCs/>
          <w:sz w:val="24"/>
        </w:rPr>
        <w:t>、债券投资</w:t>
      </w:r>
    </w:p>
    <w:p w14:paraId="5D8611B5">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7B62386C">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14:paraId="021B881D">
      <w:pPr>
        <w:spacing w:line="360" w:lineRule="auto"/>
        <w:ind w:firstLine="480" w:firstLineChars="200"/>
        <w:rPr>
          <w:bCs/>
          <w:sz w:val="24"/>
        </w:rPr>
      </w:pPr>
      <w:r>
        <w:rPr>
          <w:bCs/>
          <w:sz w:val="24"/>
        </w:rPr>
        <w:t>4</w:t>
      </w:r>
      <w:r>
        <w:rPr>
          <w:rFonts w:hint="eastAsia"/>
          <w:bCs/>
          <w:sz w:val="24"/>
        </w:rPr>
        <w:t>、权证投资</w:t>
      </w:r>
    </w:p>
    <w:p w14:paraId="75418431">
      <w:pPr>
        <w:spacing w:line="360" w:lineRule="auto"/>
        <w:ind w:firstLine="480" w:firstLineChars="200"/>
        <w:rPr>
          <w:bCs/>
          <w:sz w:val="24"/>
        </w:rPr>
      </w:pPr>
      <w:r>
        <w:rPr>
          <w:rFonts w:hint="eastAsia"/>
          <w:bCs/>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14:paraId="6D794CD4">
      <w:pPr>
        <w:spacing w:line="360" w:lineRule="auto"/>
        <w:ind w:firstLine="480" w:firstLineChars="200"/>
        <w:rPr>
          <w:bCs/>
          <w:sz w:val="24"/>
        </w:rPr>
      </w:pPr>
      <w:r>
        <w:rPr>
          <w:bCs/>
          <w:sz w:val="24"/>
        </w:rPr>
        <w:t>5</w:t>
      </w:r>
      <w:r>
        <w:rPr>
          <w:rFonts w:hint="eastAsia"/>
          <w:bCs/>
          <w:sz w:val="24"/>
        </w:rPr>
        <w:t>、资产支持证券投资</w:t>
      </w:r>
    </w:p>
    <w:p w14:paraId="618549B0">
      <w:pPr>
        <w:spacing w:line="360" w:lineRule="auto"/>
        <w:ind w:firstLine="480" w:firstLineChars="200"/>
        <w:rPr>
          <w:bCs/>
          <w:sz w:val="24"/>
        </w:rPr>
      </w:pPr>
      <w:r>
        <w:rPr>
          <w:rFonts w:hint="eastAsia"/>
          <w:bCs/>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14:paraId="5168DBB3">
      <w:pPr>
        <w:spacing w:line="360" w:lineRule="auto"/>
        <w:ind w:firstLine="480" w:firstLineChars="200"/>
        <w:rPr>
          <w:bCs/>
          <w:sz w:val="24"/>
        </w:rPr>
      </w:pPr>
      <w:r>
        <w:rPr>
          <w:bCs/>
          <w:sz w:val="24"/>
        </w:rPr>
        <w:t>6</w:t>
      </w:r>
      <w:r>
        <w:rPr>
          <w:rFonts w:hint="eastAsia"/>
          <w:bCs/>
          <w:sz w:val="24"/>
        </w:rPr>
        <w:t>、股指期货投资</w:t>
      </w:r>
    </w:p>
    <w:p w14:paraId="3EC1380C">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158FEBEB">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4D5A5BC1">
      <w:pPr>
        <w:spacing w:line="360" w:lineRule="auto"/>
        <w:ind w:firstLine="480" w:firstLineChars="200"/>
        <w:outlineLvl w:val="0"/>
        <w:rPr>
          <w:bCs/>
          <w:sz w:val="24"/>
        </w:rPr>
      </w:pPr>
      <w:r>
        <w:rPr>
          <w:rFonts w:hint="eastAsia"/>
          <w:bCs/>
          <w:sz w:val="24"/>
        </w:rPr>
        <w:t>（</w:t>
      </w:r>
      <w:r>
        <w:rPr>
          <w:bCs/>
          <w:sz w:val="24"/>
        </w:rPr>
        <w:t>四</w:t>
      </w:r>
      <w:r>
        <w:rPr>
          <w:rFonts w:hint="eastAsia"/>
          <w:bCs/>
          <w:sz w:val="24"/>
        </w:rPr>
        <w:t>）</w:t>
      </w:r>
      <w:r>
        <w:rPr>
          <w:bCs/>
          <w:sz w:val="24"/>
        </w:rPr>
        <w:t>投资限制</w:t>
      </w:r>
    </w:p>
    <w:p w14:paraId="1E7EDC99">
      <w:pPr>
        <w:spacing w:line="360" w:lineRule="auto"/>
        <w:ind w:firstLine="480" w:firstLineChars="200"/>
        <w:rPr>
          <w:bCs/>
          <w:sz w:val="24"/>
        </w:rPr>
      </w:pPr>
      <w:r>
        <w:rPr>
          <w:bCs/>
          <w:sz w:val="24"/>
        </w:rPr>
        <w:t>1、组合限制</w:t>
      </w:r>
    </w:p>
    <w:p w14:paraId="03E19920">
      <w:pPr>
        <w:spacing w:line="360" w:lineRule="auto"/>
        <w:ind w:firstLine="480" w:firstLineChars="200"/>
        <w:rPr>
          <w:bCs/>
          <w:sz w:val="24"/>
        </w:rPr>
      </w:pPr>
      <w:r>
        <w:rPr>
          <w:bCs/>
          <w:sz w:val="24"/>
        </w:rPr>
        <w:t>基金的投资组合应遵循以下限制：</w:t>
      </w:r>
    </w:p>
    <w:p w14:paraId="00BC154E">
      <w:pPr>
        <w:spacing w:line="360" w:lineRule="auto"/>
        <w:ind w:firstLine="480" w:firstLineChars="200"/>
        <w:rPr>
          <w:bCs/>
          <w:sz w:val="24"/>
        </w:rPr>
      </w:pPr>
      <w:r>
        <w:rPr>
          <w:rFonts w:hint="eastAsia"/>
          <w:bCs/>
          <w:sz w:val="24"/>
        </w:rPr>
        <w:t>（</w:t>
      </w:r>
      <w:r>
        <w:rPr>
          <w:bCs/>
          <w:sz w:val="24"/>
        </w:rPr>
        <w:t>1</w:t>
      </w:r>
      <w:r>
        <w:rPr>
          <w:rFonts w:hint="eastAsia"/>
          <w:bCs/>
          <w:sz w:val="24"/>
        </w:rPr>
        <w:t>）股票资产（</w:t>
      </w:r>
      <w:r>
        <w:rPr>
          <w:bCs/>
          <w:sz w:val="24"/>
        </w:rPr>
        <w:t>含存托凭证</w:t>
      </w:r>
      <w:r>
        <w:rPr>
          <w:rFonts w:hint="eastAsia"/>
          <w:bCs/>
          <w:sz w:val="24"/>
        </w:rPr>
        <w:t>）占基金资产的</w:t>
      </w:r>
      <w:r>
        <w:rPr>
          <w:bCs/>
          <w:sz w:val="24"/>
        </w:rPr>
        <w:t>50%-95%</w:t>
      </w:r>
      <w:r>
        <w:rPr>
          <w:rFonts w:hint="eastAsia"/>
          <w:bCs/>
          <w:sz w:val="24"/>
        </w:rPr>
        <w:t>，其中投资于股息优化型证券的比例不低于非现金基金资产的</w:t>
      </w:r>
      <w:r>
        <w:rPr>
          <w:bCs/>
          <w:sz w:val="24"/>
        </w:rPr>
        <w:t>80%</w:t>
      </w:r>
      <w:r>
        <w:rPr>
          <w:rFonts w:hint="eastAsia"/>
          <w:bCs/>
          <w:sz w:val="24"/>
        </w:rPr>
        <w:t>；</w:t>
      </w:r>
    </w:p>
    <w:p w14:paraId="4A89F90C">
      <w:pPr>
        <w:spacing w:line="360" w:lineRule="auto"/>
        <w:ind w:firstLine="480" w:firstLineChars="200"/>
        <w:rPr>
          <w:bCs/>
          <w:sz w:val="24"/>
        </w:rPr>
      </w:pPr>
      <w:r>
        <w:rPr>
          <w:rFonts w:hint="eastAsia"/>
          <w:bCs/>
          <w:sz w:val="24"/>
        </w:rPr>
        <w:t>（</w:t>
      </w:r>
      <w:r>
        <w:rPr>
          <w:bCs/>
          <w:sz w:val="24"/>
        </w:rPr>
        <w:t>2</w:t>
      </w:r>
      <w:r>
        <w:rPr>
          <w:rFonts w:hint="eastAsia"/>
          <w:bCs/>
          <w:sz w:val="24"/>
        </w:rPr>
        <w:t>）每个交易日日终在扣除</w:t>
      </w:r>
      <w:r>
        <w:fldChar w:fldCharType="begin"/>
      </w:r>
      <w:r>
        <w:instrText xml:space="preserve"> HYPERLINK "http://baike.baidu.com/view/2405030.htm" \t "_blank" </w:instrText>
      </w:r>
      <w:r>
        <w:fldChar w:fldCharType="separate"/>
      </w:r>
      <w:r>
        <w:rPr>
          <w:rFonts w:hint="eastAsia"/>
          <w:bCs/>
          <w:sz w:val="24"/>
        </w:rPr>
        <w:t>股指期货合约</w:t>
      </w:r>
      <w:r>
        <w:rPr>
          <w:rFonts w:hint="eastAsia"/>
          <w:bCs/>
          <w:sz w:val="24"/>
        </w:rPr>
        <w:fldChar w:fldCharType="end"/>
      </w:r>
      <w:r>
        <w:rPr>
          <w:rFonts w:hint="eastAsia"/>
          <w:bCs/>
          <w:sz w:val="24"/>
        </w:rPr>
        <w:t>需缴纳的</w:t>
      </w:r>
      <w:r>
        <w:fldChar w:fldCharType="begin"/>
      </w:r>
      <w:r>
        <w:instrText xml:space="preserve"> HYPERLINK "http://baike.baidu.com/view/1126539.htm" \t "_blank" </w:instrText>
      </w:r>
      <w:r>
        <w:fldChar w:fldCharType="separate"/>
      </w:r>
      <w:r>
        <w:rPr>
          <w:rFonts w:hint="eastAsia"/>
          <w:bCs/>
          <w:sz w:val="24"/>
        </w:rPr>
        <w:t>交易保证金</w:t>
      </w:r>
      <w:r>
        <w:rPr>
          <w:rFonts w:hint="eastAsia"/>
          <w:bCs/>
          <w:sz w:val="24"/>
        </w:rPr>
        <w:fldChar w:fldCharType="end"/>
      </w:r>
      <w:r>
        <w:rPr>
          <w:rFonts w:hint="eastAsia"/>
          <w:bCs/>
          <w:sz w:val="24"/>
        </w:rPr>
        <w:t>后，保持不低于基金资产净值</w:t>
      </w:r>
      <w:r>
        <w:rPr>
          <w:bCs/>
          <w:sz w:val="24"/>
        </w:rPr>
        <w:t>5%</w:t>
      </w:r>
      <w:r>
        <w:rPr>
          <w:rFonts w:hint="eastAsia"/>
          <w:bCs/>
          <w:sz w:val="24"/>
        </w:rPr>
        <w:t>的现金或者到期日在一年以内的政府债券，其中现金不包括结算备付金、存出保证金、应收申购款等；</w:t>
      </w:r>
    </w:p>
    <w:p w14:paraId="2A24258B">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w:t>
      </w:r>
      <w:r>
        <w:rPr>
          <w:bCs/>
          <w:sz w:val="24"/>
        </w:rPr>
        <w:t>，其市值不超过基金资产净值的10</w:t>
      </w:r>
      <w:r>
        <w:rPr>
          <w:rFonts w:hint="eastAsia"/>
          <w:bCs/>
          <w:sz w:val="24"/>
        </w:rPr>
        <w:t>%</w:t>
      </w:r>
      <w:r>
        <w:rPr>
          <w:bCs/>
          <w:sz w:val="24"/>
        </w:rPr>
        <w:t>；</w:t>
      </w:r>
    </w:p>
    <w:p w14:paraId="47C0FED1">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）本基金管理人管理的全部基金持有一家公司发行的证券，不超过该证券的10</w:t>
      </w:r>
      <w:r>
        <w:rPr>
          <w:rFonts w:hint="eastAsia"/>
          <w:bCs/>
          <w:sz w:val="24"/>
        </w:rPr>
        <w:t>%</w:t>
      </w:r>
      <w:r>
        <w:rPr>
          <w:bCs/>
          <w:sz w:val="24"/>
        </w:rPr>
        <w:t>；</w:t>
      </w:r>
    </w:p>
    <w:p w14:paraId="51FC700A">
      <w:pPr>
        <w:spacing w:line="360" w:lineRule="auto"/>
        <w:ind w:firstLine="480" w:firstLineChars="200"/>
        <w:rPr>
          <w:bCs/>
          <w:sz w:val="24"/>
        </w:rPr>
      </w:pPr>
      <w:r>
        <w:rPr>
          <w:bCs/>
          <w:sz w:val="24"/>
        </w:rPr>
        <w:t>（</w:t>
      </w:r>
      <w:r>
        <w:rPr>
          <w:rFonts w:hint="eastAsia"/>
          <w:bCs/>
          <w:sz w:val="24"/>
        </w:rPr>
        <w:t>5</w:t>
      </w:r>
      <w:r>
        <w:rPr>
          <w:bCs/>
          <w:sz w:val="24"/>
        </w:rPr>
        <w:t>）本基金持有的全部权证，其市值不得超过基金资产净值的3</w:t>
      </w:r>
      <w:r>
        <w:rPr>
          <w:rFonts w:hint="eastAsia"/>
          <w:bCs/>
          <w:sz w:val="24"/>
        </w:rPr>
        <w:t>%</w:t>
      </w:r>
      <w:r>
        <w:rPr>
          <w:bCs/>
          <w:sz w:val="24"/>
        </w:rPr>
        <w:t>；</w:t>
      </w:r>
    </w:p>
    <w:p w14:paraId="5C6320D9">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r>
        <w:rPr>
          <w:rFonts w:hint="eastAsia"/>
          <w:bCs/>
          <w:sz w:val="24"/>
        </w:rPr>
        <w:t>%</w:t>
      </w:r>
      <w:r>
        <w:rPr>
          <w:bCs/>
          <w:sz w:val="24"/>
        </w:rPr>
        <w:t>；</w:t>
      </w:r>
    </w:p>
    <w:p w14:paraId="61F01047">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14:paraId="51AD5FC4">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14:paraId="033FB23B">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14:paraId="3DA5349C">
      <w:pPr>
        <w:spacing w:line="360" w:lineRule="auto"/>
        <w:ind w:firstLine="480" w:firstLineChars="200"/>
        <w:rPr>
          <w:bCs/>
          <w:sz w:val="24"/>
        </w:rPr>
      </w:pPr>
      <w:r>
        <w:rPr>
          <w:bCs/>
          <w:sz w:val="24"/>
        </w:rPr>
        <w:t>（</w:t>
      </w:r>
      <w:r>
        <w:rPr>
          <w:rFonts w:hint="eastAsia"/>
          <w:bCs/>
          <w:sz w:val="24"/>
        </w:rPr>
        <w:t>10</w:t>
      </w:r>
      <w:r>
        <w:rPr>
          <w:bCs/>
          <w:sz w:val="24"/>
        </w:rPr>
        <w:t>）本基金持有的同一(指同一信用级别)资产支持证券的比例，不得超过该资产支持证券规模的10</w:t>
      </w:r>
      <w:r>
        <w:rPr>
          <w:rFonts w:hint="eastAsia"/>
          <w:bCs/>
          <w:sz w:val="24"/>
        </w:rPr>
        <w:t>%</w:t>
      </w:r>
      <w:r>
        <w:rPr>
          <w:bCs/>
          <w:sz w:val="24"/>
        </w:rPr>
        <w:t>；</w:t>
      </w:r>
    </w:p>
    <w:p w14:paraId="05E020D7">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14:paraId="02588C42">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）本基金应投资于信用级别评级为BBB以上(含BBB)的资产支持证券。基金持有资产支持证券期间，如果其信用等级下降、不再符合投资标准，应在评级报告发布之日起3个月内予以全部卖出；</w:t>
      </w:r>
    </w:p>
    <w:p w14:paraId="1A0983A4">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14:paraId="7A0BDEE1">
      <w:pPr>
        <w:spacing w:line="360" w:lineRule="auto"/>
        <w:ind w:firstLine="480" w:firstLineChars="200"/>
        <w:rPr>
          <w:bCs/>
          <w:sz w:val="24"/>
        </w:rPr>
      </w:pPr>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w:t>
      </w:r>
      <w:r>
        <w:rPr>
          <w:bCs/>
          <w:sz w:val="24"/>
        </w:rPr>
        <w:t>1</w:t>
      </w:r>
      <w:r>
        <w:rPr>
          <w:rFonts w:hint="eastAsia"/>
          <w:bCs/>
          <w:sz w:val="24"/>
        </w:rPr>
        <w:t>年，债券回购到期后不得展期；</w:t>
      </w:r>
    </w:p>
    <w:p w14:paraId="34724657">
      <w:pPr>
        <w:spacing w:line="360" w:lineRule="auto"/>
        <w:ind w:firstLine="480" w:firstLineChars="200"/>
        <w:rPr>
          <w:bCs/>
          <w:sz w:val="24"/>
        </w:rPr>
      </w:pPr>
      <w:r>
        <w:rPr>
          <w:rFonts w:hint="eastAsia"/>
          <w:bCs/>
          <w:sz w:val="24"/>
        </w:rPr>
        <w:t>（</w:t>
      </w:r>
      <w:r>
        <w:rPr>
          <w:bCs/>
          <w:sz w:val="24"/>
        </w:rPr>
        <w:t>15</w:t>
      </w:r>
      <w:r>
        <w:rPr>
          <w:rFonts w:hint="eastAsia"/>
          <w:bCs/>
          <w:sz w:val="24"/>
        </w:rPr>
        <w:t>）</w:t>
      </w:r>
      <w:r>
        <w:rPr>
          <w:rFonts w:hint="eastAsia" w:ascii="宋体" w:cs="宋体"/>
          <w:color w:val="000000"/>
          <w:kern w:val="0"/>
          <w:sz w:val="24"/>
        </w:rPr>
        <w:t>当</w:t>
      </w:r>
      <w:r>
        <w:rPr>
          <w:rFonts w:hint="eastAsia"/>
          <w:bCs/>
          <w:sz w:val="24"/>
        </w:rPr>
        <w:t>本基金参与股指期货交易，则：</w:t>
      </w:r>
    </w:p>
    <w:p w14:paraId="1F0140F6">
      <w:pPr>
        <w:spacing w:line="360" w:lineRule="auto"/>
        <w:ind w:firstLine="480" w:firstLineChars="200"/>
        <w:rPr>
          <w:bCs/>
          <w:sz w:val="24"/>
        </w:rPr>
      </w:pPr>
      <w:r>
        <w:rPr>
          <w:bCs/>
          <w:sz w:val="24"/>
        </w:rPr>
        <w:t>1</w:t>
      </w:r>
      <w:r>
        <w:rPr>
          <w:rFonts w:hint="eastAsia"/>
          <w:bCs/>
          <w:sz w:val="24"/>
        </w:rPr>
        <w:t>）本基金在任何交易日日终，持有的买入股指期货合约价值，不得超过基金资产净值的</w:t>
      </w:r>
      <w:r>
        <w:rPr>
          <w:bCs/>
          <w:sz w:val="24"/>
        </w:rPr>
        <w:t>10%</w:t>
      </w:r>
      <w:r>
        <w:rPr>
          <w:rFonts w:hint="eastAsia"/>
          <w:bCs/>
          <w:sz w:val="24"/>
        </w:rPr>
        <w:t>；</w:t>
      </w:r>
    </w:p>
    <w:p w14:paraId="0E25F08A">
      <w:pPr>
        <w:spacing w:line="360" w:lineRule="auto"/>
        <w:ind w:firstLine="480" w:firstLineChars="200"/>
        <w:rPr>
          <w:bCs/>
          <w:sz w:val="24"/>
        </w:rPr>
      </w:pPr>
      <w:r>
        <w:rPr>
          <w:bCs/>
          <w:sz w:val="24"/>
        </w:rPr>
        <w:t>2</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14:paraId="6089A96F">
      <w:pPr>
        <w:spacing w:line="360" w:lineRule="auto"/>
        <w:ind w:firstLine="480" w:firstLineChars="200"/>
        <w:rPr>
          <w:bCs/>
          <w:sz w:val="24"/>
        </w:rPr>
      </w:pPr>
      <w:r>
        <w:rPr>
          <w:bCs/>
          <w:sz w:val="24"/>
        </w:rPr>
        <w:t>3</w:t>
      </w:r>
      <w:r>
        <w:rPr>
          <w:rFonts w:hint="eastAsia"/>
          <w:bCs/>
          <w:sz w:val="24"/>
        </w:rPr>
        <w:t>）本基金在任何交易日日终，持有的卖出期货合约价值不得超过基金持有的股票总市值的</w:t>
      </w:r>
      <w:r>
        <w:rPr>
          <w:bCs/>
          <w:sz w:val="24"/>
        </w:rPr>
        <w:t>20%</w:t>
      </w:r>
      <w:r>
        <w:rPr>
          <w:rFonts w:hint="eastAsia"/>
          <w:bCs/>
          <w:sz w:val="24"/>
        </w:rPr>
        <w:t>；</w:t>
      </w:r>
    </w:p>
    <w:p w14:paraId="1C35F638">
      <w:pPr>
        <w:spacing w:line="360" w:lineRule="auto"/>
        <w:ind w:firstLine="480" w:firstLineChars="200"/>
        <w:rPr>
          <w:bCs/>
          <w:sz w:val="24"/>
        </w:rPr>
      </w:pPr>
      <w:r>
        <w:rPr>
          <w:bCs/>
          <w:sz w:val="24"/>
        </w:rPr>
        <w:t>4</w:t>
      </w:r>
      <w:r>
        <w:rPr>
          <w:rFonts w:hint="eastAsia"/>
          <w:bCs/>
          <w:sz w:val="24"/>
        </w:rPr>
        <w:t>）本基金所持有的股票市值和买入、卖出股指期货合约价值，合计（轧差计算）应当符合基金合同关于股票投资比例的有关约定；</w:t>
      </w:r>
    </w:p>
    <w:p w14:paraId="5D339596">
      <w:pPr>
        <w:spacing w:line="360" w:lineRule="auto"/>
        <w:ind w:firstLine="480" w:firstLineChars="200"/>
        <w:rPr>
          <w:bCs/>
          <w:sz w:val="24"/>
        </w:rPr>
      </w:pPr>
      <w:r>
        <w:rPr>
          <w:bCs/>
          <w:sz w:val="24"/>
        </w:rPr>
        <w:t>5</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14:paraId="34534A26">
      <w:pPr>
        <w:spacing w:line="360" w:lineRule="auto"/>
        <w:ind w:firstLine="480" w:firstLineChars="200"/>
        <w:rPr>
          <w:bCs/>
          <w:sz w:val="24"/>
        </w:rPr>
      </w:pPr>
      <w:r>
        <w:rPr>
          <w:rFonts w:hint="eastAsia"/>
          <w:bCs/>
          <w:sz w:val="24"/>
        </w:rPr>
        <w:t>（16）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14:paraId="7A507116">
      <w:pPr>
        <w:spacing w:line="360" w:lineRule="auto"/>
        <w:ind w:firstLine="480" w:firstLineChars="200"/>
        <w:rPr>
          <w:bCs/>
          <w:sz w:val="24"/>
        </w:rPr>
      </w:pPr>
      <w:r>
        <w:rPr>
          <w:rFonts w:hint="eastAsia"/>
          <w:bCs/>
          <w:sz w:val="24"/>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47FF05E">
      <w:pPr>
        <w:spacing w:line="360" w:lineRule="auto"/>
        <w:ind w:firstLine="480" w:firstLineChars="200"/>
        <w:rPr>
          <w:bCs/>
          <w:sz w:val="24"/>
        </w:rPr>
      </w:pPr>
      <w:r>
        <w:rPr>
          <w:rFonts w:hint="eastAsia"/>
          <w:bCs/>
          <w:sz w:val="24"/>
        </w:rPr>
        <w:t>（18）本基金与私募类证券资管产品及中国证监会认定的其他主体为交易对手开展逆回购交易的，可接受质押品的资质要求应当与基金合同约定的投资范围保持一致；</w:t>
      </w:r>
    </w:p>
    <w:p w14:paraId="120C62DD">
      <w:pPr>
        <w:spacing w:line="360" w:lineRule="auto"/>
        <w:ind w:firstLine="480" w:firstLineChars="200"/>
        <w:rPr>
          <w:bCs/>
          <w:sz w:val="24"/>
        </w:rPr>
      </w:pPr>
      <w:r>
        <w:rPr>
          <w:bCs/>
          <w:sz w:val="24"/>
        </w:rPr>
        <w:t>（</w:t>
      </w:r>
      <w:r>
        <w:rPr>
          <w:rFonts w:hint="eastAsia"/>
          <w:bCs/>
          <w:sz w:val="24"/>
        </w:rPr>
        <w:t>19</w:t>
      </w:r>
      <w:r>
        <w:rPr>
          <w:bCs/>
          <w:sz w:val="24"/>
        </w:rPr>
        <w:t>）本基金的基金资产总值不得超过基金资产净值的140%；</w:t>
      </w:r>
    </w:p>
    <w:p w14:paraId="27857A66">
      <w:pPr>
        <w:spacing w:line="360" w:lineRule="auto"/>
        <w:ind w:firstLine="480" w:firstLineChars="200"/>
        <w:rPr>
          <w:bCs/>
          <w:sz w:val="24"/>
        </w:rPr>
      </w:pPr>
      <w:r>
        <w:rPr>
          <w:rFonts w:hint="eastAsia"/>
          <w:bCs/>
          <w:sz w:val="24"/>
        </w:rPr>
        <w:t>（20）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14:paraId="78300CE4">
      <w:pPr>
        <w:spacing w:line="360" w:lineRule="auto"/>
        <w:ind w:firstLine="480" w:firstLineChars="200"/>
        <w:rPr>
          <w:bCs/>
          <w:sz w:val="24"/>
        </w:rPr>
      </w:pPr>
      <w:r>
        <w:rPr>
          <w:bCs/>
          <w:sz w:val="24"/>
        </w:rPr>
        <w:t>（</w:t>
      </w:r>
      <w:r>
        <w:rPr>
          <w:rFonts w:hint="eastAsia"/>
          <w:bCs/>
          <w:sz w:val="24"/>
        </w:rPr>
        <w:t>21</w:t>
      </w:r>
      <w:r>
        <w:rPr>
          <w:bCs/>
          <w:sz w:val="24"/>
        </w:rPr>
        <w:t>）</w:t>
      </w:r>
      <w:r>
        <w:rPr>
          <w:rFonts w:hint="eastAsia"/>
          <w:bCs/>
          <w:sz w:val="24"/>
        </w:rPr>
        <w:t>本基金投资存托凭证的比例限制依照境内上市交易的股票执行；</w:t>
      </w:r>
    </w:p>
    <w:p w14:paraId="46B56EAD">
      <w:pPr>
        <w:spacing w:line="360" w:lineRule="auto"/>
        <w:ind w:firstLine="480" w:firstLineChars="200"/>
        <w:rPr>
          <w:bCs/>
          <w:sz w:val="24"/>
        </w:rPr>
      </w:pPr>
      <w:r>
        <w:rPr>
          <w:bCs/>
          <w:sz w:val="24"/>
        </w:rPr>
        <w:t>（22）</w:t>
      </w:r>
      <w:r>
        <w:rPr>
          <w:rFonts w:hint="eastAsia"/>
          <w:bCs/>
          <w:sz w:val="24"/>
        </w:rPr>
        <w:t>法律法规及中国证监会规定的和《基金合同》约定的其他投资限制。</w:t>
      </w:r>
    </w:p>
    <w:p w14:paraId="3963B199">
      <w:pPr>
        <w:spacing w:line="360" w:lineRule="auto"/>
        <w:ind w:firstLine="480" w:firstLineChars="200"/>
        <w:rPr>
          <w:bCs/>
        </w:rPr>
      </w:pPr>
      <w:r>
        <w:rPr>
          <w:rFonts w:hint="eastAsia"/>
          <w:bCs/>
          <w:sz w:val="24"/>
        </w:rPr>
        <w:t>除上述第（2）、（12）、（17）、（18）项以外，</w:t>
      </w:r>
      <w:r>
        <w:rPr>
          <w:bCs/>
          <w:sz w:val="24"/>
        </w:rPr>
        <w:t>因证券</w:t>
      </w:r>
      <w:r>
        <w:rPr>
          <w:rFonts w:hint="eastAsia"/>
          <w:bCs/>
          <w:sz w:val="24"/>
        </w:rPr>
        <w:t>、期货</w:t>
      </w:r>
      <w:r>
        <w:rPr>
          <w:bCs/>
          <w:sz w:val="24"/>
        </w:rPr>
        <w:t>市场波动、</w:t>
      </w:r>
      <w:r>
        <w:rPr>
          <w:rFonts w:hint="eastAsia"/>
          <w:bCs/>
          <w:sz w:val="24"/>
        </w:rPr>
        <w:t>证券发行人</w:t>
      </w:r>
      <w:r>
        <w:rPr>
          <w:bCs/>
          <w:sz w:val="24"/>
        </w:rPr>
        <w:t>合并</w:t>
      </w:r>
      <w:r>
        <w:rPr>
          <w:rFonts w:hint="eastAsia"/>
          <w:bCs/>
          <w:sz w:val="24"/>
        </w:rPr>
        <w:t>或</w:t>
      </w:r>
      <w:r>
        <w:rPr>
          <w:bCs/>
          <w:sz w:val="24"/>
        </w:rPr>
        <w:t>基金规模变动等基金管理人之外的因素致使基金投资比例不符合上述规定投资比例的，基金管理人应当在10个交易日内进行调整</w:t>
      </w:r>
      <w:r>
        <w:rPr>
          <w:rFonts w:hint="eastAsia" w:ascii="宋体" w:hAnsi="宋体"/>
          <w:bCs/>
          <w:sz w:val="24"/>
        </w:rPr>
        <w:t>，但中国证监会规定的特殊情形除外</w:t>
      </w:r>
      <w:r>
        <w:rPr>
          <w:bCs/>
          <w:sz w:val="24"/>
        </w:rPr>
        <w:t>。</w:t>
      </w:r>
      <w:r>
        <w:rPr>
          <w:rFonts w:hint="eastAsia"/>
          <w:bCs/>
          <w:sz w:val="24"/>
        </w:rPr>
        <w:t>法律法规另有规定的，从其规定。</w:t>
      </w:r>
    </w:p>
    <w:p w14:paraId="40A110C0">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w:t>
      </w:r>
      <w:r>
        <w:rPr>
          <w:rFonts w:hint="eastAsia" w:ascii="宋体" w:hAnsi="宋体"/>
          <w:bCs/>
          <w:sz w:val="24"/>
        </w:rPr>
        <w:t>期间内，本基金的投资范围、投资策略应当符合基金合同的约定。</w:t>
      </w:r>
      <w:r>
        <w:rPr>
          <w:bCs/>
          <w:sz w:val="24"/>
        </w:rPr>
        <w:t>基金托管人对基金的投资的监督与检查自本基金合同生效之日起开始。</w:t>
      </w:r>
    </w:p>
    <w:p w14:paraId="7E0C6B3D">
      <w:pPr>
        <w:spacing w:line="360" w:lineRule="auto"/>
        <w:ind w:firstLine="480" w:firstLineChars="200"/>
        <w:rPr>
          <w:bCs/>
          <w:sz w:val="24"/>
        </w:rPr>
      </w:pPr>
      <w:r>
        <w:rPr>
          <w:rFonts w:hint="eastAsia"/>
          <w:bCs/>
          <w:sz w:val="24"/>
        </w:rPr>
        <w:t>法律法规对上述投资组合比例限制进行变更的，以变更后的规定为准。</w:t>
      </w:r>
      <w:r>
        <w:rPr>
          <w:bCs/>
          <w:sz w:val="24"/>
        </w:rPr>
        <w:t>法律法规或监管部门取消上述限制，如适用于本基金，基金管理人</w:t>
      </w:r>
      <w:r>
        <w:rPr>
          <w:rFonts w:hint="eastAsia"/>
          <w:bCs/>
          <w:sz w:val="24"/>
        </w:rPr>
        <w:t>在</w:t>
      </w:r>
      <w:r>
        <w:rPr>
          <w:bCs/>
          <w:sz w:val="24"/>
        </w:rPr>
        <w:t>履行适当程序后，则本基金投资</w:t>
      </w:r>
      <w:r>
        <w:rPr>
          <w:rFonts w:hint="eastAsia"/>
          <w:bCs/>
          <w:sz w:val="24"/>
        </w:rPr>
        <w:t>不再受相关限制</w:t>
      </w:r>
      <w:r>
        <w:rPr>
          <w:bCs/>
          <w:sz w:val="24"/>
        </w:rPr>
        <w:t>。</w:t>
      </w:r>
    </w:p>
    <w:p w14:paraId="3D7B0D07">
      <w:pPr>
        <w:spacing w:line="360" w:lineRule="auto"/>
        <w:ind w:firstLine="480" w:firstLineChars="200"/>
        <w:rPr>
          <w:bCs/>
          <w:sz w:val="24"/>
        </w:rPr>
      </w:pPr>
      <w:r>
        <w:rPr>
          <w:bCs/>
          <w:sz w:val="24"/>
        </w:rPr>
        <w:t>2</w:t>
      </w:r>
      <w:r>
        <w:rPr>
          <w:rFonts w:hint="eastAsia"/>
          <w:bCs/>
          <w:sz w:val="24"/>
        </w:rPr>
        <w:t>、</w:t>
      </w:r>
      <w:r>
        <w:rPr>
          <w:bCs/>
          <w:sz w:val="24"/>
        </w:rPr>
        <w:t>禁止行为</w:t>
      </w:r>
    </w:p>
    <w:p w14:paraId="34AFA7C6">
      <w:pPr>
        <w:spacing w:line="360" w:lineRule="auto"/>
        <w:ind w:firstLine="480" w:firstLineChars="200"/>
        <w:rPr>
          <w:bCs/>
          <w:sz w:val="24"/>
        </w:rPr>
      </w:pPr>
      <w:r>
        <w:rPr>
          <w:bCs/>
          <w:sz w:val="24"/>
        </w:rPr>
        <w:t>为维护基金份额持有人的合法权益，基金财产不得用于下列投资或者活动：</w:t>
      </w:r>
    </w:p>
    <w:p w14:paraId="51C435CA">
      <w:pPr>
        <w:spacing w:line="360" w:lineRule="auto"/>
        <w:ind w:firstLine="480" w:firstLineChars="200"/>
        <w:rPr>
          <w:bCs/>
          <w:sz w:val="24"/>
        </w:rPr>
      </w:pPr>
      <w:r>
        <w:rPr>
          <w:bCs/>
          <w:sz w:val="24"/>
        </w:rPr>
        <w:t>（1）承销证券；</w:t>
      </w:r>
    </w:p>
    <w:p w14:paraId="6F505E92">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7948FF39">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0074150A">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0057C055">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417A29FD">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06A99B3A">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33B4B2A6">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14:paraId="36365516">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w:t>
      </w:r>
      <w:r>
        <w:rPr>
          <w:bCs/>
          <w:sz w:val="24"/>
        </w:rPr>
        <w:t>份额</w:t>
      </w:r>
      <w:r>
        <w:rPr>
          <w:rFonts w:hint="eastAsia"/>
          <w:bCs/>
          <w:sz w:val="24"/>
        </w:rPr>
        <w:t>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D6AEB1B">
      <w:pPr>
        <w:spacing w:line="360" w:lineRule="auto"/>
        <w:ind w:firstLine="480" w:firstLineChars="200"/>
        <w:outlineLvl w:val="0"/>
        <w:rPr>
          <w:bCs/>
          <w:sz w:val="24"/>
        </w:rPr>
      </w:pPr>
      <w:r>
        <w:rPr>
          <w:rFonts w:hint="eastAsia"/>
          <w:bCs/>
          <w:sz w:val="24"/>
        </w:rPr>
        <w:t>（五）业绩比较基准</w:t>
      </w:r>
    </w:p>
    <w:p w14:paraId="21E76165">
      <w:pPr>
        <w:spacing w:line="360" w:lineRule="auto"/>
        <w:ind w:firstLine="480" w:firstLineChars="200"/>
        <w:rPr>
          <w:rFonts w:hint="eastAsia"/>
          <w:bCs/>
          <w:sz w:val="24"/>
        </w:rPr>
      </w:pPr>
      <w:bookmarkStart w:id="485" w:name="_GoBack"/>
      <w:r>
        <w:rPr>
          <w:rFonts w:hint="eastAsia"/>
          <w:bCs/>
          <w:sz w:val="24"/>
        </w:rPr>
        <w:t>本基金业绩比较基准：中证高股息精选指数收益率×90%+中债-国债总财富（1-3年）指数收益率×10%</w:t>
      </w:r>
    </w:p>
    <w:p w14:paraId="1743AC02">
      <w:pPr>
        <w:spacing w:line="360" w:lineRule="auto"/>
        <w:ind w:firstLine="480" w:firstLineChars="200"/>
        <w:rPr>
          <w:rFonts w:hint="eastAsia"/>
          <w:bCs/>
          <w:sz w:val="24"/>
        </w:rPr>
      </w:pPr>
      <w:r>
        <w:rPr>
          <w:rFonts w:hint="eastAsia"/>
          <w:bCs/>
          <w:sz w:val="24"/>
        </w:rPr>
        <w:t>1、业绩比较基准设定的原因</w:t>
      </w:r>
    </w:p>
    <w:p w14:paraId="754B9CBB">
      <w:pPr>
        <w:spacing w:line="360" w:lineRule="auto"/>
        <w:ind w:firstLine="480" w:firstLineChars="200"/>
        <w:rPr>
          <w:rFonts w:hint="eastAsia"/>
          <w:bCs/>
          <w:sz w:val="24"/>
        </w:rPr>
      </w:pPr>
      <w:r>
        <w:rPr>
          <w:rFonts w:hint="eastAsia"/>
          <w:bCs/>
          <w:sz w:val="24"/>
        </w:rPr>
        <w:t>（1）基于基金投资范围以及预期投资的主要资产类别，本基金主要投资于股票、债券等资产，相应选取与之匹配的股票指数与债券指数作为基准要素；同时基于基金投资股票资产（含存托凭证）占基金资产的比例为50%-95%、投资于股息优化型证券的比例不低于非现金基金资产的80%等投资比例限制，以及预期的资产配置比例，本基金将股票资产与债券资产所对应的基准要素权重分别设置为90%与10%。</w:t>
      </w:r>
    </w:p>
    <w:p w14:paraId="0D472D3E">
      <w:pPr>
        <w:spacing w:line="360" w:lineRule="auto"/>
        <w:ind w:firstLine="480" w:firstLineChars="200"/>
        <w:rPr>
          <w:rFonts w:hint="eastAsia"/>
          <w:bCs/>
          <w:sz w:val="24"/>
        </w:rPr>
      </w:pPr>
      <w:r>
        <w:rPr>
          <w:rFonts w:hint="eastAsia"/>
          <w:bCs/>
          <w:sz w:val="24"/>
        </w:rPr>
        <w:t>（2）基于基金投资目标、投资范围和投资策略，本基金的股票资产主要投向股息优化主题相关公司，并在相关领域中精选在公司治理、财务及管理品质上符合基本品质要求、估值具有吸引力的优质公司，从而力争在控制风险的基础上追求超越业绩比较基准的投资回报。综合考虑基准指数与产品定位、投资风格与主题库的匹配度，同时兼顾考虑基准指数的表征性、认可度，以及指数主题界定、市值覆盖、行业与个股分布等，本基金选取中证高股息精选指数作为股票部分的基准要素，具体情况如下：</w:t>
      </w:r>
    </w:p>
    <w:p w14:paraId="7C30B52C">
      <w:pPr>
        <w:spacing w:line="360" w:lineRule="auto"/>
        <w:ind w:firstLine="480" w:firstLineChars="200"/>
        <w:rPr>
          <w:rFonts w:hint="eastAsia"/>
          <w:bCs/>
          <w:sz w:val="24"/>
        </w:rPr>
      </w:pPr>
      <w:r>
        <w:rPr>
          <w:rFonts w:hint="eastAsia"/>
          <w:bCs/>
          <w:sz w:val="24"/>
        </w:rPr>
        <w:t>中证高股息精选指数选取100只流动性好、连续分红、股息率高、盈利持续且具有成长性的上市公司证券作为指数样本，采用股息率加权，以反映高股息相关上市公司证券的整体表现，适合作为本基金股票部分的业绩比较基准要素。</w:t>
      </w:r>
    </w:p>
    <w:p w14:paraId="7BCE148A">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580DF629">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1FFF4222">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08DAFF84">
      <w:pPr>
        <w:spacing w:line="360" w:lineRule="auto"/>
        <w:ind w:firstLine="480" w:firstLineChars="200"/>
        <w:rPr>
          <w:rFonts w:hint="eastAsia"/>
          <w:bCs/>
          <w:sz w:val="24"/>
        </w:rPr>
      </w:pPr>
      <w:r>
        <w:rPr>
          <w:rFonts w:hint="eastAsia"/>
          <w:bCs/>
          <w:sz w:val="24"/>
        </w:rPr>
        <w:t>2、业绩比较基准要素的基本信息</w:t>
      </w:r>
    </w:p>
    <w:p w14:paraId="0358C5D3">
      <w:pPr>
        <w:spacing w:line="360" w:lineRule="auto"/>
        <w:ind w:firstLine="480" w:firstLineChars="200"/>
        <w:rPr>
          <w:rFonts w:hint="eastAsia"/>
          <w:bCs/>
          <w:sz w:val="24"/>
        </w:rPr>
      </w:pPr>
      <w:r>
        <w:rPr>
          <w:rFonts w:hint="eastAsia"/>
          <w:bCs/>
          <w:sz w:val="24"/>
        </w:rPr>
        <w:t>中证高股息精选指数由中证指数有限公司编制发布，指数代码为930838，指数具体信息详见中证指数有限公司网站，网址：www.csindex.com.cn。</w:t>
      </w:r>
    </w:p>
    <w:p w14:paraId="022833C5">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0032F510">
      <w:pPr>
        <w:spacing w:line="360" w:lineRule="auto"/>
        <w:ind w:firstLine="480" w:firstLineChars="200"/>
        <w:rPr>
          <w:rFonts w:hint="eastAsia"/>
          <w:bCs/>
          <w:sz w:val="24"/>
        </w:rPr>
      </w:pPr>
      <w:r>
        <w:rPr>
          <w:rFonts w:hint="eastAsia"/>
          <w:bCs/>
          <w:sz w:val="24"/>
        </w:rPr>
        <w:t>3、业绩比较基准的计算方法</w:t>
      </w:r>
    </w:p>
    <w:p w14:paraId="26E767F5">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证高股息精选指数、中债-国债总财富（1-3年）指数的每日收益率，再按照预设权重比例计算当日组合要素基准的日收益率，并连乘每日收益率。</w:t>
      </w:r>
    </w:p>
    <w:p w14:paraId="0011E159">
      <w:pPr>
        <w:spacing w:line="360" w:lineRule="auto"/>
        <w:ind w:firstLine="480" w:firstLineChars="200"/>
        <w:rPr>
          <w:rFonts w:hint="eastAsia"/>
          <w:bCs/>
          <w:sz w:val="24"/>
        </w:rPr>
      </w:pPr>
      <w:r>
        <w:rPr>
          <w:rFonts w:hint="eastAsia"/>
          <w:bCs/>
          <w:sz w:val="24"/>
        </w:rPr>
        <w:t>4、管理投资偏离业绩比较基准的定性或定量方法</w:t>
      </w:r>
    </w:p>
    <w:p w14:paraId="430F5CE9">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保持主要配置股息优化型主题的上市公司，从而力争在控制风险的基础上追求超越业绩比较基准的投资回报。</w:t>
      </w:r>
    </w:p>
    <w:p w14:paraId="7EEBB282">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D58F56A">
      <w:pPr>
        <w:spacing w:line="360" w:lineRule="auto"/>
        <w:ind w:firstLine="480" w:firstLineChars="200"/>
        <w:rPr>
          <w:rFonts w:hint="eastAsia"/>
          <w:bCs/>
          <w:sz w:val="24"/>
        </w:rPr>
      </w:pPr>
      <w:r>
        <w:rPr>
          <w:rFonts w:hint="eastAsia"/>
          <w:bCs/>
          <w:sz w:val="24"/>
        </w:rPr>
        <w:t>5、未来可能变更业绩比较基准的情况和程序</w:t>
      </w:r>
    </w:p>
    <w:p w14:paraId="09CAE0EC">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775A882">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8FA46AC">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6E0C3887">
      <w:pPr>
        <w:spacing w:line="360" w:lineRule="auto"/>
        <w:ind w:firstLine="480" w:firstLineChars="200"/>
        <w:rPr>
          <w:rFonts w:hint="eastAsia"/>
          <w:bCs/>
          <w:sz w:val="24"/>
        </w:rPr>
      </w:pPr>
      <w:r>
        <w:rPr>
          <w:rFonts w:hint="eastAsia"/>
          <w:bCs/>
          <w:sz w:val="24"/>
        </w:rPr>
        <w:t>（3）中国证监会认可的其他情形。</w:t>
      </w:r>
    </w:p>
    <w:p w14:paraId="3FA88225">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5F87B03B">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1D1D4F11">
      <w:pPr>
        <w:spacing w:line="360" w:lineRule="auto"/>
        <w:ind w:firstLine="480" w:firstLineChars="200"/>
        <w:rPr>
          <w:bCs/>
          <w:sz w:val="24"/>
        </w:rPr>
      </w:pPr>
      <w:r>
        <w:rPr>
          <w:rFonts w:hint="eastAsia"/>
          <w:bCs/>
          <w:sz w:val="24"/>
        </w:rPr>
        <w:t>（2）其他对基金份额持有人利益产生重大实质性影响的情形。</w:t>
      </w:r>
      <w:bookmarkEnd w:id="485"/>
    </w:p>
    <w:p w14:paraId="086F00D1">
      <w:pPr>
        <w:pStyle w:val="38"/>
        <w:spacing w:afterLines="0"/>
        <w:ind w:firstLine="482"/>
        <w:outlineLvl w:val="0"/>
        <w:rPr>
          <w:b/>
        </w:rPr>
      </w:pPr>
      <w:r>
        <w:rPr>
          <w:rFonts w:hAnsi="宋体"/>
          <w:b/>
        </w:rPr>
        <w:t>六、基金资产净值的计算方法和公告方式</w:t>
      </w:r>
    </w:p>
    <w:p w14:paraId="257F09E6">
      <w:pPr>
        <w:spacing w:line="360" w:lineRule="auto"/>
        <w:ind w:firstLine="480" w:firstLineChars="200"/>
        <w:rPr>
          <w:bCs/>
          <w:sz w:val="24"/>
        </w:rPr>
      </w:pPr>
      <w:r>
        <w:rPr>
          <w:bCs/>
          <w:sz w:val="24"/>
        </w:rPr>
        <w:t>（一）估值方法</w:t>
      </w:r>
    </w:p>
    <w:p w14:paraId="15AB8A55">
      <w:pPr>
        <w:spacing w:line="360" w:lineRule="auto"/>
        <w:ind w:firstLine="480" w:firstLineChars="200"/>
        <w:rPr>
          <w:bCs/>
          <w:sz w:val="24"/>
        </w:rPr>
      </w:pPr>
      <w:r>
        <w:rPr>
          <w:rFonts w:hint="eastAsia"/>
          <w:bCs/>
          <w:sz w:val="24"/>
        </w:rPr>
        <w:t>本基金所持有的投资品种，按如下原则进行估值：</w:t>
      </w:r>
    </w:p>
    <w:p w14:paraId="70E6A72F">
      <w:pPr>
        <w:spacing w:line="360" w:lineRule="auto"/>
        <w:ind w:firstLine="480" w:firstLineChars="200"/>
        <w:rPr>
          <w:bCs/>
          <w:sz w:val="24"/>
        </w:rPr>
      </w:pPr>
      <w:r>
        <w:rPr>
          <w:rFonts w:hint="eastAsia"/>
          <w:bCs/>
          <w:sz w:val="24"/>
        </w:rPr>
        <w:t>（</w:t>
      </w:r>
      <w:r>
        <w:rPr>
          <w:bCs/>
          <w:sz w:val="24"/>
        </w:rPr>
        <w:t>1</w:t>
      </w:r>
      <w:r>
        <w:rPr>
          <w:rFonts w:hint="eastAsia"/>
          <w:bCs/>
          <w:sz w:val="24"/>
        </w:rPr>
        <w:t>）证券交易所上市的有价证券的估值</w:t>
      </w:r>
    </w:p>
    <w:p w14:paraId="5BA89AC7">
      <w:pPr>
        <w:spacing w:line="360" w:lineRule="auto"/>
        <w:ind w:firstLine="480" w:firstLineChars="200"/>
        <w:rPr>
          <w:bCs/>
          <w:sz w:val="24"/>
        </w:rPr>
      </w:pPr>
      <w:r>
        <w:rPr>
          <w:rFonts w:hint="eastAsia"/>
          <w:bCs/>
          <w:sz w:val="24"/>
        </w:rPr>
        <w:t>①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E46A2ED">
      <w:pPr>
        <w:spacing w:line="360" w:lineRule="auto"/>
        <w:ind w:firstLine="480" w:firstLineChars="200"/>
        <w:rPr>
          <w:bCs/>
          <w:sz w:val="24"/>
        </w:rPr>
      </w:pPr>
      <w:r>
        <w:rPr>
          <w:rFonts w:hint="eastAsia"/>
          <w:bCs/>
          <w:sz w:val="24"/>
        </w:rPr>
        <w:t>②在交易所市场上市交易或挂牌转让的固定收益品种（另有规定的除外），选取第三方估值机构提供的相应品种当日的估值净价估值。</w:t>
      </w:r>
    </w:p>
    <w:p w14:paraId="26E547C0">
      <w:pPr>
        <w:spacing w:line="360" w:lineRule="auto"/>
        <w:ind w:firstLine="480" w:firstLineChars="200"/>
        <w:rPr>
          <w:bCs/>
          <w:sz w:val="24"/>
        </w:rPr>
      </w:pPr>
      <w:r>
        <w:rPr>
          <w:rFonts w:hint="eastAsia"/>
          <w:bCs/>
          <w:sz w:val="24"/>
        </w:rPr>
        <w:t>③对在交易所市场上市交易的可转换债券，按照每日收盘价作为估值全价。</w:t>
      </w:r>
    </w:p>
    <w:p w14:paraId="44FE48B9">
      <w:pPr>
        <w:spacing w:line="360" w:lineRule="auto"/>
        <w:ind w:firstLine="480" w:firstLineChars="200"/>
        <w:rPr>
          <w:bCs/>
          <w:sz w:val="24"/>
        </w:rPr>
      </w:pPr>
      <w:r>
        <w:rPr>
          <w:rFonts w:hint="eastAsia"/>
          <w:bCs/>
          <w:sz w:val="24"/>
        </w:rPr>
        <w:t>④对在交易所市场挂牌转让的资产支持证券和私募证券，估值日不存在活跃市场时采用估值技术确定其公允价值进行估值。如成本能够近似体现公允价值，应持续评估上述做法的适当性，并在情况发生改变时做出适当调整。</w:t>
      </w:r>
    </w:p>
    <w:p w14:paraId="6A38AEFB">
      <w:pPr>
        <w:spacing w:line="360" w:lineRule="auto"/>
        <w:ind w:firstLine="480" w:firstLineChars="200"/>
        <w:rPr>
          <w:bCs/>
          <w:sz w:val="24"/>
        </w:rPr>
      </w:pPr>
      <w:r>
        <w:rPr>
          <w:rFonts w:hint="eastAsia"/>
          <w:bCs/>
          <w:sz w:val="24"/>
        </w:rPr>
        <w:t>（</w:t>
      </w:r>
      <w:r>
        <w:rPr>
          <w:bCs/>
          <w:sz w:val="24"/>
        </w:rPr>
        <w:t>2</w:t>
      </w:r>
      <w:r>
        <w:rPr>
          <w:rFonts w:hint="eastAsia"/>
          <w:bCs/>
          <w:sz w:val="24"/>
        </w:rPr>
        <w:t>）处于未上市期间的有价证券应区分如下情况处理：</w:t>
      </w:r>
    </w:p>
    <w:p w14:paraId="1B9DC1DB">
      <w:pPr>
        <w:spacing w:line="360" w:lineRule="auto"/>
        <w:ind w:firstLine="480" w:firstLineChars="200"/>
        <w:rPr>
          <w:bCs/>
          <w:sz w:val="24"/>
        </w:rPr>
      </w:pPr>
      <w:r>
        <w:rPr>
          <w:rFonts w:hint="eastAsia"/>
          <w:bCs/>
          <w:sz w:val="24"/>
        </w:rPr>
        <w:t>①送股、转增股、配股和公开增发的新股，按估值日在证券交易所挂牌的同一股票的估值方法估值；该日无交易的，以最近一日的市价（收盘价）估值。</w:t>
      </w:r>
    </w:p>
    <w:p w14:paraId="0E22ACE7">
      <w:pPr>
        <w:spacing w:line="360" w:lineRule="auto"/>
        <w:ind w:firstLine="480" w:firstLineChars="200"/>
        <w:rPr>
          <w:bCs/>
          <w:sz w:val="24"/>
        </w:rPr>
      </w:pPr>
      <w:r>
        <w:rPr>
          <w:rFonts w:hint="eastAsia"/>
          <w:bCs/>
          <w:sz w:val="24"/>
        </w:rPr>
        <w:t>②首次公开发行未上市的股票、债券和权证，采用估值技术确定公允价值，在估值技术难以可靠计量公允价值的情况下，按成本估值。</w:t>
      </w:r>
    </w:p>
    <w:p w14:paraId="634FD230">
      <w:pPr>
        <w:spacing w:line="360" w:lineRule="auto"/>
        <w:ind w:firstLine="480" w:firstLineChars="200"/>
        <w:rPr>
          <w:bCs/>
          <w:sz w:val="24"/>
        </w:rPr>
      </w:pPr>
      <w:r>
        <w:rPr>
          <w:rFonts w:hint="eastAsia"/>
          <w:bCs/>
          <w:sz w:val="24"/>
        </w:rPr>
        <w:t>③对在交易所市场发行未上市或未挂牌转让的债券，对存在活跃市场的情况下，应以活跃市场上未经调整的报价作为计量日的公允价值进行估值；对于活跃市场报价未能代表计量日公允价值的情况下，按成本应对市场报价进行调整，确认计量日的公允价值；对于不存在市场活动或市场活动很少的情况下，则采用估值技术确定公允价值。</w:t>
      </w:r>
    </w:p>
    <w:p w14:paraId="083F6517">
      <w:pPr>
        <w:spacing w:line="360" w:lineRule="auto"/>
        <w:ind w:firstLine="480" w:firstLineChars="200"/>
        <w:rPr>
          <w:bCs/>
          <w:sz w:val="24"/>
        </w:rPr>
      </w:pPr>
      <w:r>
        <w:rPr>
          <w:rFonts w:hint="eastAsia"/>
          <w:bCs/>
          <w:sz w:val="24"/>
        </w:rPr>
        <w:t>④首次公开发行有明确锁定期的股票，同一股票在交易所上市后，按交易所上市的同一股票的估值方法估值；非公开发行有明确锁定期的股票，按监管机构或行业协会有关规定确定公允价值。</w:t>
      </w:r>
    </w:p>
    <w:p w14:paraId="0315DB2E">
      <w:pPr>
        <w:spacing w:line="360" w:lineRule="auto"/>
        <w:ind w:firstLine="480" w:firstLineChars="200"/>
        <w:rPr>
          <w:bCs/>
          <w:sz w:val="24"/>
        </w:rPr>
      </w:pPr>
      <w:r>
        <w:rPr>
          <w:rFonts w:hint="eastAsia"/>
          <w:bCs/>
          <w:sz w:val="24"/>
        </w:rPr>
        <w:t>（</w:t>
      </w:r>
      <w:r>
        <w:rPr>
          <w:bCs/>
          <w:sz w:val="24"/>
        </w:rPr>
        <w:t>3</w:t>
      </w:r>
      <w:r>
        <w:rPr>
          <w:rFonts w:hint="eastAsia"/>
          <w:bCs/>
          <w:sz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7886338C">
      <w:pPr>
        <w:spacing w:line="360" w:lineRule="auto"/>
        <w:ind w:firstLine="480" w:firstLineChars="200"/>
        <w:rPr>
          <w:bCs/>
          <w:sz w:val="24"/>
        </w:rPr>
      </w:pPr>
      <w:r>
        <w:rPr>
          <w:rFonts w:hint="eastAsia"/>
          <w:bCs/>
          <w:sz w:val="24"/>
        </w:rPr>
        <w:t>（4）存款的估值方法</w:t>
      </w:r>
    </w:p>
    <w:p w14:paraId="4F7478C6">
      <w:pPr>
        <w:spacing w:line="360" w:lineRule="auto"/>
        <w:ind w:firstLine="480" w:firstLineChars="200"/>
        <w:rPr>
          <w:bCs/>
          <w:sz w:val="24"/>
        </w:rPr>
      </w:pPr>
      <w:r>
        <w:rPr>
          <w:rFonts w:hint="eastAsia"/>
          <w:bCs/>
          <w:sz w:val="24"/>
        </w:rPr>
        <w:t>持有的银行定期存款或通知存款以本金列示，按协议或合同利率逐日确认利息收入。</w:t>
      </w:r>
    </w:p>
    <w:p w14:paraId="424A1886">
      <w:pPr>
        <w:spacing w:line="360" w:lineRule="auto"/>
        <w:ind w:firstLine="480" w:firstLineChars="200"/>
        <w:rPr>
          <w:bCs/>
          <w:sz w:val="24"/>
        </w:rPr>
      </w:pPr>
      <w:r>
        <w:rPr>
          <w:rFonts w:hint="eastAsia"/>
          <w:bCs/>
          <w:sz w:val="24"/>
        </w:rPr>
        <w:t>（5）投资证券衍生品的估值方法</w:t>
      </w:r>
    </w:p>
    <w:p w14:paraId="2F9BA94B">
      <w:pPr>
        <w:spacing w:line="360" w:lineRule="auto"/>
        <w:ind w:firstLine="480" w:firstLineChars="200"/>
        <w:rPr>
          <w:bCs/>
          <w:sz w:val="24"/>
        </w:rPr>
      </w:pPr>
      <w:r>
        <w:rPr>
          <w:rFonts w:hint="eastAsia"/>
          <w:bCs/>
          <w:sz w:val="24"/>
        </w:rPr>
        <w:t>①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将参考监管机构或行业协会有关规定</w:t>
      </w:r>
      <w:r>
        <w:rPr>
          <w:bCs/>
          <w:sz w:val="24"/>
        </w:rPr>
        <w:t>,</w:t>
      </w:r>
      <w:r>
        <w:rPr>
          <w:rFonts w:hint="eastAsia"/>
          <w:bCs/>
          <w:sz w:val="24"/>
        </w:rPr>
        <w:t>或者类似投资品种的现行市价及重大变化因素，调整最近交易市价，确定公允价值。</w:t>
      </w:r>
    </w:p>
    <w:p w14:paraId="01BA6935">
      <w:pPr>
        <w:spacing w:line="360" w:lineRule="auto"/>
        <w:ind w:firstLine="480" w:firstLineChars="200"/>
        <w:rPr>
          <w:bCs/>
          <w:sz w:val="24"/>
        </w:rPr>
      </w:pPr>
      <w:r>
        <w:rPr>
          <w:rFonts w:hint="eastAsia"/>
          <w:bCs/>
          <w:sz w:val="24"/>
        </w:rPr>
        <w:t>②首次发行未上市的权证，采用估值技术确定公允价值，在估值技术难以可靠计量公允价值的情况下，按成本估值。</w:t>
      </w:r>
    </w:p>
    <w:p w14:paraId="6762CA41">
      <w:pPr>
        <w:spacing w:line="360" w:lineRule="auto"/>
        <w:ind w:firstLine="480" w:firstLineChars="200"/>
        <w:rPr>
          <w:bCs/>
          <w:sz w:val="24"/>
        </w:rPr>
      </w:pPr>
      <w:r>
        <w:rPr>
          <w:rFonts w:hint="eastAsia"/>
          <w:bCs/>
          <w:sz w:val="24"/>
        </w:rPr>
        <w:t>③因持有股票而享有的配股权，以及停止交易但未行权的权证，采用估值技术确定公允价值进行估值。在估值技术难以可靠计量公允价值的情况下，按成本进行估值。</w:t>
      </w:r>
    </w:p>
    <w:p w14:paraId="53F5FBB4">
      <w:pPr>
        <w:spacing w:line="360" w:lineRule="auto"/>
        <w:ind w:firstLine="480" w:firstLineChars="200"/>
        <w:rPr>
          <w:bCs/>
          <w:sz w:val="24"/>
        </w:rPr>
      </w:pPr>
      <w:r>
        <w:rPr>
          <w:rFonts w:hint="eastAsia"/>
          <w:bCs/>
          <w:sz w:val="24"/>
        </w:rPr>
        <w:t>④股指期货合约，一般以估值当日结算价进行，估值当日无结算价的，且最近交易日后经济环境未发生重大变化的，采用最近交易日结算价估值。</w:t>
      </w:r>
    </w:p>
    <w:p w14:paraId="1EC5FBF0">
      <w:pPr>
        <w:spacing w:line="360" w:lineRule="auto"/>
        <w:ind w:firstLine="480" w:firstLineChars="200"/>
        <w:rPr>
          <w:bCs/>
          <w:sz w:val="24"/>
        </w:rPr>
      </w:pPr>
      <w:r>
        <w:rPr>
          <w:rFonts w:hint="eastAsia"/>
          <w:bCs/>
          <w:sz w:val="24"/>
        </w:rPr>
        <w:t>（6）本基金可以采用第三方估值机构按照上述公允价值确定原则提供的估值价格数据。</w:t>
      </w:r>
    </w:p>
    <w:p w14:paraId="2C5EEDF8">
      <w:pPr>
        <w:spacing w:line="360" w:lineRule="auto"/>
        <w:ind w:firstLine="480" w:firstLineChars="200"/>
        <w:rPr>
          <w:bCs/>
          <w:sz w:val="24"/>
        </w:rPr>
      </w:pPr>
      <w:r>
        <w:rPr>
          <w:rFonts w:hint="eastAsia"/>
          <w:bCs/>
          <w:sz w:val="24"/>
        </w:rPr>
        <w:t>（7）如有确凿证据表明按上述方法进行估值不能客观反映其公允价值的，基金管理人可根据具体情况与基金托管人商定后，按最能反映公允价值的价格估值。</w:t>
      </w:r>
    </w:p>
    <w:p w14:paraId="14A56DEF">
      <w:pPr>
        <w:spacing w:line="360" w:lineRule="auto"/>
        <w:ind w:firstLine="480" w:firstLineChars="200"/>
        <w:rPr>
          <w:bCs/>
          <w:sz w:val="24"/>
        </w:rPr>
      </w:pPr>
      <w:r>
        <w:rPr>
          <w:rFonts w:hint="eastAsia"/>
          <w:bCs/>
          <w:sz w:val="24"/>
        </w:rPr>
        <w:t>（8）本基金投资存托凭证的估值核算依照境内上市交易的股票执行。</w:t>
      </w:r>
    </w:p>
    <w:p w14:paraId="50DC1D62">
      <w:pPr>
        <w:spacing w:line="360" w:lineRule="auto"/>
        <w:ind w:firstLine="480" w:firstLineChars="200"/>
        <w:rPr>
          <w:bCs/>
          <w:sz w:val="24"/>
        </w:rPr>
      </w:pPr>
      <w:r>
        <w:rPr>
          <w:rFonts w:hint="eastAsia"/>
          <w:bCs/>
          <w:sz w:val="24"/>
        </w:rPr>
        <w:t>（</w:t>
      </w:r>
      <w:r>
        <w:rPr>
          <w:bCs/>
          <w:sz w:val="24"/>
        </w:rPr>
        <w:t>9</w:t>
      </w:r>
      <w:r>
        <w:rPr>
          <w:rFonts w:hint="eastAsia"/>
          <w:bCs/>
          <w:sz w:val="24"/>
        </w:rPr>
        <w:t>）相关法律法规以及监管部门有强制规定的，从其规定。如有新增事项，按国家最新规定估值。</w:t>
      </w:r>
    </w:p>
    <w:p w14:paraId="27600DB9">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AFB32DF">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加盖公章的书面说明后，按照基金管理人对基金资产净值的计算结果对外予以公布。</w:t>
      </w:r>
    </w:p>
    <w:p w14:paraId="01DB657D">
      <w:pPr>
        <w:spacing w:line="360" w:lineRule="auto"/>
        <w:ind w:firstLine="480" w:firstLineChars="200"/>
        <w:rPr>
          <w:sz w:val="24"/>
        </w:rPr>
      </w:pPr>
      <w:r>
        <w:rPr>
          <w:rFonts w:hAnsi="宋体"/>
          <w:sz w:val="24"/>
        </w:rPr>
        <w:t>（二）估值程序</w:t>
      </w:r>
    </w:p>
    <w:p w14:paraId="58D12308">
      <w:pPr>
        <w:spacing w:line="360" w:lineRule="auto"/>
        <w:ind w:firstLine="480" w:firstLineChars="200"/>
        <w:rPr>
          <w:bCs/>
          <w:sz w:val="24"/>
        </w:rPr>
      </w:pPr>
      <w:r>
        <w:rPr>
          <w:bCs/>
          <w:sz w:val="24"/>
        </w:rPr>
        <w:t>1、基金份额净值是按照每个工作日闭市后，基金资产净值除以当日基金份额的余额数量计算，精确到</w:t>
      </w:r>
      <w:r>
        <w:rPr>
          <w:rFonts w:hint="eastAsia"/>
          <w:bCs/>
          <w:sz w:val="24"/>
        </w:rPr>
        <w:t>0.0001</w:t>
      </w:r>
      <w:r>
        <w:rPr>
          <w:bCs/>
          <w:sz w:val="24"/>
        </w:rPr>
        <w:t>元，小数点后第</w:t>
      </w:r>
      <w:r>
        <w:rPr>
          <w:rFonts w:hint="eastAsia"/>
          <w:bCs/>
          <w:sz w:val="24"/>
        </w:rPr>
        <w:t>五</w:t>
      </w:r>
      <w:r>
        <w:rPr>
          <w:bCs/>
          <w:sz w:val="24"/>
        </w:rPr>
        <w:t>位四舍五入。国家另有规定的，从其规定。</w:t>
      </w:r>
    </w:p>
    <w:p w14:paraId="6A39D3B5">
      <w:pPr>
        <w:spacing w:line="360" w:lineRule="auto"/>
        <w:ind w:firstLine="480" w:firstLineChars="200"/>
        <w:rPr>
          <w:bCs/>
          <w:sz w:val="24"/>
        </w:rPr>
      </w:pPr>
      <w:r>
        <w:rPr>
          <w:rFonts w:hint="eastAsia"/>
          <w:bCs/>
          <w:sz w:val="24"/>
        </w:rPr>
        <w:t>基金管理人于</w:t>
      </w:r>
      <w:r>
        <w:rPr>
          <w:bCs/>
          <w:sz w:val="24"/>
        </w:rPr>
        <w:t>每个工作日计算基金资产净值及基金份额净值，并按规定公告。</w:t>
      </w:r>
      <w:r>
        <w:rPr>
          <w:rFonts w:hint="eastAsia"/>
          <w:bCs/>
          <w:sz w:val="24"/>
        </w:rPr>
        <w:t>如遇特殊情况，经中国证监会同意，可以适当延迟计算或公告。</w:t>
      </w:r>
    </w:p>
    <w:p w14:paraId="477BA384">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但基金管理人根据法律法规或本基金合同的规定暂停估值时除外。基金管理人每个工作日对基金资产估值后，将基金份额净值结果发送基金托管人，经基金托管人复核无误后，由基金管理人</w:t>
      </w:r>
      <w:r>
        <w:rPr>
          <w:rFonts w:hint="eastAsia"/>
          <w:bCs/>
          <w:sz w:val="24"/>
        </w:rPr>
        <w:t>依据基金合同的约定和相关法律法规的规定</w:t>
      </w:r>
      <w:r>
        <w:rPr>
          <w:bCs/>
          <w:sz w:val="24"/>
        </w:rPr>
        <w:t>对外公布。</w:t>
      </w:r>
    </w:p>
    <w:p w14:paraId="6D3CD3D8">
      <w:pPr>
        <w:spacing w:line="360" w:lineRule="auto"/>
        <w:ind w:firstLine="480" w:firstLineChars="200"/>
        <w:outlineLvl w:val="0"/>
        <w:rPr>
          <w:sz w:val="24"/>
        </w:rPr>
      </w:pPr>
      <w:r>
        <w:rPr>
          <w:rFonts w:hAnsi="宋体"/>
          <w:sz w:val="24"/>
        </w:rPr>
        <w:t>（三）暂停估值的情形</w:t>
      </w:r>
    </w:p>
    <w:p w14:paraId="5197FDF4">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4EF6567A">
      <w:pPr>
        <w:spacing w:line="360" w:lineRule="auto"/>
        <w:ind w:firstLine="480" w:firstLineChars="200"/>
        <w:rPr>
          <w:bCs/>
          <w:sz w:val="24"/>
        </w:rPr>
      </w:pPr>
      <w:r>
        <w:rPr>
          <w:bCs/>
          <w:sz w:val="24"/>
        </w:rPr>
        <w:t>2、因不可抗力致使基金管理人、基金托管人无法准确评估基金资产价值时；</w:t>
      </w:r>
    </w:p>
    <w:p w14:paraId="7AA21ED9">
      <w:pPr>
        <w:spacing w:line="360" w:lineRule="auto"/>
        <w:ind w:firstLine="480" w:firstLineChars="200"/>
        <w:rPr>
          <w:bCs/>
          <w:sz w:val="24"/>
        </w:rPr>
      </w:pPr>
      <w:r>
        <w:rPr>
          <w:bCs/>
          <w:sz w:val="24"/>
        </w:rPr>
        <w:t>3、</w:t>
      </w:r>
      <w:r>
        <w:rPr>
          <w:rFonts w:hint="eastAsia"/>
          <w:bCs/>
          <w:sz w:val="24"/>
        </w:rPr>
        <w:t>当前一估值日基金资产净值50%以上的资产出现无可参考的活跃市场价格且采用估值技术仍导致公允价值存在重大不确定性时，经与基金托管人协商一致的，基金管理人应当暂停估值；</w:t>
      </w:r>
    </w:p>
    <w:p w14:paraId="5B60622E">
      <w:pPr>
        <w:spacing w:line="360" w:lineRule="auto"/>
        <w:ind w:firstLine="480" w:firstLineChars="200"/>
        <w:rPr>
          <w:bCs/>
          <w:sz w:val="24"/>
        </w:rPr>
      </w:pPr>
      <w:r>
        <w:rPr>
          <w:bCs/>
          <w:sz w:val="24"/>
        </w:rPr>
        <w:t>4</w:t>
      </w:r>
      <w:r>
        <w:rPr>
          <w:rFonts w:hint="eastAsia"/>
          <w:bCs/>
          <w:sz w:val="24"/>
        </w:rPr>
        <w:t>、</w:t>
      </w:r>
      <w:r>
        <w:rPr>
          <w:bCs/>
          <w:sz w:val="24"/>
        </w:rPr>
        <w:t>中国证监会</w:t>
      </w:r>
      <w:r>
        <w:rPr>
          <w:rFonts w:hint="eastAsia"/>
          <w:bCs/>
          <w:sz w:val="24"/>
        </w:rPr>
        <w:t>规定的</w:t>
      </w:r>
      <w:r>
        <w:rPr>
          <w:bCs/>
          <w:sz w:val="24"/>
        </w:rPr>
        <w:t>和基金合同</w:t>
      </w:r>
      <w:r>
        <w:rPr>
          <w:rFonts w:hint="eastAsia"/>
          <w:bCs/>
          <w:sz w:val="24"/>
        </w:rPr>
        <w:t>约</w:t>
      </w:r>
      <w:r>
        <w:rPr>
          <w:bCs/>
          <w:sz w:val="24"/>
        </w:rPr>
        <w:t>定的其它情形。</w:t>
      </w:r>
    </w:p>
    <w:p w14:paraId="1BA37314">
      <w:pPr>
        <w:spacing w:line="360" w:lineRule="auto"/>
        <w:ind w:firstLine="480" w:firstLineChars="200"/>
        <w:rPr>
          <w:rFonts w:ascii="宋体" w:hAnsi="宋体"/>
          <w:bCs/>
          <w:sz w:val="24"/>
          <w:szCs w:val="24"/>
        </w:rPr>
      </w:pPr>
      <w:r>
        <w:rPr>
          <w:rFonts w:ascii="宋体" w:hAnsi="宋体"/>
          <w:bCs/>
          <w:sz w:val="24"/>
          <w:szCs w:val="24"/>
        </w:rPr>
        <w:t>（四）</w:t>
      </w:r>
      <w:r>
        <w:rPr>
          <w:rFonts w:hint="eastAsia" w:ascii="宋体" w:hAnsi="宋体"/>
          <w:bCs/>
          <w:sz w:val="24"/>
          <w:szCs w:val="24"/>
        </w:rPr>
        <w:t>基金净值信息</w:t>
      </w:r>
      <w:r>
        <w:rPr>
          <w:rFonts w:ascii="宋体" w:hAnsi="宋体"/>
          <w:bCs/>
          <w:sz w:val="24"/>
          <w:szCs w:val="24"/>
        </w:rPr>
        <w:t>的公告方式</w:t>
      </w:r>
    </w:p>
    <w:p w14:paraId="37D8E998">
      <w:pPr>
        <w:spacing w:line="360" w:lineRule="auto"/>
        <w:ind w:firstLine="480" w:firstLineChars="200"/>
        <w:rPr>
          <w:bCs/>
          <w:sz w:val="24"/>
        </w:rPr>
      </w:pPr>
      <w:r>
        <w:rPr>
          <w:rFonts w:hint="eastAsia"/>
          <w:bCs/>
          <w:sz w:val="24"/>
        </w:rPr>
        <w:t>《基金合同》生效后，在开始办理基金份额申购或者赎回前，基金管理人应当至少每周在指定网站披露一次基金份额净值和基金份额累计净值。</w:t>
      </w:r>
    </w:p>
    <w:p w14:paraId="17863F8B">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在开始办理基金份额申购或者赎回后，基金管理人应当在不晚于每个开放日的次日，通过指定网站、销售机构网站或者营业网点披露开放日的基金份额净值和基金份额累计净值。</w:t>
      </w:r>
    </w:p>
    <w:p w14:paraId="254A0623">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基金管理人应当在不晚于半年度和年度最后一日的次日，在指定网站披露半年度和年度最后一日的基金份额净值和基金份额累计净值。</w:t>
      </w:r>
    </w:p>
    <w:p w14:paraId="23DA2596">
      <w:pPr>
        <w:pStyle w:val="38"/>
        <w:spacing w:afterLines="0"/>
        <w:ind w:firstLine="482"/>
        <w:outlineLvl w:val="0"/>
        <w:rPr>
          <w:b/>
        </w:rPr>
      </w:pPr>
      <w:r>
        <w:rPr>
          <w:rFonts w:hAnsi="宋体"/>
          <w:b/>
        </w:rPr>
        <w:t>七、基金合同</w:t>
      </w:r>
      <w:r>
        <w:rPr>
          <w:rFonts w:hint="eastAsia" w:hAnsi="宋体"/>
          <w:b/>
        </w:rPr>
        <w:t>变更、</w:t>
      </w:r>
      <w:r>
        <w:rPr>
          <w:rFonts w:hAnsi="宋体"/>
          <w:b/>
        </w:rPr>
        <w:t>解除和终止的事由、程序以及基金财产清算方式</w:t>
      </w:r>
    </w:p>
    <w:p w14:paraId="02E0C02A">
      <w:pPr>
        <w:spacing w:line="360" w:lineRule="auto"/>
        <w:ind w:firstLine="480" w:firstLineChars="200"/>
        <w:outlineLvl w:val="0"/>
        <w:rPr>
          <w:rFonts w:hAnsi="宋体"/>
          <w:sz w:val="24"/>
        </w:rPr>
      </w:pPr>
      <w:r>
        <w:rPr>
          <w:rFonts w:hAnsi="宋体"/>
          <w:sz w:val="24"/>
        </w:rPr>
        <w:t>（一）</w:t>
      </w:r>
      <w:r>
        <w:rPr>
          <w:rFonts w:hint="eastAsia" w:hAnsi="宋体"/>
          <w:sz w:val="24"/>
        </w:rPr>
        <w:t>《</w:t>
      </w:r>
      <w:r>
        <w:rPr>
          <w:bCs/>
          <w:sz w:val="24"/>
        </w:rPr>
        <w:t>基金合同</w:t>
      </w:r>
      <w:r>
        <w:rPr>
          <w:rFonts w:hint="eastAsia"/>
          <w:bCs/>
          <w:sz w:val="24"/>
        </w:rPr>
        <w:t>》</w:t>
      </w:r>
      <w:r>
        <w:rPr>
          <w:bCs/>
          <w:sz w:val="24"/>
        </w:rPr>
        <w:t>的变更</w:t>
      </w:r>
    </w:p>
    <w:p w14:paraId="0338C87A">
      <w:pPr>
        <w:autoSpaceDE w:val="0"/>
        <w:autoSpaceDN w:val="0"/>
        <w:adjustRightInd w:val="0"/>
        <w:spacing w:line="360" w:lineRule="auto"/>
        <w:ind w:firstLine="480" w:firstLineChars="2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346FB329">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自决议生效后</w:t>
      </w:r>
      <w:r>
        <w:rPr>
          <w:rFonts w:hint="eastAsia"/>
          <w:bCs/>
          <w:sz w:val="24"/>
        </w:rPr>
        <w:t>依照《信息披露办法》的规定</w:t>
      </w:r>
      <w:r>
        <w:rPr>
          <w:bCs/>
          <w:sz w:val="24"/>
        </w:rPr>
        <w:t>在指定媒介公告。</w:t>
      </w:r>
    </w:p>
    <w:p w14:paraId="3C38F745">
      <w:pPr>
        <w:spacing w:line="360" w:lineRule="auto"/>
        <w:ind w:firstLine="480" w:firstLineChars="200"/>
        <w:rPr>
          <w:bCs/>
          <w:sz w:val="24"/>
        </w:rPr>
      </w:pPr>
      <w:r>
        <w:rPr>
          <w:rFonts w:hint="eastAsia"/>
          <w:bCs/>
          <w:sz w:val="24"/>
        </w:rPr>
        <w:t>（二）《基金合同》的终止事由</w:t>
      </w:r>
    </w:p>
    <w:p w14:paraId="7072D9EC">
      <w:pPr>
        <w:spacing w:line="360" w:lineRule="auto"/>
        <w:ind w:firstLine="480" w:firstLineChars="200"/>
        <w:rPr>
          <w:bCs/>
          <w:sz w:val="24"/>
        </w:rPr>
      </w:pPr>
      <w:r>
        <w:rPr>
          <w:bCs/>
          <w:sz w:val="24"/>
        </w:rPr>
        <w:t>有下列情形之一的，《基金合同》应当终止：</w:t>
      </w:r>
    </w:p>
    <w:p w14:paraId="011F13FF">
      <w:pPr>
        <w:spacing w:line="360" w:lineRule="auto"/>
        <w:ind w:firstLine="480" w:firstLineChars="200"/>
        <w:rPr>
          <w:bCs/>
          <w:sz w:val="24"/>
        </w:rPr>
      </w:pPr>
      <w:r>
        <w:rPr>
          <w:bCs/>
          <w:sz w:val="24"/>
        </w:rPr>
        <w:t>1、基金份额持有人大会决定终止的；</w:t>
      </w:r>
    </w:p>
    <w:p w14:paraId="204EC86C">
      <w:pPr>
        <w:spacing w:line="360" w:lineRule="auto"/>
        <w:ind w:firstLine="480" w:firstLineChars="200"/>
        <w:rPr>
          <w:bCs/>
          <w:sz w:val="24"/>
        </w:rPr>
      </w:pPr>
      <w:r>
        <w:rPr>
          <w:bCs/>
          <w:sz w:val="24"/>
        </w:rPr>
        <w:t>2、基金管理人、基金托管人职责终止，在6个月内没有新基金管理人、新基金托管人承接的；</w:t>
      </w:r>
    </w:p>
    <w:p w14:paraId="096BA637">
      <w:pPr>
        <w:spacing w:line="360" w:lineRule="auto"/>
        <w:ind w:firstLine="480" w:firstLineChars="200"/>
        <w:rPr>
          <w:bCs/>
          <w:sz w:val="24"/>
        </w:rPr>
      </w:pPr>
      <w:r>
        <w:rPr>
          <w:rFonts w:hint="eastAsia"/>
          <w:bCs/>
          <w:sz w:val="24"/>
        </w:rPr>
        <w:t>3、</w:t>
      </w:r>
      <w:r>
        <w:rPr>
          <w:bCs/>
          <w:sz w:val="24"/>
        </w:rPr>
        <w:t>《基金合同》约定的其他情形；</w:t>
      </w:r>
    </w:p>
    <w:p w14:paraId="01D435D5">
      <w:pPr>
        <w:spacing w:line="360" w:lineRule="auto"/>
        <w:ind w:firstLine="480" w:firstLineChars="200"/>
        <w:rPr>
          <w:bCs/>
          <w:sz w:val="24"/>
        </w:rPr>
      </w:pPr>
      <w:r>
        <w:rPr>
          <w:rFonts w:hint="eastAsia"/>
          <w:bCs/>
          <w:sz w:val="24"/>
        </w:rPr>
        <w:t>4</w:t>
      </w:r>
      <w:r>
        <w:rPr>
          <w:bCs/>
          <w:sz w:val="24"/>
        </w:rPr>
        <w:t>、相关法律法规和中国证监会规定的其他情况。</w:t>
      </w:r>
    </w:p>
    <w:p w14:paraId="4521DDCB">
      <w:pPr>
        <w:spacing w:line="360" w:lineRule="auto"/>
        <w:ind w:firstLine="480" w:firstLineChars="200"/>
        <w:rPr>
          <w:bCs/>
          <w:sz w:val="24"/>
        </w:rPr>
      </w:pPr>
      <w:r>
        <w:rPr>
          <w:rFonts w:hint="eastAsia"/>
          <w:bCs/>
          <w:sz w:val="24"/>
        </w:rPr>
        <w:t>（</w:t>
      </w:r>
      <w:r>
        <w:rPr>
          <w:bCs/>
          <w:sz w:val="24"/>
        </w:rPr>
        <w:t>三</w:t>
      </w:r>
      <w:r>
        <w:rPr>
          <w:rFonts w:hint="eastAsia"/>
          <w:bCs/>
          <w:sz w:val="24"/>
        </w:rPr>
        <w:t>）</w:t>
      </w:r>
      <w:r>
        <w:rPr>
          <w:bCs/>
          <w:sz w:val="24"/>
        </w:rPr>
        <w:t>基金财产的清算</w:t>
      </w:r>
    </w:p>
    <w:p w14:paraId="3F4699CA">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1286B5CC">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54F91DA9">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73F3D254">
      <w:pPr>
        <w:spacing w:line="360" w:lineRule="auto"/>
        <w:ind w:firstLine="480" w:firstLineChars="200"/>
        <w:rPr>
          <w:bCs/>
          <w:sz w:val="24"/>
        </w:rPr>
      </w:pPr>
      <w:r>
        <w:rPr>
          <w:bCs/>
          <w:sz w:val="24"/>
        </w:rPr>
        <w:t>4、基金财产清算程序：</w:t>
      </w:r>
    </w:p>
    <w:p w14:paraId="6BD8DCF8">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14:paraId="79A20B0E">
      <w:pPr>
        <w:spacing w:line="360" w:lineRule="auto"/>
        <w:ind w:firstLine="480" w:firstLineChars="200"/>
        <w:rPr>
          <w:bCs/>
          <w:sz w:val="24"/>
        </w:rPr>
      </w:pPr>
      <w:r>
        <w:rPr>
          <w:bCs/>
          <w:sz w:val="24"/>
        </w:rPr>
        <w:t>（2）对基金财产和债权债务进行清理和确认；</w:t>
      </w:r>
    </w:p>
    <w:p w14:paraId="588F06C1">
      <w:pPr>
        <w:spacing w:line="360" w:lineRule="auto"/>
        <w:ind w:firstLine="480" w:firstLineChars="200"/>
        <w:rPr>
          <w:bCs/>
          <w:sz w:val="24"/>
        </w:rPr>
      </w:pPr>
      <w:r>
        <w:rPr>
          <w:bCs/>
          <w:sz w:val="24"/>
        </w:rPr>
        <w:t>（3）对基金财产进行估值和变现；</w:t>
      </w:r>
    </w:p>
    <w:p w14:paraId="0202FEE5">
      <w:pPr>
        <w:spacing w:line="360" w:lineRule="auto"/>
        <w:ind w:firstLine="480" w:firstLineChars="200"/>
        <w:rPr>
          <w:bCs/>
          <w:sz w:val="24"/>
        </w:rPr>
      </w:pPr>
      <w:r>
        <w:rPr>
          <w:bCs/>
          <w:sz w:val="24"/>
        </w:rPr>
        <w:t>（4）制作清算报告；</w:t>
      </w:r>
    </w:p>
    <w:p w14:paraId="47F9566E">
      <w:pPr>
        <w:spacing w:line="360" w:lineRule="auto"/>
        <w:ind w:firstLine="480" w:firstLineChars="200"/>
        <w:rPr>
          <w:bCs/>
          <w:sz w:val="24"/>
        </w:rPr>
      </w:pPr>
      <w:r>
        <w:rPr>
          <w:bCs/>
          <w:sz w:val="24"/>
        </w:rPr>
        <w:t>（5）聘请会计师事务所对清算报告进行外部审计，聘请律师事务所对清算报告出具法律意见书；</w:t>
      </w:r>
    </w:p>
    <w:p w14:paraId="43759F7E">
      <w:pPr>
        <w:spacing w:line="360" w:lineRule="auto"/>
        <w:ind w:firstLine="480" w:firstLineChars="200"/>
        <w:rPr>
          <w:bCs/>
          <w:sz w:val="24"/>
        </w:rPr>
      </w:pPr>
      <w:r>
        <w:rPr>
          <w:bCs/>
          <w:sz w:val="24"/>
        </w:rPr>
        <w:t>（6）将清算报告报中国证监会备案并公告</w:t>
      </w:r>
      <w:r>
        <w:rPr>
          <w:rFonts w:hint="eastAsia"/>
          <w:bCs/>
          <w:sz w:val="24"/>
        </w:rPr>
        <w:t>；</w:t>
      </w:r>
    </w:p>
    <w:p w14:paraId="127473FA">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1891F113">
      <w:pPr>
        <w:spacing w:line="360" w:lineRule="auto"/>
        <w:ind w:firstLine="480" w:firstLineChars="200"/>
        <w:rPr>
          <w:bCs/>
          <w:sz w:val="24"/>
        </w:rPr>
      </w:pPr>
      <w:r>
        <w:rPr>
          <w:bCs/>
          <w:sz w:val="24"/>
        </w:rPr>
        <w:t>5、基金财产清算的期限为</w:t>
      </w:r>
      <w:r>
        <w:rPr>
          <w:rFonts w:hint="eastAsia"/>
          <w:bCs/>
          <w:sz w:val="24"/>
        </w:rPr>
        <w:t>6</w:t>
      </w:r>
      <w:r>
        <w:rPr>
          <w:bCs/>
          <w:sz w:val="24"/>
        </w:rPr>
        <w:t>个月</w:t>
      </w:r>
      <w:r>
        <w:rPr>
          <w:rFonts w:hint="eastAsia"/>
          <w:bCs/>
          <w:sz w:val="24"/>
        </w:rPr>
        <w:t>，若遇基金持有的有价证券出现长期休市、停牌或其他流通受限的情形除外。</w:t>
      </w:r>
    </w:p>
    <w:p w14:paraId="31DA22AC">
      <w:pPr>
        <w:spacing w:line="360" w:lineRule="auto"/>
        <w:ind w:firstLine="480" w:firstLineChars="200"/>
        <w:rPr>
          <w:bCs/>
          <w:sz w:val="24"/>
        </w:rPr>
      </w:pPr>
      <w:r>
        <w:rPr>
          <w:rFonts w:hint="eastAsia"/>
          <w:bCs/>
          <w:sz w:val="24"/>
        </w:rPr>
        <w:t>（</w:t>
      </w:r>
      <w:r>
        <w:rPr>
          <w:bCs/>
          <w:sz w:val="24"/>
        </w:rPr>
        <w:t>四</w:t>
      </w:r>
      <w:r>
        <w:rPr>
          <w:rFonts w:hint="eastAsia"/>
          <w:bCs/>
          <w:sz w:val="24"/>
        </w:rPr>
        <w:t>）</w:t>
      </w:r>
      <w:r>
        <w:rPr>
          <w:bCs/>
          <w:sz w:val="24"/>
        </w:rPr>
        <w:t>清算费用</w:t>
      </w:r>
    </w:p>
    <w:p w14:paraId="1870DFE0">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3D49617A">
      <w:pPr>
        <w:spacing w:line="360" w:lineRule="auto"/>
        <w:ind w:firstLine="480" w:firstLineChars="200"/>
        <w:rPr>
          <w:bCs/>
          <w:sz w:val="24"/>
        </w:rPr>
      </w:pPr>
      <w:r>
        <w:rPr>
          <w:rFonts w:hint="eastAsia"/>
          <w:bCs/>
          <w:sz w:val="24"/>
        </w:rPr>
        <w:t>（</w:t>
      </w:r>
      <w:r>
        <w:rPr>
          <w:bCs/>
          <w:sz w:val="24"/>
        </w:rPr>
        <w:t>五</w:t>
      </w:r>
      <w:r>
        <w:rPr>
          <w:rFonts w:hint="eastAsia"/>
          <w:bCs/>
          <w:sz w:val="24"/>
        </w:rPr>
        <w:t>）</w:t>
      </w:r>
      <w:r>
        <w:rPr>
          <w:bCs/>
          <w:sz w:val="24"/>
        </w:rPr>
        <w:t>基金财产清算剩余资产的分配</w:t>
      </w:r>
    </w:p>
    <w:p w14:paraId="432D5BA3">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3E215FA5">
      <w:pPr>
        <w:spacing w:line="360" w:lineRule="auto"/>
        <w:ind w:firstLine="480" w:firstLineChars="200"/>
        <w:rPr>
          <w:bCs/>
          <w:sz w:val="24"/>
        </w:rPr>
      </w:pPr>
      <w:r>
        <w:rPr>
          <w:rFonts w:hint="eastAsia"/>
          <w:bCs/>
          <w:sz w:val="24"/>
        </w:rPr>
        <w:t>（</w:t>
      </w:r>
      <w:r>
        <w:rPr>
          <w:bCs/>
          <w:sz w:val="24"/>
        </w:rPr>
        <w:t>六</w:t>
      </w:r>
      <w:r>
        <w:rPr>
          <w:rFonts w:hint="eastAsia"/>
          <w:bCs/>
          <w:sz w:val="24"/>
        </w:rPr>
        <w:t>）</w:t>
      </w:r>
      <w:r>
        <w:rPr>
          <w:bCs/>
          <w:sz w:val="24"/>
        </w:rPr>
        <w:t>基金财产清算的公告</w:t>
      </w:r>
    </w:p>
    <w:p w14:paraId="215F1835">
      <w:pPr>
        <w:spacing w:line="360" w:lineRule="auto"/>
        <w:ind w:firstLine="480" w:firstLineChars="200"/>
        <w:rPr>
          <w:bCs/>
          <w:sz w:val="24"/>
        </w:rPr>
      </w:pPr>
      <w:r>
        <w:rPr>
          <w:bCs/>
          <w:sz w:val="24"/>
        </w:rPr>
        <w:t>清算过程中的有关重大事项须及时公告；基金财产清算报告经会计师事务所审计并由律师事务所出具法律意见书后</w:t>
      </w:r>
      <w:r>
        <w:rPr>
          <w:rFonts w:hint="eastAsia"/>
          <w:bCs/>
          <w:sz w:val="24"/>
        </w:rPr>
        <w:t>，</w:t>
      </w:r>
      <w:r>
        <w:rPr>
          <w:bCs/>
          <w:sz w:val="24"/>
        </w:rPr>
        <w:t>报中国证监会备案并公告。基金财产清算公告于基金财产清算报告报中国证监会备案后</w:t>
      </w:r>
      <w:r>
        <w:rPr>
          <w:rFonts w:hint="eastAsia"/>
          <w:bCs/>
          <w:sz w:val="24"/>
        </w:rPr>
        <w:t>5</w:t>
      </w:r>
      <w:r>
        <w:rPr>
          <w:bCs/>
          <w:sz w:val="24"/>
        </w:rPr>
        <w:t>个工作日内由基金财产清算小组进行公告。</w:t>
      </w:r>
    </w:p>
    <w:p w14:paraId="583065DF">
      <w:pPr>
        <w:spacing w:line="360" w:lineRule="auto"/>
        <w:ind w:firstLine="480" w:firstLineChars="200"/>
        <w:rPr>
          <w:bCs/>
          <w:sz w:val="24"/>
        </w:rPr>
      </w:pPr>
      <w:r>
        <w:rPr>
          <w:rFonts w:hint="eastAsia"/>
          <w:bCs/>
          <w:sz w:val="24"/>
        </w:rPr>
        <w:t>（</w:t>
      </w:r>
      <w:r>
        <w:rPr>
          <w:bCs/>
          <w:sz w:val="24"/>
        </w:rPr>
        <w:t>七</w:t>
      </w:r>
      <w:r>
        <w:rPr>
          <w:rFonts w:hint="eastAsia"/>
          <w:bCs/>
          <w:sz w:val="24"/>
        </w:rPr>
        <w:t>）</w:t>
      </w:r>
      <w:r>
        <w:rPr>
          <w:bCs/>
          <w:sz w:val="24"/>
        </w:rPr>
        <w:t>基金财产清算账册及文件的保存</w:t>
      </w:r>
    </w:p>
    <w:p w14:paraId="53C0F3D4">
      <w:pPr>
        <w:spacing w:line="360" w:lineRule="auto"/>
        <w:ind w:firstLine="480" w:firstLineChars="200"/>
        <w:rPr>
          <w:rFonts w:hAnsi="宋体"/>
          <w:b/>
        </w:rPr>
      </w:pPr>
      <w:r>
        <w:rPr>
          <w:bCs/>
          <w:sz w:val="24"/>
        </w:rPr>
        <w:t>基金财产清算账册及有关文件由基金托管人保存</w:t>
      </w:r>
      <w:r>
        <w:rPr>
          <w:rFonts w:hint="eastAsia"/>
          <w:bCs/>
          <w:sz w:val="24"/>
        </w:rPr>
        <w:t>15</w:t>
      </w:r>
      <w:r>
        <w:rPr>
          <w:bCs/>
          <w:sz w:val="24"/>
        </w:rPr>
        <w:t>年以上。</w:t>
      </w:r>
    </w:p>
    <w:p w14:paraId="2C56E15C">
      <w:pPr>
        <w:pStyle w:val="38"/>
        <w:spacing w:afterLines="0"/>
        <w:ind w:firstLine="482"/>
        <w:outlineLvl w:val="0"/>
        <w:rPr>
          <w:b/>
        </w:rPr>
      </w:pPr>
      <w:r>
        <w:rPr>
          <w:rFonts w:hAnsi="宋体"/>
          <w:b/>
        </w:rPr>
        <w:t>八、</w:t>
      </w:r>
      <w:r>
        <w:rPr>
          <w:rFonts w:hint="eastAsia" w:hAnsi="宋体"/>
          <w:b/>
        </w:rPr>
        <w:t>争议解决方式</w:t>
      </w:r>
    </w:p>
    <w:p w14:paraId="1C105BFE">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w:t>
      </w:r>
      <w:r>
        <w:rPr>
          <w:rFonts w:ascii="宋体" w:hAnsi="宋体"/>
          <w:b/>
          <w:sz w:val="24"/>
        </w:rPr>
        <w:t>、律师费</w:t>
      </w:r>
      <w:r>
        <w:rPr>
          <w:rFonts w:hint="eastAsia" w:ascii="宋体" w:hAnsi="宋体"/>
          <w:b/>
          <w:sz w:val="24"/>
        </w:rPr>
        <w:t>由败诉方承担。</w:t>
      </w:r>
    </w:p>
    <w:p w14:paraId="3AA5E362">
      <w:pPr>
        <w:spacing w:line="360" w:lineRule="auto"/>
        <w:ind w:firstLine="480" w:firstLineChars="200"/>
        <w:rPr>
          <w:rFonts w:ascii="宋体" w:hAnsi="宋体"/>
          <w:sz w:val="24"/>
        </w:rPr>
      </w:pPr>
      <w:r>
        <w:rPr>
          <w:rFonts w:hint="eastAsia" w:ascii="宋体" w:hAnsi="宋体"/>
          <w:sz w:val="24"/>
        </w:rPr>
        <w:t>争议处理期间，双方当事人应恪守基金管理人和基金托管人职责，各自继续忠实、勤勉、尽责地履行基金合同规定的义务，维护基金份额持有人的合法权益。</w:t>
      </w:r>
    </w:p>
    <w:p w14:paraId="091104B7">
      <w:pPr>
        <w:spacing w:line="360" w:lineRule="auto"/>
        <w:ind w:firstLine="480" w:firstLineChars="200"/>
        <w:rPr>
          <w:bCs/>
          <w:sz w:val="24"/>
        </w:rPr>
      </w:pPr>
      <w:r>
        <w:rPr>
          <w:bCs/>
          <w:sz w:val="24"/>
        </w:rPr>
        <w:t>《基金合同》受中国法律管辖。</w:t>
      </w:r>
    </w:p>
    <w:p w14:paraId="6CEE9959">
      <w:pPr>
        <w:pStyle w:val="38"/>
        <w:spacing w:afterLines="0"/>
        <w:ind w:firstLine="482"/>
        <w:outlineLvl w:val="0"/>
      </w:pPr>
      <w:r>
        <w:rPr>
          <w:rFonts w:hAnsi="宋体"/>
          <w:b/>
        </w:rPr>
        <w:t>九、基金合同存放地和投资者取得基金合同的方式</w:t>
      </w:r>
    </w:p>
    <w:p w14:paraId="187DE65E">
      <w:pPr>
        <w:spacing w:line="360" w:lineRule="auto"/>
        <w:ind w:firstLine="480" w:firstLineChars="200"/>
        <w:rPr>
          <w:bCs/>
          <w:sz w:val="24"/>
        </w:rPr>
      </w:pPr>
      <w:r>
        <w:rPr>
          <w:bCs/>
          <w:sz w:val="24"/>
        </w:rPr>
        <w:t>《基金合同》正本一式六份，除上报有关监管机构一式二份外，基金管理人、基金托管人各持有二份，每份具有同等的法律效力。</w:t>
      </w:r>
    </w:p>
    <w:p w14:paraId="30FB6184">
      <w:pPr>
        <w:spacing w:line="360" w:lineRule="auto"/>
        <w:ind w:firstLine="480" w:firstLineChars="200"/>
        <w:rPr>
          <w:bCs/>
          <w:sz w:val="24"/>
        </w:rPr>
      </w:pPr>
      <w:r>
        <w:rPr>
          <w:bCs/>
          <w:sz w:val="24"/>
        </w:rPr>
        <w:t>《基金合同》可印制成册，供投资者在基金管理人、基金托管人、销售机构的办公场所和营业场所查阅</w:t>
      </w:r>
      <w:r>
        <w:rPr>
          <w:rFonts w:hint="eastAsia"/>
          <w:bCs/>
          <w:sz w:val="24"/>
        </w:rPr>
        <w:t>，但应以《基金合同》正本为准</w:t>
      </w:r>
      <w:r>
        <w:rPr>
          <w:bCs/>
          <w:sz w:val="24"/>
        </w:rPr>
        <w:t>。</w:t>
      </w:r>
    </w:p>
    <w:bookmarkEnd w:id="482"/>
    <w:bookmarkEnd w:id="483"/>
    <w:bookmarkEnd w:id="484"/>
    <w:p w14:paraId="36D8D5BA">
      <w:pPr>
        <w:pStyle w:val="2"/>
        <w:spacing w:before="0" w:after="0"/>
        <w:jc w:val="center"/>
      </w:pPr>
    </w:p>
    <w:bookmarkEnd w:id="67"/>
    <w:bookmarkEnd w:id="68"/>
    <w:p w14:paraId="378C1311"/>
    <w:p w14:paraId="384C0579">
      <w:pPr>
        <w:sectPr>
          <w:pgSz w:w="11906" w:h="16838"/>
          <w:pgMar w:top="1440" w:right="1800" w:bottom="1440" w:left="1800" w:header="851" w:footer="992" w:gutter="0"/>
          <w:pgNumType w:start="1"/>
          <w:cols w:space="720" w:num="1"/>
          <w:docGrid w:type="lines" w:linePitch="312" w:charSpace="0"/>
        </w:sectPr>
      </w:pPr>
    </w:p>
    <w:p w14:paraId="6CB74507">
      <w:pPr>
        <w:spacing w:after="120" w:line="360" w:lineRule="auto"/>
        <w:rPr>
          <w:sz w:val="28"/>
          <w:szCs w:val="28"/>
        </w:rPr>
      </w:pPr>
      <w:r>
        <w:rPr>
          <w:rFonts w:hAnsi="宋体"/>
          <w:sz w:val="28"/>
          <w:szCs w:val="28"/>
        </w:rPr>
        <w:t>本页无正文，为《交银施罗德股息优化混合型证券投资基金基金合同》的签字盖章页。</w:t>
      </w:r>
    </w:p>
    <w:p w14:paraId="4DE013C8">
      <w:pPr>
        <w:spacing w:line="360" w:lineRule="auto"/>
        <w:ind w:right="26"/>
        <w:rPr>
          <w:sz w:val="24"/>
          <w:szCs w:val="24"/>
        </w:rPr>
      </w:pPr>
    </w:p>
    <w:p w14:paraId="2863AB69">
      <w:pPr>
        <w:spacing w:line="360" w:lineRule="auto"/>
        <w:ind w:right="26"/>
        <w:rPr>
          <w:sz w:val="24"/>
          <w:szCs w:val="24"/>
        </w:rPr>
      </w:pPr>
    </w:p>
    <w:p w14:paraId="12B3A720">
      <w:pPr>
        <w:adjustRightInd w:val="0"/>
        <w:snapToGrid w:val="0"/>
        <w:spacing w:line="360" w:lineRule="auto"/>
        <w:rPr>
          <w:b/>
          <w:sz w:val="28"/>
          <w:szCs w:val="28"/>
        </w:rPr>
      </w:pPr>
      <w:r>
        <w:rPr>
          <w:rFonts w:hAnsi="宋体"/>
          <w:b/>
          <w:sz w:val="28"/>
          <w:szCs w:val="28"/>
        </w:rPr>
        <w:t>基金管理人：交银施罗德基金管理有限公司（公章）</w:t>
      </w:r>
    </w:p>
    <w:p w14:paraId="111F3126">
      <w:pPr>
        <w:adjustRightInd w:val="0"/>
        <w:snapToGrid w:val="0"/>
        <w:spacing w:line="360" w:lineRule="auto"/>
        <w:rPr>
          <w:b/>
          <w:sz w:val="28"/>
          <w:szCs w:val="28"/>
        </w:rPr>
      </w:pPr>
    </w:p>
    <w:p w14:paraId="74AD2CF5">
      <w:pPr>
        <w:adjustRightInd w:val="0"/>
        <w:snapToGrid w:val="0"/>
        <w:spacing w:line="360" w:lineRule="auto"/>
        <w:rPr>
          <w:b/>
          <w:sz w:val="28"/>
          <w:szCs w:val="28"/>
        </w:rPr>
      </w:pPr>
    </w:p>
    <w:p w14:paraId="32A2AF03">
      <w:pPr>
        <w:adjustRightInd w:val="0"/>
        <w:snapToGrid w:val="0"/>
        <w:spacing w:line="360" w:lineRule="auto"/>
        <w:rPr>
          <w:b/>
          <w:sz w:val="28"/>
          <w:szCs w:val="28"/>
        </w:rPr>
      </w:pPr>
    </w:p>
    <w:p w14:paraId="2620D13F">
      <w:pPr>
        <w:adjustRightInd w:val="0"/>
        <w:snapToGrid w:val="0"/>
        <w:spacing w:line="360" w:lineRule="auto"/>
        <w:rPr>
          <w:b/>
          <w:sz w:val="28"/>
          <w:szCs w:val="28"/>
        </w:rPr>
      </w:pPr>
      <w:r>
        <w:rPr>
          <w:rFonts w:hAnsi="宋体"/>
          <w:b/>
          <w:sz w:val="28"/>
          <w:szCs w:val="28"/>
        </w:rPr>
        <w:t>法定代表人或授权代理人：</w:t>
      </w:r>
    </w:p>
    <w:p w14:paraId="5408187B">
      <w:pPr>
        <w:adjustRightInd w:val="0"/>
        <w:snapToGrid w:val="0"/>
        <w:spacing w:line="360" w:lineRule="auto"/>
        <w:rPr>
          <w:b/>
          <w:sz w:val="28"/>
          <w:szCs w:val="28"/>
        </w:rPr>
      </w:pPr>
    </w:p>
    <w:p w14:paraId="55A0022C">
      <w:pPr>
        <w:adjustRightInd w:val="0"/>
        <w:snapToGrid w:val="0"/>
        <w:spacing w:line="360" w:lineRule="auto"/>
        <w:rPr>
          <w:b/>
          <w:sz w:val="28"/>
          <w:szCs w:val="28"/>
        </w:rPr>
      </w:pPr>
    </w:p>
    <w:p w14:paraId="76802381">
      <w:pPr>
        <w:adjustRightInd w:val="0"/>
        <w:snapToGrid w:val="0"/>
        <w:spacing w:line="360" w:lineRule="auto"/>
        <w:rPr>
          <w:b/>
          <w:sz w:val="28"/>
          <w:szCs w:val="28"/>
        </w:rPr>
      </w:pPr>
    </w:p>
    <w:p w14:paraId="2CDEFDAE">
      <w:pPr>
        <w:adjustRightInd w:val="0"/>
        <w:snapToGrid w:val="0"/>
        <w:spacing w:line="360" w:lineRule="auto"/>
        <w:rPr>
          <w:b/>
          <w:sz w:val="28"/>
          <w:szCs w:val="28"/>
        </w:rPr>
      </w:pPr>
    </w:p>
    <w:p w14:paraId="01B6D2C2">
      <w:pPr>
        <w:adjustRightInd w:val="0"/>
        <w:snapToGrid w:val="0"/>
        <w:spacing w:line="360" w:lineRule="auto"/>
        <w:rPr>
          <w:b/>
          <w:sz w:val="28"/>
          <w:szCs w:val="28"/>
        </w:rPr>
      </w:pPr>
    </w:p>
    <w:p w14:paraId="5DC00815">
      <w:pPr>
        <w:adjustRightInd w:val="0"/>
        <w:snapToGrid w:val="0"/>
        <w:spacing w:line="360" w:lineRule="auto"/>
        <w:rPr>
          <w:b/>
          <w:sz w:val="28"/>
          <w:szCs w:val="28"/>
        </w:rPr>
      </w:pPr>
      <w:r>
        <w:rPr>
          <w:rFonts w:hAnsi="宋体"/>
          <w:b/>
          <w:sz w:val="28"/>
          <w:szCs w:val="28"/>
        </w:rPr>
        <w:t>基金托管人：</w:t>
      </w:r>
      <w:r>
        <w:rPr>
          <w:rFonts w:hint="eastAsia"/>
          <w:b/>
          <w:sz w:val="28"/>
          <w:szCs w:val="28"/>
        </w:rPr>
        <w:t>中国建设</w:t>
      </w:r>
      <w:r>
        <w:rPr>
          <w:rFonts w:hAnsi="宋体"/>
          <w:b/>
          <w:sz w:val="28"/>
          <w:szCs w:val="28"/>
        </w:rPr>
        <w:t>银行股份有限公司（</w:t>
      </w:r>
      <w:r>
        <w:rPr>
          <w:rFonts w:hint="eastAsia" w:hAnsi="宋体"/>
          <w:b/>
          <w:sz w:val="28"/>
          <w:szCs w:val="28"/>
        </w:rPr>
        <w:t>盖</w:t>
      </w:r>
      <w:r>
        <w:rPr>
          <w:rFonts w:hAnsi="宋体"/>
          <w:b/>
          <w:sz w:val="28"/>
          <w:szCs w:val="28"/>
        </w:rPr>
        <w:t>章）</w:t>
      </w:r>
    </w:p>
    <w:p w14:paraId="2B0302E5">
      <w:pPr>
        <w:adjustRightInd w:val="0"/>
        <w:snapToGrid w:val="0"/>
        <w:spacing w:line="360" w:lineRule="auto"/>
        <w:rPr>
          <w:b/>
          <w:sz w:val="28"/>
          <w:szCs w:val="28"/>
        </w:rPr>
      </w:pPr>
    </w:p>
    <w:p w14:paraId="2D92DFF0">
      <w:pPr>
        <w:adjustRightInd w:val="0"/>
        <w:snapToGrid w:val="0"/>
        <w:spacing w:line="360" w:lineRule="auto"/>
        <w:rPr>
          <w:b/>
          <w:sz w:val="28"/>
          <w:szCs w:val="28"/>
        </w:rPr>
      </w:pPr>
    </w:p>
    <w:p w14:paraId="76A5BE5F">
      <w:pPr>
        <w:adjustRightInd w:val="0"/>
        <w:snapToGrid w:val="0"/>
        <w:spacing w:line="360" w:lineRule="auto"/>
        <w:rPr>
          <w:b/>
          <w:sz w:val="28"/>
          <w:szCs w:val="28"/>
        </w:rPr>
      </w:pPr>
    </w:p>
    <w:p w14:paraId="4F852797">
      <w:pPr>
        <w:adjustRightInd w:val="0"/>
        <w:snapToGrid w:val="0"/>
        <w:spacing w:line="360" w:lineRule="auto"/>
        <w:rPr>
          <w:b/>
          <w:sz w:val="28"/>
          <w:szCs w:val="28"/>
        </w:rPr>
      </w:pPr>
      <w:r>
        <w:rPr>
          <w:rFonts w:hAnsi="宋体"/>
          <w:b/>
          <w:sz w:val="28"/>
          <w:szCs w:val="28"/>
        </w:rPr>
        <w:t>法定代表人或授权代理人：</w:t>
      </w:r>
    </w:p>
    <w:p w14:paraId="424CA70B">
      <w:pPr>
        <w:adjustRightInd w:val="0"/>
        <w:snapToGrid w:val="0"/>
        <w:spacing w:line="360" w:lineRule="auto"/>
        <w:rPr>
          <w:b/>
          <w:sz w:val="28"/>
          <w:szCs w:val="28"/>
        </w:rPr>
      </w:pPr>
    </w:p>
    <w:p w14:paraId="11B12D03">
      <w:pPr>
        <w:adjustRightInd w:val="0"/>
        <w:snapToGrid w:val="0"/>
        <w:spacing w:line="360" w:lineRule="auto"/>
        <w:rPr>
          <w:b/>
          <w:sz w:val="28"/>
          <w:szCs w:val="28"/>
        </w:rPr>
      </w:pPr>
    </w:p>
    <w:p w14:paraId="551881AA">
      <w:pPr>
        <w:adjustRightInd w:val="0"/>
        <w:snapToGrid w:val="0"/>
        <w:spacing w:line="360" w:lineRule="auto"/>
        <w:rPr>
          <w:b/>
          <w:sz w:val="28"/>
          <w:szCs w:val="28"/>
        </w:rPr>
      </w:pPr>
    </w:p>
    <w:p w14:paraId="28332BBA">
      <w:pPr>
        <w:adjustRightInd w:val="0"/>
        <w:snapToGrid w:val="0"/>
        <w:spacing w:line="360" w:lineRule="auto"/>
        <w:rPr>
          <w:b/>
          <w:sz w:val="28"/>
          <w:szCs w:val="28"/>
        </w:rPr>
      </w:pPr>
      <w:r>
        <w:rPr>
          <w:rFonts w:hAnsi="宋体"/>
          <w:b/>
          <w:sz w:val="28"/>
          <w:szCs w:val="28"/>
        </w:rPr>
        <w:t>签订地点：北京</w:t>
      </w:r>
    </w:p>
    <w:p w14:paraId="4E2157A9">
      <w:pPr>
        <w:spacing w:after="120" w:line="360" w:lineRule="auto"/>
        <w:rPr>
          <w:bCs/>
        </w:rPr>
      </w:pPr>
      <w:r>
        <w:rPr>
          <w:rFonts w:hAnsi="宋体"/>
          <w:b/>
          <w:sz w:val="28"/>
          <w:szCs w:val="28"/>
        </w:rPr>
        <w:t>签订日：</w:t>
      </w:r>
      <w:r>
        <w:rPr>
          <w:rFonts w:hint="eastAsia"/>
          <w:b/>
          <w:sz w:val="28"/>
          <w:szCs w:val="28"/>
        </w:rPr>
        <w:t xml:space="preserve">  </w:t>
      </w:r>
      <w:r>
        <w:rPr>
          <w:b/>
          <w:sz w:val="28"/>
          <w:szCs w:val="28"/>
        </w:rPr>
        <w:t>年</w:t>
      </w:r>
      <w:r>
        <w:rPr>
          <w:rFonts w:hint="eastAsia"/>
          <w:b/>
          <w:sz w:val="28"/>
          <w:szCs w:val="28"/>
        </w:rPr>
        <w:t xml:space="preserve">  </w:t>
      </w:r>
      <w:r>
        <w:rPr>
          <w:b/>
          <w:sz w:val="28"/>
          <w:szCs w:val="28"/>
        </w:rPr>
        <w:t>月</w:t>
      </w:r>
      <w:r>
        <w:rPr>
          <w:rFonts w:hint="eastAsia"/>
          <w:b/>
          <w:sz w:val="28"/>
          <w:szCs w:val="28"/>
        </w:rPr>
        <w:t xml:space="preserve">  </w:t>
      </w:r>
      <w:r>
        <w:rPr>
          <w:b/>
          <w:sz w:val="28"/>
          <w:szCs w:val="28"/>
        </w:rPr>
        <w:t>日</w:t>
      </w:r>
    </w:p>
    <w:sectPr>
      <w:headerReference r:id="rId9" w:type="default"/>
      <w:footerReference r:id="rId10"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5FB1E">
    <w:pPr>
      <w:pStyle w:val="13"/>
      <w:framePr w:wrap="around" w:vAnchor="text" w:hAnchor="margin" w:xAlign="center" w:yAlign="top"/>
      <w:pBdr>
        <w:between w:val="none" w:color="auto" w:sz="0" w:space="0"/>
      </w:pBdr>
    </w:pPr>
    <w:r>
      <w:rPr>
        <w:rFonts w:hint="eastAsia"/>
      </w:rPr>
      <w:fldChar w:fldCharType="begin"/>
    </w:r>
    <w:r>
      <w:rPr>
        <w:rStyle w:val="24"/>
        <w:rFonts w:hint="eastAsia"/>
      </w:rPr>
      <w:instrText xml:space="preserve"> PAGE  </w:instrText>
    </w:r>
    <w:r>
      <w:rPr>
        <w:rFonts w:hint="eastAsia"/>
      </w:rPr>
      <w:fldChar w:fldCharType="separate"/>
    </w:r>
    <w:r>
      <w:rPr>
        <w:rStyle w:val="24"/>
      </w:rPr>
      <w:t>1</w:t>
    </w:r>
    <w:r>
      <w:rPr>
        <w:rFonts w:hint="eastAsia"/>
      </w:rPr>
      <w:fldChar w:fldCharType="end"/>
    </w:r>
  </w:p>
  <w:p w14:paraId="2DEF8A23">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B2957">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A16CE">
    <w:pPr>
      <w:pStyle w:val="13"/>
      <w:pBdr>
        <w:between w:val="none" w:color="auto" w:sz="0" w:space="0"/>
      </w:pBdr>
    </w:pPr>
  </w:p>
  <w:p w14:paraId="1809C7FC">
    <w:pPr>
      <w:pStyle w:val="13"/>
      <w:pBdr>
        <w:between w:val="none" w:color="auto" w:sz="0" w:space="0"/>
      </w:pBdr>
    </w:pPr>
  </w:p>
  <w:p w14:paraId="4A49DEA5">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095D6">
    <w:pPr>
      <w:pStyle w:val="13"/>
      <w:jc w:val="center"/>
      <w:rPr>
        <w:rFonts w:ascii="宋体" w:hAns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FFF7">
    <w:pPr>
      <w:pStyle w:val="14"/>
      <w:pBdr>
        <w:bottom w:val="thickThinLargeGap" w:color="auto" w:sz="24" w:space="10"/>
      </w:pBdr>
      <w:tabs>
        <w:tab w:val="right" w:pos="8280"/>
      </w:tabs>
      <w:wordWrap w:val="0"/>
      <w:adjustRightInd w:val="0"/>
      <w:jc w:val="both"/>
    </w:pPr>
    <w:r>
      <w:rPr>
        <w:rFonts w:hint="eastAsia"/>
        <w:color w:val="000000"/>
      </w:rPr>
      <w:t>XXXX</w:t>
    </w:r>
    <w:r>
      <w:rPr>
        <w:rFonts w:hint="eastAsia"/>
      </w:rPr>
      <w:t>证券投资基金募集申请材料－基金合同（草案）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0E7D9">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853D2">
    <w:pPr>
      <w:pStyle w:val="14"/>
      <w:pBdr>
        <w:bottom w:val="thickThinLargeGap" w:color="auto" w:sz="24" w:space="2"/>
      </w:pBdr>
      <w:tabs>
        <w:tab w:val="right" w:pos="8280"/>
      </w:tabs>
      <w:wordWrap w:val="0"/>
      <w:adjustRightInd w:val="0"/>
      <w:jc w:val="right"/>
    </w:pPr>
    <w:r>
      <w:rPr>
        <w:rFonts w:hint="eastAsia"/>
        <w:szCs w:val="18"/>
      </w:rPr>
      <w:t>交银施罗德股息优化混合型证券投资基金基金合同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D7E8E">
    <w:pPr>
      <w:pStyle w:val="14"/>
      <w:pBdr>
        <w:bottom w:val="thickThinLargeGap" w:color="auto" w:sz="24" w:space="2"/>
      </w:pBdr>
      <w:tabs>
        <w:tab w:val="right" w:pos="8280"/>
      </w:tabs>
      <w:wordWrap w:val="0"/>
      <w:adjustRightInd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718D4"/>
    <w:multiLevelType w:val="multilevel"/>
    <w:tmpl w:val="13B718D4"/>
    <w:lvl w:ilvl="0" w:tentative="0">
      <w:start w:val="1"/>
      <w:numFmt w:val="decimal"/>
      <w:pStyle w:val="49"/>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BE"/>
    <w:rsid w:val="00000E2D"/>
    <w:rsid w:val="000010A1"/>
    <w:rsid w:val="00001331"/>
    <w:rsid w:val="00001B54"/>
    <w:rsid w:val="00001F5E"/>
    <w:rsid w:val="00010C28"/>
    <w:rsid w:val="000139C9"/>
    <w:rsid w:val="00021B46"/>
    <w:rsid w:val="00021EA7"/>
    <w:rsid w:val="0002212D"/>
    <w:rsid w:val="000221EA"/>
    <w:rsid w:val="00023D39"/>
    <w:rsid w:val="0002668D"/>
    <w:rsid w:val="0002745F"/>
    <w:rsid w:val="00030188"/>
    <w:rsid w:val="0003639C"/>
    <w:rsid w:val="0003684C"/>
    <w:rsid w:val="00037321"/>
    <w:rsid w:val="000373B5"/>
    <w:rsid w:val="00037DB8"/>
    <w:rsid w:val="00040BC4"/>
    <w:rsid w:val="0004163B"/>
    <w:rsid w:val="00041E5F"/>
    <w:rsid w:val="00042967"/>
    <w:rsid w:val="00043A57"/>
    <w:rsid w:val="00047561"/>
    <w:rsid w:val="000500BD"/>
    <w:rsid w:val="0005075D"/>
    <w:rsid w:val="00053164"/>
    <w:rsid w:val="00053AD3"/>
    <w:rsid w:val="00056205"/>
    <w:rsid w:val="000570CE"/>
    <w:rsid w:val="000624D8"/>
    <w:rsid w:val="0006276F"/>
    <w:rsid w:val="00062AD0"/>
    <w:rsid w:val="0006356A"/>
    <w:rsid w:val="000638A8"/>
    <w:rsid w:val="00064D95"/>
    <w:rsid w:val="00065E71"/>
    <w:rsid w:val="000719AC"/>
    <w:rsid w:val="000809D2"/>
    <w:rsid w:val="00080F61"/>
    <w:rsid w:val="00082458"/>
    <w:rsid w:val="000824F9"/>
    <w:rsid w:val="00082506"/>
    <w:rsid w:val="0008457F"/>
    <w:rsid w:val="00085208"/>
    <w:rsid w:val="000854C2"/>
    <w:rsid w:val="00085E99"/>
    <w:rsid w:val="00091945"/>
    <w:rsid w:val="000931CB"/>
    <w:rsid w:val="00095628"/>
    <w:rsid w:val="00096E4F"/>
    <w:rsid w:val="00097C38"/>
    <w:rsid w:val="000A47B4"/>
    <w:rsid w:val="000A4DE5"/>
    <w:rsid w:val="000A631F"/>
    <w:rsid w:val="000A73E4"/>
    <w:rsid w:val="000A7EF0"/>
    <w:rsid w:val="000B06A0"/>
    <w:rsid w:val="000B212A"/>
    <w:rsid w:val="000B3084"/>
    <w:rsid w:val="000C0F2E"/>
    <w:rsid w:val="000C10A0"/>
    <w:rsid w:val="000C175B"/>
    <w:rsid w:val="000C2206"/>
    <w:rsid w:val="000C34DF"/>
    <w:rsid w:val="000C418E"/>
    <w:rsid w:val="000C7C28"/>
    <w:rsid w:val="000D3E50"/>
    <w:rsid w:val="000D3F1E"/>
    <w:rsid w:val="000D6BA4"/>
    <w:rsid w:val="000D777A"/>
    <w:rsid w:val="000D7C64"/>
    <w:rsid w:val="000D7E28"/>
    <w:rsid w:val="000E0B11"/>
    <w:rsid w:val="000E1A92"/>
    <w:rsid w:val="000E26B7"/>
    <w:rsid w:val="000E4AAB"/>
    <w:rsid w:val="000E6621"/>
    <w:rsid w:val="000E7730"/>
    <w:rsid w:val="000F0DC6"/>
    <w:rsid w:val="000F0FA1"/>
    <w:rsid w:val="000F12CB"/>
    <w:rsid w:val="000F203B"/>
    <w:rsid w:val="000F4D28"/>
    <w:rsid w:val="000F6B62"/>
    <w:rsid w:val="000F7291"/>
    <w:rsid w:val="00100AEB"/>
    <w:rsid w:val="00101A40"/>
    <w:rsid w:val="00104095"/>
    <w:rsid w:val="001107DF"/>
    <w:rsid w:val="001139E9"/>
    <w:rsid w:val="0011499A"/>
    <w:rsid w:val="001177D6"/>
    <w:rsid w:val="00120993"/>
    <w:rsid w:val="00121E55"/>
    <w:rsid w:val="00124A82"/>
    <w:rsid w:val="001253C9"/>
    <w:rsid w:val="00125D02"/>
    <w:rsid w:val="001274F5"/>
    <w:rsid w:val="0012791E"/>
    <w:rsid w:val="00130AE3"/>
    <w:rsid w:val="00130AF4"/>
    <w:rsid w:val="00130D1C"/>
    <w:rsid w:val="0013197C"/>
    <w:rsid w:val="00131A08"/>
    <w:rsid w:val="00132149"/>
    <w:rsid w:val="001327CB"/>
    <w:rsid w:val="0013308C"/>
    <w:rsid w:val="001331EF"/>
    <w:rsid w:val="00133CA1"/>
    <w:rsid w:val="0014024A"/>
    <w:rsid w:val="00140BDE"/>
    <w:rsid w:val="00141F55"/>
    <w:rsid w:val="00143DE3"/>
    <w:rsid w:val="00144AA8"/>
    <w:rsid w:val="00146683"/>
    <w:rsid w:val="00146D15"/>
    <w:rsid w:val="00147C2C"/>
    <w:rsid w:val="00147DFE"/>
    <w:rsid w:val="001526E2"/>
    <w:rsid w:val="00154239"/>
    <w:rsid w:val="00156198"/>
    <w:rsid w:val="00156A4C"/>
    <w:rsid w:val="00160959"/>
    <w:rsid w:val="001634B6"/>
    <w:rsid w:val="001650B6"/>
    <w:rsid w:val="001661B7"/>
    <w:rsid w:val="0016625E"/>
    <w:rsid w:val="0016715A"/>
    <w:rsid w:val="001712F2"/>
    <w:rsid w:val="001718B4"/>
    <w:rsid w:val="00171A56"/>
    <w:rsid w:val="00171AC4"/>
    <w:rsid w:val="00172A27"/>
    <w:rsid w:val="00172A2F"/>
    <w:rsid w:val="0017414F"/>
    <w:rsid w:val="001744B4"/>
    <w:rsid w:val="00176DF1"/>
    <w:rsid w:val="00180120"/>
    <w:rsid w:val="00181444"/>
    <w:rsid w:val="00184507"/>
    <w:rsid w:val="001854E6"/>
    <w:rsid w:val="0018561B"/>
    <w:rsid w:val="00185949"/>
    <w:rsid w:val="0018670C"/>
    <w:rsid w:val="00187BFC"/>
    <w:rsid w:val="00187CE7"/>
    <w:rsid w:val="00191A92"/>
    <w:rsid w:val="0019221F"/>
    <w:rsid w:val="00194D89"/>
    <w:rsid w:val="001961B7"/>
    <w:rsid w:val="001A0DC4"/>
    <w:rsid w:val="001A1003"/>
    <w:rsid w:val="001A2E30"/>
    <w:rsid w:val="001A4175"/>
    <w:rsid w:val="001B1697"/>
    <w:rsid w:val="001B1A11"/>
    <w:rsid w:val="001B1C75"/>
    <w:rsid w:val="001B1D6E"/>
    <w:rsid w:val="001B24B3"/>
    <w:rsid w:val="001B6D31"/>
    <w:rsid w:val="001B7A80"/>
    <w:rsid w:val="001C3B00"/>
    <w:rsid w:val="001C4E47"/>
    <w:rsid w:val="001D254A"/>
    <w:rsid w:val="001D2A5D"/>
    <w:rsid w:val="001D585F"/>
    <w:rsid w:val="001D76EB"/>
    <w:rsid w:val="001E1691"/>
    <w:rsid w:val="001E2E79"/>
    <w:rsid w:val="001E317D"/>
    <w:rsid w:val="001E3F26"/>
    <w:rsid w:val="001E4054"/>
    <w:rsid w:val="001E4B83"/>
    <w:rsid w:val="001E5A3A"/>
    <w:rsid w:val="001E5EFE"/>
    <w:rsid w:val="001E6AF7"/>
    <w:rsid w:val="001F1839"/>
    <w:rsid w:val="001F283C"/>
    <w:rsid w:val="001F3FB9"/>
    <w:rsid w:val="001F420F"/>
    <w:rsid w:val="001F636F"/>
    <w:rsid w:val="001F7365"/>
    <w:rsid w:val="002008B4"/>
    <w:rsid w:val="00200BB6"/>
    <w:rsid w:val="0020259E"/>
    <w:rsid w:val="0020294D"/>
    <w:rsid w:val="0020457E"/>
    <w:rsid w:val="00207183"/>
    <w:rsid w:val="002118E2"/>
    <w:rsid w:val="00211C68"/>
    <w:rsid w:val="002122FF"/>
    <w:rsid w:val="002132FB"/>
    <w:rsid w:val="00214292"/>
    <w:rsid w:val="00215005"/>
    <w:rsid w:val="0021501F"/>
    <w:rsid w:val="00215B98"/>
    <w:rsid w:val="002168BA"/>
    <w:rsid w:val="0022414F"/>
    <w:rsid w:val="002245A7"/>
    <w:rsid w:val="00224AD4"/>
    <w:rsid w:val="00226F88"/>
    <w:rsid w:val="002317E4"/>
    <w:rsid w:val="00232C0F"/>
    <w:rsid w:val="0023349A"/>
    <w:rsid w:val="00234F7F"/>
    <w:rsid w:val="0024147B"/>
    <w:rsid w:val="00241F99"/>
    <w:rsid w:val="002443D4"/>
    <w:rsid w:val="002447D9"/>
    <w:rsid w:val="00245301"/>
    <w:rsid w:val="00245612"/>
    <w:rsid w:val="00247A40"/>
    <w:rsid w:val="00247D4E"/>
    <w:rsid w:val="002505B1"/>
    <w:rsid w:val="00251F23"/>
    <w:rsid w:val="00255955"/>
    <w:rsid w:val="00256426"/>
    <w:rsid w:val="00256A54"/>
    <w:rsid w:val="00256E5E"/>
    <w:rsid w:val="00261986"/>
    <w:rsid w:val="002623BC"/>
    <w:rsid w:val="0026365D"/>
    <w:rsid w:val="00266321"/>
    <w:rsid w:val="002672FB"/>
    <w:rsid w:val="00267DC3"/>
    <w:rsid w:val="00270C06"/>
    <w:rsid w:val="002714BF"/>
    <w:rsid w:val="00272EC0"/>
    <w:rsid w:val="002743DB"/>
    <w:rsid w:val="0027793E"/>
    <w:rsid w:val="00280A97"/>
    <w:rsid w:val="002820B3"/>
    <w:rsid w:val="002828AF"/>
    <w:rsid w:val="00285D93"/>
    <w:rsid w:val="00286B5A"/>
    <w:rsid w:val="00291DDF"/>
    <w:rsid w:val="00292909"/>
    <w:rsid w:val="00293A8B"/>
    <w:rsid w:val="00294085"/>
    <w:rsid w:val="002963C6"/>
    <w:rsid w:val="00296C8D"/>
    <w:rsid w:val="002A0B85"/>
    <w:rsid w:val="002A3571"/>
    <w:rsid w:val="002A375A"/>
    <w:rsid w:val="002A6197"/>
    <w:rsid w:val="002A7264"/>
    <w:rsid w:val="002A7CAB"/>
    <w:rsid w:val="002B1792"/>
    <w:rsid w:val="002B30D5"/>
    <w:rsid w:val="002B3DC1"/>
    <w:rsid w:val="002B42E0"/>
    <w:rsid w:val="002B57DB"/>
    <w:rsid w:val="002B7E98"/>
    <w:rsid w:val="002C1C6A"/>
    <w:rsid w:val="002C43DB"/>
    <w:rsid w:val="002C5099"/>
    <w:rsid w:val="002C50CF"/>
    <w:rsid w:val="002C62A8"/>
    <w:rsid w:val="002C6DE3"/>
    <w:rsid w:val="002C7980"/>
    <w:rsid w:val="002D2ECA"/>
    <w:rsid w:val="002D4EAC"/>
    <w:rsid w:val="002D6C58"/>
    <w:rsid w:val="002E0DAA"/>
    <w:rsid w:val="002E0DF1"/>
    <w:rsid w:val="002E1C25"/>
    <w:rsid w:val="002E1E98"/>
    <w:rsid w:val="002E54A4"/>
    <w:rsid w:val="002E5861"/>
    <w:rsid w:val="002E5FCE"/>
    <w:rsid w:val="002F018A"/>
    <w:rsid w:val="002F0E82"/>
    <w:rsid w:val="002F1147"/>
    <w:rsid w:val="002F2442"/>
    <w:rsid w:val="003001A3"/>
    <w:rsid w:val="0030040A"/>
    <w:rsid w:val="00300788"/>
    <w:rsid w:val="00301D76"/>
    <w:rsid w:val="003020E2"/>
    <w:rsid w:val="003055EC"/>
    <w:rsid w:val="00305813"/>
    <w:rsid w:val="00306FD2"/>
    <w:rsid w:val="00311D13"/>
    <w:rsid w:val="003136A7"/>
    <w:rsid w:val="00313F4F"/>
    <w:rsid w:val="003143FB"/>
    <w:rsid w:val="00316AD1"/>
    <w:rsid w:val="00316B1F"/>
    <w:rsid w:val="0032117A"/>
    <w:rsid w:val="00322193"/>
    <w:rsid w:val="00323486"/>
    <w:rsid w:val="00325523"/>
    <w:rsid w:val="00325C83"/>
    <w:rsid w:val="0032665E"/>
    <w:rsid w:val="0032770D"/>
    <w:rsid w:val="00330509"/>
    <w:rsid w:val="00332853"/>
    <w:rsid w:val="003339CF"/>
    <w:rsid w:val="003351A4"/>
    <w:rsid w:val="00342AE3"/>
    <w:rsid w:val="00344620"/>
    <w:rsid w:val="003447B5"/>
    <w:rsid w:val="00344B64"/>
    <w:rsid w:val="0035393A"/>
    <w:rsid w:val="00355F56"/>
    <w:rsid w:val="00360C6E"/>
    <w:rsid w:val="00360C8E"/>
    <w:rsid w:val="003631C3"/>
    <w:rsid w:val="00370449"/>
    <w:rsid w:val="00371618"/>
    <w:rsid w:val="00371948"/>
    <w:rsid w:val="00371F08"/>
    <w:rsid w:val="0037393C"/>
    <w:rsid w:val="003762DD"/>
    <w:rsid w:val="00377E15"/>
    <w:rsid w:val="003842BD"/>
    <w:rsid w:val="00384A6E"/>
    <w:rsid w:val="00387065"/>
    <w:rsid w:val="003913B7"/>
    <w:rsid w:val="00394335"/>
    <w:rsid w:val="003949B3"/>
    <w:rsid w:val="00396981"/>
    <w:rsid w:val="00397B72"/>
    <w:rsid w:val="003A1372"/>
    <w:rsid w:val="003A18E5"/>
    <w:rsid w:val="003A21C2"/>
    <w:rsid w:val="003A4A80"/>
    <w:rsid w:val="003A4F6D"/>
    <w:rsid w:val="003B0856"/>
    <w:rsid w:val="003B3922"/>
    <w:rsid w:val="003B724A"/>
    <w:rsid w:val="003B7DF9"/>
    <w:rsid w:val="003C0685"/>
    <w:rsid w:val="003C0FFD"/>
    <w:rsid w:val="003C205C"/>
    <w:rsid w:val="003C22C8"/>
    <w:rsid w:val="003C3454"/>
    <w:rsid w:val="003C401E"/>
    <w:rsid w:val="003C45FC"/>
    <w:rsid w:val="003C4B92"/>
    <w:rsid w:val="003D0674"/>
    <w:rsid w:val="003D167F"/>
    <w:rsid w:val="003D1951"/>
    <w:rsid w:val="003D2D53"/>
    <w:rsid w:val="003D46ED"/>
    <w:rsid w:val="003D7BE1"/>
    <w:rsid w:val="003E2109"/>
    <w:rsid w:val="003E4FE0"/>
    <w:rsid w:val="003E5530"/>
    <w:rsid w:val="003E6B7F"/>
    <w:rsid w:val="003F1328"/>
    <w:rsid w:val="003F13E5"/>
    <w:rsid w:val="003F3767"/>
    <w:rsid w:val="003F6735"/>
    <w:rsid w:val="003F7C3C"/>
    <w:rsid w:val="004008BE"/>
    <w:rsid w:val="00401EEB"/>
    <w:rsid w:val="0040528F"/>
    <w:rsid w:val="00405B67"/>
    <w:rsid w:val="0040630E"/>
    <w:rsid w:val="00407A57"/>
    <w:rsid w:val="00410C1F"/>
    <w:rsid w:val="00412A18"/>
    <w:rsid w:val="00416BF3"/>
    <w:rsid w:val="004214A7"/>
    <w:rsid w:val="00426BC5"/>
    <w:rsid w:val="00435B21"/>
    <w:rsid w:val="00435D26"/>
    <w:rsid w:val="00435E60"/>
    <w:rsid w:val="0043615E"/>
    <w:rsid w:val="00437373"/>
    <w:rsid w:val="00437379"/>
    <w:rsid w:val="0044617C"/>
    <w:rsid w:val="004461C2"/>
    <w:rsid w:val="00451715"/>
    <w:rsid w:val="004528AB"/>
    <w:rsid w:val="00452B58"/>
    <w:rsid w:val="00452EA1"/>
    <w:rsid w:val="00453ECA"/>
    <w:rsid w:val="00461034"/>
    <w:rsid w:val="00463373"/>
    <w:rsid w:val="00463400"/>
    <w:rsid w:val="00466113"/>
    <w:rsid w:val="0046624B"/>
    <w:rsid w:val="00470201"/>
    <w:rsid w:val="00470615"/>
    <w:rsid w:val="0047139C"/>
    <w:rsid w:val="00476A5F"/>
    <w:rsid w:val="00477809"/>
    <w:rsid w:val="00477952"/>
    <w:rsid w:val="00477A2C"/>
    <w:rsid w:val="00484F87"/>
    <w:rsid w:val="004850B4"/>
    <w:rsid w:val="00486A5C"/>
    <w:rsid w:val="00487690"/>
    <w:rsid w:val="004918D9"/>
    <w:rsid w:val="004933D2"/>
    <w:rsid w:val="00495DCB"/>
    <w:rsid w:val="00496263"/>
    <w:rsid w:val="00497A82"/>
    <w:rsid w:val="00497D50"/>
    <w:rsid w:val="004A077C"/>
    <w:rsid w:val="004A2874"/>
    <w:rsid w:val="004A4E0A"/>
    <w:rsid w:val="004A59B7"/>
    <w:rsid w:val="004A73FC"/>
    <w:rsid w:val="004B0E37"/>
    <w:rsid w:val="004B145A"/>
    <w:rsid w:val="004B2B5A"/>
    <w:rsid w:val="004B56E3"/>
    <w:rsid w:val="004B62CB"/>
    <w:rsid w:val="004C0631"/>
    <w:rsid w:val="004C2148"/>
    <w:rsid w:val="004C4B55"/>
    <w:rsid w:val="004C7402"/>
    <w:rsid w:val="004D01ED"/>
    <w:rsid w:val="004D0EE9"/>
    <w:rsid w:val="004D3B06"/>
    <w:rsid w:val="004D5048"/>
    <w:rsid w:val="004E065A"/>
    <w:rsid w:val="004E2388"/>
    <w:rsid w:val="004E2507"/>
    <w:rsid w:val="004F3D00"/>
    <w:rsid w:val="004F531F"/>
    <w:rsid w:val="004F5A2E"/>
    <w:rsid w:val="004F7A11"/>
    <w:rsid w:val="00502561"/>
    <w:rsid w:val="005026F0"/>
    <w:rsid w:val="00506E4D"/>
    <w:rsid w:val="00507054"/>
    <w:rsid w:val="005105A5"/>
    <w:rsid w:val="00513813"/>
    <w:rsid w:val="00514139"/>
    <w:rsid w:val="00517222"/>
    <w:rsid w:val="00517D2A"/>
    <w:rsid w:val="005230D6"/>
    <w:rsid w:val="00523C6C"/>
    <w:rsid w:val="0052408B"/>
    <w:rsid w:val="00526151"/>
    <w:rsid w:val="00526E9B"/>
    <w:rsid w:val="005327A8"/>
    <w:rsid w:val="00534986"/>
    <w:rsid w:val="00537A06"/>
    <w:rsid w:val="00537FBB"/>
    <w:rsid w:val="00545B2B"/>
    <w:rsid w:val="0054686E"/>
    <w:rsid w:val="005506C4"/>
    <w:rsid w:val="00553DCC"/>
    <w:rsid w:val="005548D9"/>
    <w:rsid w:val="005563B6"/>
    <w:rsid w:val="00556A73"/>
    <w:rsid w:val="00556FCD"/>
    <w:rsid w:val="00560833"/>
    <w:rsid w:val="005622FD"/>
    <w:rsid w:val="005625C3"/>
    <w:rsid w:val="00562B20"/>
    <w:rsid w:val="005641D9"/>
    <w:rsid w:val="00565BD3"/>
    <w:rsid w:val="00570F73"/>
    <w:rsid w:val="00571035"/>
    <w:rsid w:val="005717AC"/>
    <w:rsid w:val="00571A2B"/>
    <w:rsid w:val="00571B29"/>
    <w:rsid w:val="0057562A"/>
    <w:rsid w:val="00575C6A"/>
    <w:rsid w:val="0057680D"/>
    <w:rsid w:val="00577B0C"/>
    <w:rsid w:val="0058045B"/>
    <w:rsid w:val="005818B5"/>
    <w:rsid w:val="00581D78"/>
    <w:rsid w:val="0058244E"/>
    <w:rsid w:val="0058568C"/>
    <w:rsid w:val="00585E0C"/>
    <w:rsid w:val="00591072"/>
    <w:rsid w:val="00592FA1"/>
    <w:rsid w:val="00593C90"/>
    <w:rsid w:val="0059542C"/>
    <w:rsid w:val="00595743"/>
    <w:rsid w:val="005A174F"/>
    <w:rsid w:val="005A347C"/>
    <w:rsid w:val="005A5FB3"/>
    <w:rsid w:val="005A5FF7"/>
    <w:rsid w:val="005A6660"/>
    <w:rsid w:val="005A6C62"/>
    <w:rsid w:val="005B05D7"/>
    <w:rsid w:val="005B4CBD"/>
    <w:rsid w:val="005C2D2D"/>
    <w:rsid w:val="005C3575"/>
    <w:rsid w:val="005C3D45"/>
    <w:rsid w:val="005C41BA"/>
    <w:rsid w:val="005C4FAF"/>
    <w:rsid w:val="005C518A"/>
    <w:rsid w:val="005C644B"/>
    <w:rsid w:val="005C6DF7"/>
    <w:rsid w:val="005D294C"/>
    <w:rsid w:val="005D611F"/>
    <w:rsid w:val="005E4888"/>
    <w:rsid w:val="005E4DB6"/>
    <w:rsid w:val="005E5315"/>
    <w:rsid w:val="005E5D19"/>
    <w:rsid w:val="005E6DD0"/>
    <w:rsid w:val="005F0389"/>
    <w:rsid w:val="005F0BF3"/>
    <w:rsid w:val="005F2667"/>
    <w:rsid w:val="005F28D9"/>
    <w:rsid w:val="005F3991"/>
    <w:rsid w:val="005F3FA2"/>
    <w:rsid w:val="005F4F5C"/>
    <w:rsid w:val="005F6E9E"/>
    <w:rsid w:val="005F7FD5"/>
    <w:rsid w:val="006013C9"/>
    <w:rsid w:val="00602363"/>
    <w:rsid w:val="00605853"/>
    <w:rsid w:val="00607ACA"/>
    <w:rsid w:val="00607CFB"/>
    <w:rsid w:val="0061036C"/>
    <w:rsid w:val="00610548"/>
    <w:rsid w:val="0061118C"/>
    <w:rsid w:val="00612799"/>
    <w:rsid w:val="0061684A"/>
    <w:rsid w:val="00616F97"/>
    <w:rsid w:val="00617CBD"/>
    <w:rsid w:val="00620EDE"/>
    <w:rsid w:val="006218B6"/>
    <w:rsid w:val="00623595"/>
    <w:rsid w:val="00623DDB"/>
    <w:rsid w:val="0062429F"/>
    <w:rsid w:val="00625349"/>
    <w:rsid w:val="006255DD"/>
    <w:rsid w:val="0062580D"/>
    <w:rsid w:val="00625F65"/>
    <w:rsid w:val="00630E12"/>
    <w:rsid w:val="0063248C"/>
    <w:rsid w:val="00633141"/>
    <w:rsid w:val="00633297"/>
    <w:rsid w:val="00636E2D"/>
    <w:rsid w:val="00637332"/>
    <w:rsid w:val="006377B0"/>
    <w:rsid w:val="00640F00"/>
    <w:rsid w:val="00641882"/>
    <w:rsid w:val="00642B0E"/>
    <w:rsid w:val="006449E3"/>
    <w:rsid w:val="00644CAC"/>
    <w:rsid w:val="0064547C"/>
    <w:rsid w:val="0064598B"/>
    <w:rsid w:val="00650E8B"/>
    <w:rsid w:val="00651D1E"/>
    <w:rsid w:val="0065321E"/>
    <w:rsid w:val="00653FC5"/>
    <w:rsid w:val="00655864"/>
    <w:rsid w:val="00655C91"/>
    <w:rsid w:val="006561A6"/>
    <w:rsid w:val="00657824"/>
    <w:rsid w:val="0066162A"/>
    <w:rsid w:val="006635C4"/>
    <w:rsid w:val="0066388E"/>
    <w:rsid w:val="006641EF"/>
    <w:rsid w:val="00665B75"/>
    <w:rsid w:val="00665D2F"/>
    <w:rsid w:val="006710F7"/>
    <w:rsid w:val="00671A12"/>
    <w:rsid w:val="0067308E"/>
    <w:rsid w:val="00673192"/>
    <w:rsid w:val="00675DB7"/>
    <w:rsid w:val="00676316"/>
    <w:rsid w:val="00676335"/>
    <w:rsid w:val="006817DF"/>
    <w:rsid w:val="00682541"/>
    <w:rsid w:val="00682E44"/>
    <w:rsid w:val="00684F6B"/>
    <w:rsid w:val="0068529A"/>
    <w:rsid w:val="006869FE"/>
    <w:rsid w:val="00687090"/>
    <w:rsid w:val="00692F53"/>
    <w:rsid w:val="006935BD"/>
    <w:rsid w:val="00694C24"/>
    <w:rsid w:val="006961AD"/>
    <w:rsid w:val="00696DB3"/>
    <w:rsid w:val="00697F15"/>
    <w:rsid w:val="006A00B9"/>
    <w:rsid w:val="006A0AB6"/>
    <w:rsid w:val="006A0D1A"/>
    <w:rsid w:val="006A2A1E"/>
    <w:rsid w:val="006A2AAE"/>
    <w:rsid w:val="006A31AD"/>
    <w:rsid w:val="006A3E0E"/>
    <w:rsid w:val="006A421B"/>
    <w:rsid w:val="006A695E"/>
    <w:rsid w:val="006B4947"/>
    <w:rsid w:val="006B4E4E"/>
    <w:rsid w:val="006B7BAD"/>
    <w:rsid w:val="006C0EE3"/>
    <w:rsid w:val="006C16BF"/>
    <w:rsid w:val="006C3040"/>
    <w:rsid w:val="006C7406"/>
    <w:rsid w:val="006C7758"/>
    <w:rsid w:val="006D11DA"/>
    <w:rsid w:val="006D5435"/>
    <w:rsid w:val="006D629C"/>
    <w:rsid w:val="006D6CD3"/>
    <w:rsid w:val="006D6F6A"/>
    <w:rsid w:val="006E5F6E"/>
    <w:rsid w:val="006E6725"/>
    <w:rsid w:val="006F0ED0"/>
    <w:rsid w:val="006F1CF4"/>
    <w:rsid w:val="006F1ECE"/>
    <w:rsid w:val="006F2707"/>
    <w:rsid w:val="006F505C"/>
    <w:rsid w:val="006F699B"/>
    <w:rsid w:val="006F7D79"/>
    <w:rsid w:val="0070271F"/>
    <w:rsid w:val="0070444A"/>
    <w:rsid w:val="00704BBD"/>
    <w:rsid w:val="00706ACC"/>
    <w:rsid w:val="007073BE"/>
    <w:rsid w:val="00707421"/>
    <w:rsid w:val="00710133"/>
    <w:rsid w:val="0071031D"/>
    <w:rsid w:val="00710A49"/>
    <w:rsid w:val="00710D47"/>
    <w:rsid w:val="00710DCD"/>
    <w:rsid w:val="00714265"/>
    <w:rsid w:val="00721106"/>
    <w:rsid w:val="007214CC"/>
    <w:rsid w:val="00722691"/>
    <w:rsid w:val="00723BDA"/>
    <w:rsid w:val="007253E0"/>
    <w:rsid w:val="00730961"/>
    <w:rsid w:val="007344CE"/>
    <w:rsid w:val="00735DB7"/>
    <w:rsid w:val="007429BC"/>
    <w:rsid w:val="0074358E"/>
    <w:rsid w:val="00744731"/>
    <w:rsid w:val="00751D81"/>
    <w:rsid w:val="00755B02"/>
    <w:rsid w:val="00755F43"/>
    <w:rsid w:val="00763933"/>
    <w:rsid w:val="0077188A"/>
    <w:rsid w:val="00777031"/>
    <w:rsid w:val="007776E6"/>
    <w:rsid w:val="00781250"/>
    <w:rsid w:val="00783320"/>
    <w:rsid w:val="007847C8"/>
    <w:rsid w:val="0078566B"/>
    <w:rsid w:val="00785A9F"/>
    <w:rsid w:val="00793A71"/>
    <w:rsid w:val="00793DCF"/>
    <w:rsid w:val="007946B9"/>
    <w:rsid w:val="0079487F"/>
    <w:rsid w:val="00796338"/>
    <w:rsid w:val="00796985"/>
    <w:rsid w:val="007A00A9"/>
    <w:rsid w:val="007A0645"/>
    <w:rsid w:val="007A157D"/>
    <w:rsid w:val="007A1BDF"/>
    <w:rsid w:val="007A351E"/>
    <w:rsid w:val="007A39DF"/>
    <w:rsid w:val="007B0DBC"/>
    <w:rsid w:val="007B2FBA"/>
    <w:rsid w:val="007B3552"/>
    <w:rsid w:val="007C024F"/>
    <w:rsid w:val="007C3488"/>
    <w:rsid w:val="007C3B14"/>
    <w:rsid w:val="007C4C3F"/>
    <w:rsid w:val="007C6390"/>
    <w:rsid w:val="007D0D98"/>
    <w:rsid w:val="007D0FED"/>
    <w:rsid w:val="007D18A8"/>
    <w:rsid w:val="007D4206"/>
    <w:rsid w:val="007D47C2"/>
    <w:rsid w:val="007D4CD3"/>
    <w:rsid w:val="007E0284"/>
    <w:rsid w:val="007E1B0D"/>
    <w:rsid w:val="007E25B1"/>
    <w:rsid w:val="007E63EE"/>
    <w:rsid w:val="007E73D1"/>
    <w:rsid w:val="007E790D"/>
    <w:rsid w:val="007F1E2A"/>
    <w:rsid w:val="007F3CE3"/>
    <w:rsid w:val="007F5C97"/>
    <w:rsid w:val="007F5DB4"/>
    <w:rsid w:val="007F6138"/>
    <w:rsid w:val="007F62E4"/>
    <w:rsid w:val="007F6962"/>
    <w:rsid w:val="007F7BFC"/>
    <w:rsid w:val="00800FB0"/>
    <w:rsid w:val="00801076"/>
    <w:rsid w:val="00803A9F"/>
    <w:rsid w:val="00804644"/>
    <w:rsid w:val="00804B83"/>
    <w:rsid w:val="00806B05"/>
    <w:rsid w:val="00807754"/>
    <w:rsid w:val="00807F7E"/>
    <w:rsid w:val="008107C0"/>
    <w:rsid w:val="00816245"/>
    <w:rsid w:val="008167B5"/>
    <w:rsid w:val="0081688F"/>
    <w:rsid w:val="00816923"/>
    <w:rsid w:val="00817782"/>
    <w:rsid w:val="00820783"/>
    <w:rsid w:val="008210C8"/>
    <w:rsid w:val="008248E5"/>
    <w:rsid w:val="00826561"/>
    <w:rsid w:val="008317A2"/>
    <w:rsid w:val="00832744"/>
    <w:rsid w:val="00835976"/>
    <w:rsid w:val="00836A1A"/>
    <w:rsid w:val="00840A03"/>
    <w:rsid w:val="008420F8"/>
    <w:rsid w:val="00842D8F"/>
    <w:rsid w:val="00843027"/>
    <w:rsid w:val="008436D9"/>
    <w:rsid w:val="00844410"/>
    <w:rsid w:val="00846240"/>
    <w:rsid w:val="00846568"/>
    <w:rsid w:val="0085255F"/>
    <w:rsid w:val="00856050"/>
    <w:rsid w:val="00857E42"/>
    <w:rsid w:val="008626A7"/>
    <w:rsid w:val="00862800"/>
    <w:rsid w:val="008655E3"/>
    <w:rsid w:val="00866F83"/>
    <w:rsid w:val="008672B4"/>
    <w:rsid w:val="0087326B"/>
    <w:rsid w:val="0087452D"/>
    <w:rsid w:val="00875108"/>
    <w:rsid w:val="008756CA"/>
    <w:rsid w:val="0087781A"/>
    <w:rsid w:val="00880BCB"/>
    <w:rsid w:val="00881D68"/>
    <w:rsid w:val="00885FFC"/>
    <w:rsid w:val="0088722A"/>
    <w:rsid w:val="008900D4"/>
    <w:rsid w:val="008912C9"/>
    <w:rsid w:val="00891955"/>
    <w:rsid w:val="00896D4B"/>
    <w:rsid w:val="00897BC8"/>
    <w:rsid w:val="008A00ED"/>
    <w:rsid w:val="008A1F0F"/>
    <w:rsid w:val="008A2B1B"/>
    <w:rsid w:val="008A5A78"/>
    <w:rsid w:val="008A5F8E"/>
    <w:rsid w:val="008A6DCE"/>
    <w:rsid w:val="008B0941"/>
    <w:rsid w:val="008B2B3B"/>
    <w:rsid w:val="008B68A2"/>
    <w:rsid w:val="008B6A8B"/>
    <w:rsid w:val="008B7CD5"/>
    <w:rsid w:val="008C010F"/>
    <w:rsid w:val="008C17B3"/>
    <w:rsid w:val="008C532A"/>
    <w:rsid w:val="008C5FC7"/>
    <w:rsid w:val="008C74EA"/>
    <w:rsid w:val="008C7631"/>
    <w:rsid w:val="008D0A45"/>
    <w:rsid w:val="008D0FAF"/>
    <w:rsid w:val="008D133B"/>
    <w:rsid w:val="008D43E4"/>
    <w:rsid w:val="008D6E2E"/>
    <w:rsid w:val="008D7B86"/>
    <w:rsid w:val="008E049B"/>
    <w:rsid w:val="008E1F1E"/>
    <w:rsid w:val="008E2F34"/>
    <w:rsid w:val="008E4076"/>
    <w:rsid w:val="008E5318"/>
    <w:rsid w:val="008E5910"/>
    <w:rsid w:val="008F1B3D"/>
    <w:rsid w:val="008F2E2A"/>
    <w:rsid w:val="008F51A3"/>
    <w:rsid w:val="008F6072"/>
    <w:rsid w:val="008F6B42"/>
    <w:rsid w:val="00900164"/>
    <w:rsid w:val="009003CA"/>
    <w:rsid w:val="00900CBE"/>
    <w:rsid w:val="00901A39"/>
    <w:rsid w:val="00904C88"/>
    <w:rsid w:val="00905B5B"/>
    <w:rsid w:val="0090766B"/>
    <w:rsid w:val="00907D38"/>
    <w:rsid w:val="00907F12"/>
    <w:rsid w:val="009108BE"/>
    <w:rsid w:val="00914733"/>
    <w:rsid w:val="00915135"/>
    <w:rsid w:val="009152AB"/>
    <w:rsid w:val="00915EE7"/>
    <w:rsid w:val="00915FF5"/>
    <w:rsid w:val="00916450"/>
    <w:rsid w:val="00916FB9"/>
    <w:rsid w:val="00920C1C"/>
    <w:rsid w:val="00921987"/>
    <w:rsid w:val="00926FB3"/>
    <w:rsid w:val="0093120C"/>
    <w:rsid w:val="00934358"/>
    <w:rsid w:val="00934AAB"/>
    <w:rsid w:val="00935DAD"/>
    <w:rsid w:val="00936CFC"/>
    <w:rsid w:val="009403F0"/>
    <w:rsid w:val="00941FA0"/>
    <w:rsid w:val="00943323"/>
    <w:rsid w:val="00950F3C"/>
    <w:rsid w:val="00951CC7"/>
    <w:rsid w:val="009553BB"/>
    <w:rsid w:val="0095601C"/>
    <w:rsid w:val="009566BC"/>
    <w:rsid w:val="009569EC"/>
    <w:rsid w:val="00956D9C"/>
    <w:rsid w:val="00957932"/>
    <w:rsid w:val="009622D5"/>
    <w:rsid w:val="00964899"/>
    <w:rsid w:val="00965652"/>
    <w:rsid w:val="00966F2B"/>
    <w:rsid w:val="00967031"/>
    <w:rsid w:val="00975A2D"/>
    <w:rsid w:val="00975CDF"/>
    <w:rsid w:val="0098248D"/>
    <w:rsid w:val="009831E1"/>
    <w:rsid w:val="0098571F"/>
    <w:rsid w:val="00985BD1"/>
    <w:rsid w:val="009923BE"/>
    <w:rsid w:val="00994C42"/>
    <w:rsid w:val="00995796"/>
    <w:rsid w:val="00996C6C"/>
    <w:rsid w:val="0099712B"/>
    <w:rsid w:val="009A4691"/>
    <w:rsid w:val="009A4D2E"/>
    <w:rsid w:val="009A585B"/>
    <w:rsid w:val="009A7A1B"/>
    <w:rsid w:val="009B01B0"/>
    <w:rsid w:val="009B0DCD"/>
    <w:rsid w:val="009B1431"/>
    <w:rsid w:val="009B20E4"/>
    <w:rsid w:val="009B3672"/>
    <w:rsid w:val="009B4CFD"/>
    <w:rsid w:val="009B4F43"/>
    <w:rsid w:val="009B64B1"/>
    <w:rsid w:val="009C0E9E"/>
    <w:rsid w:val="009C1CBF"/>
    <w:rsid w:val="009C3056"/>
    <w:rsid w:val="009C4BB9"/>
    <w:rsid w:val="009C6378"/>
    <w:rsid w:val="009C6ECF"/>
    <w:rsid w:val="009C7C7E"/>
    <w:rsid w:val="009C7DDC"/>
    <w:rsid w:val="009D49E2"/>
    <w:rsid w:val="009D4B02"/>
    <w:rsid w:val="009D61FD"/>
    <w:rsid w:val="009D63BE"/>
    <w:rsid w:val="009E1E8F"/>
    <w:rsid w:val="009E2117"/>
    <w:rsid w:val="009F1821"/>
    <w:rsid w:val="009F19EA"/>
    <w:rsid w:val="009F3D0A"/>
    <w:rsid w:val="00A015EE"/>
    <w:rsid w:val="00A03B96"/>
    <w:rsid w:val="00A0628D"/>
    <w:rsid w:val="00A07D8F"/>
    <w:rsid w:val="00A106AB"/>
    <w:rsid w:val="00A10834"/>
    <w:rsid w:val="00A11605"/>
    <w:rsid w:val="00A121D0"/>
    <w:rsid w:val="00A128F9"/>
    <w:rsid w:val="00A20287"/>
    <w:rsid w:val="00A2143D"/>
    <w:rsid w:val="00A217D4"/>
    <w:rsid w:val="00A21FC2"/>
    <w:rsid w:val="00A243CA"/>
    <w:rsid w:val="00A2443B"/>
    <w:rsid w:val="00A2652A"/>
    <w:rsid w:val="00A26BC8"/>
    <w:rsid w:val="00A272F1"/>
    <w:rsid w:val="00A27FAA"/>
    <w:rsid w:val="00A30F62"/>
    <w:rsid w:val="00A3165A"/>
    <w:rsid w:val="00A31735"/>
    <w:rsid w:val="00A32D5C"/>
    <w:rsid w:val="00A34FFA"/>
    <w:rsid w:val="00A36ABD"/>
    <w:rsid w:val="00A435EE"/>
    <w:rsid w:val="00A4433A"/>
    <w:rsid w:val="00A46167"/>
    <w:rsid w:val="00A46582"/>
    <w:rsid w:val="00A46FC4"/>
    <w:rsid w:val="00A47BEC"/>
    <w:rsid w:val="00A50DBB"/>
    <w:rsid w:val="00A5367C"/>
    <w:rsid w:val="00A53AA3"/>
    <w:rsid w:val="00A540B0"/>
    <w:rsid w:val="00A55E73"/>
    <w:rsid w:val="00A57DDA"/>
    <w:rsid w:val="00A6454A"/>
    <w:rsid w:val="00A70402"/>
    <w:rsid w:val="00A70B96"/>
    <w:rsid w:val="00A70BA5"/>
    <w:rsid w:val="00A71CD8"/>
    <w:rsid w:val="00A71E4F"/>
    <w:rsid w:val="00A733B6"/>
    <w:rsid w:val="00A73B3C"/>
    <w:rsid w:val="00A74417"/>
    <w:rsid w:val="00A74D58"/>
    <w:rsid w:val="00A74EC7"/>
    <w:rsid w:val="00A76706"/>
    <w:rsid w:val="00A77915"/>
    <w:rsid w:val="00A77F13"/>
    <w:rsid w:val="00A800E4"/>
    <w:rsid w:val="00A83745"/>
    <w:rsid w:val="00A8425E"/>
    <w:rsid w:val="00A85433"/>
    <w:rsid w:val="00A86B78"/>
    <w:rsid w:val="00A87664"/>
    <w:rsid w:val="00A9127E"/>
    <w:rsid w:val="00A916DB"/>
    <w:rsid w:val="00A93115"/>
    <w:rsid w:val="00A94048"/>
    <w:rsid w:val="00A94188"/>
    <w:rsid w:val="00A94D4C"/>
    <w:rsid w:val="00A9552C"/>
    <w:rsid w:val="00A95749"/>
    <w:rsid w:val="00A95C0E"/>
    <w:rsid w:val="00AA0EA8"/>
    <w:rsid w:val="00AA1124"/>
    <w:rsid w:val="00AA1405"/>
    <w:rsid w:val="00AA2178"/>
    <w:rsid w:val="00AA2333"/>
    <w:rsid w:val="00AA4CAC"/>
    <w:rsid w:val="00AB0CBB"/>
    <w:rsid w:val="00AB2747"/>
    <w:rsid w:val="00AB3539"/>
    <w:rsid w:val="00AB3C8C"/>
    <w:rsid w:val="00AC1CBE"/>
    <w:rsid w:val="00AC38BD"/>
    <w:rsid w:val="00AC3CC7"/>
    <w:rsid w:val="00AC3ED1"/>
    <w:rsid w:val="00AC59BE"/>
    <w:rsid w:val="00AD0400"/>
    <w:rsid w:val="00AD0BDD"/>
    <w:rsid w:val="00AD6C4C"/>
    <w:rsid w:val="00AD744B"/>
    <w:rsid w:val="00AE01D0"/>
    <w:rsid w:val="00AE068C"/>
    <w:rsid w:val="00AE0C43"/>
    <w:rsid w:val="00AE0C49"/>
    <w:rsid w:val="00AE20DB"/>
    <w:rsid w:val="00AE6451"/>
    <w:rsid w:val="00AF076B"/>
    <w:rsid w:val="00AF2D15"/>
    <w:rsid w:val="00AF581F"/>
    <w:rsid w:val="00B0279E"/>
    <w:rsid w:val="00B028CA"/>
    <w:rsid w:val="00B03616"/>
    <w:rsid w:val="00B05B5C"/>
    <w:rsid w:val="00B06105"/>
    <w:rsid w:val="00B0669F"/>
    <w:rsid w:val="00B131EE"/>
    <w:rsid w:val="00B13626"/>
    <w:rsid w:val="00B1441A"/>
    <w:rsid w:val="00B14B8A"/>
    <w:rsid w:val="00B20209"/>
    <w:rsid w:val="00B22AC4"/>
    <w:rsid w:val="00B237D3"/>
    <w:rsid w:val="00B23C80"/>
    <w:rsid w:val="00B26425"/>
    <w:rsid w:val="00B31222"/>
    <w:rsid w:val="00B31FAA"/>
    <w:rsid w:val="00B330CE"/>
    <w:rsid w:val="00B351AD"/>
    <w:rsid w:val="00B35FF1"/>
    <w:rsid w:val="00B36FED"/>
    <w:rsid w:val="00B40991"/>
    <w:rsid w:val="00B42516"/>
    <w:rsid w:val="00B44097"/>
    <w:rsid w:val="00B457F2"/>
    <w:rsid w:val="00B469A7"/>
    <w:rsid w:val="00B46BB9"/>
    <w:rsid w:val="00B510A1"/>
    <w:rsid w:val="00B513C2"/>
    <w:rsid w:val="00B52F39"/>
    <w:rsid w:val="00B559DE"/>
    <w:rsid w:val="00B57882"/>
    <w:rsid w:val="00B62433"/>
    <w:rsid w:val="00B624EA"/>
    <w:rsid w:val="00B66A4B"/>
    <w:rsid w:val="00B66BC3"/>
    <w:rsid w:val="00B675F7"/>
    <w:rsid w:val="00B70D96"/>
    <w:rsid w:val="00B73576"/>
    <w:rsid w:val="00B762E9"/>
    <w:rsid w:val="00B772FE"/>
    <w:rsid w:val="00B77453"/>
    <w:rsid w:val="00B803D3"/>
    <w:rsid w:val="00B825A7"/>
    <w:rsid w:val="00B836F6"/>
    <w:rsid w:val="00B83E99"/>
    <w:rsid w:val="00B870EB"/>
    <w:rsid w:val="00B9254B"/>
    <w:rsid w:val="00B931B3"/>
    <w:rsid w:val="00B954F0"/>
    <w:rsid w:val="00B95851"/>
    <w:rsid w:val="00B95F50"/>
    <w:rsid w:val="00B9613F"/>
    <w:rsid w:val="00B9782B"/>
    <w:rsid w:val="00BA0D27"/>
    <w:rsid w:val="00BA11F4"/>
    <w:rsid w:val="00BA1C00"/>
    <w:rsid w:val="00BA3408"/>
    <w:rsid w:val="00BA6095"/>
    <w:rsid w:val="00BA6106"/>
    <w:rsid w:val="00BA7868"/>
    <w:rsid w:val="00BB0271"/>
    <w:rsid w:val="00BB174F"/>
    <w:rsid w:val="00BB41EE"/>
    <w:rsid w:val="00BC4F21"/>
    <w:rsid w:val="00BD1D4B"/>
    <w:rsid w:val="00BD4614"/>
    <w:rsid w:val="00BD4ED9"/>
    <w:rsid w:val="00BD54F3"/>
    <w:rsid w:val="00BD5E85"/>
    <w:rsid w:val="00BE179E"/>
    <w:rsid w:val="00BE1C25"/>
    <w:rsid w:val="00BE2007"/>
    <w:rsid w:val="00BE20DA"/>
    <w:rsid w:val="00BE2193"/>
    <w:rsid w:val="00BE2600"/>
    <w:rsid w:val="00BE3090"/>
    <w:rsid w:val="00BE3D00"/>
    <w:rsid w:val="00BE618C"/>
    <w:rsid w:val="00BE64C2"/>
    <w:rsid w:val="00BE6511"/>
    <w:rsid w:val="00BE7295"/>
    <w:rsid w:val="00BE73F3"/>
    <w:rsid w:val="00BE7BD9"/>
    <w:rsid w:val="00BF0042"/>
    <w:rsid w:val="00BF01E0"/>
    <w:rsid w:val="00BF25CD"/>
    <w:rsid w:val="00BF2940"/>
    <w:rsid w:val="00BF2E79"/>
    <w:rsid w:val="00BF4605"/>
    <w:rsid w:val="00BF4698"/>
    <w:rsid w:val="00BF4841"/>
    <w:rsid w:val="00BF4CCA"/>
    <w:rsid w:val="00BF6502"/>
    <w:rsid w:val="00BF6B8C"/>
    <w:rsid w:val="00BF7FAC"/>
    <w:rsid w:val="00C020AD"/>
    <w:rsid w:val="00C027DC"/>
    <w:rsid w:val="00C02849"/>
    <w:rsid w:val="00C07E17"/>
    <w:rsid w:val="00C14324"/>
    <w:rsid w:val="00C14BF3"/>
    <w:rsid w:val="00C161B3"/>
    <w:rsid w:val="00C16689"/>
    <w:rsid w:val="00C17360"/>
    <w:rsid w:val="00C205B2"/>
    <w:rsid w:val="00C21FE6"/>
    <w:rsid w:val="00C22CFD"/>
    <w:rsid w:val="00C238B7"/>
    <w:rsid w:val="00C2720E"/>
    <w:rsid w:val="00C316D7"/>
    <w:rsid w:val="00C32D5E"/>
    <w:rsid w:val="00C35FA9"/>
    <w:rsid w:val="00C37CA8"/>
    <w:rsid w:val="00C41AD1"/>
    <w:rsid w:val="00C4277B"/>
    <w:rsid w:val="00C434CF"/>
    <w:rsid w:val="00C439EA"/>
    <w:rsid w:val="00C43DCC"/>
    <w:rsid w:val="00C46A43"/>
    <w:rsid w:val="00C5185A"/>
    <w:rsid w:val="00C51B81"/>
    <w:rsid w:val="00C51BE4"/>
    <w:rsid w:val="00C51C4C"/>
    <w:rsid w:val="00C537F6"/>
    <w:rsid w:val="00C56BCB"/>
    <w:rsid w:val="00C56EB6"/>
    <w:rsid w:val="00C57513"/>
    <w:rsid w:val="00C62B21"/>
    <w:rsid w:val="00C639B7"/>
    <w:rsid w:val="00C63CD8"/>
    <w:rsid w:val="00C7259B"/>
    <w:rsid w:val="00C72B9C"/>
    <w:rsid w:val="00C73584"/>
    <w:rsid w:val="00C739E6"/>
    <w:rsid w:val="00C74987"/>
    <w:rsid w:val="00C76743"/>
    <w:rsid w:val="00C76ECD"/>
    <w:rsid w:val="00C7702A"/>
    <w:rsid w:val="00C77C43"/>
    <w:rsid w:val="00C81B68"/>
    <w:rsid w:val="00C82C9E"/>
    <w:rsid w:val="00C83923"/>
    <w:rsid w:val="00C83C86"/>
    <w:rsid w:val="00C854B5"/>
    <w:rsid w:val="00C8728C"/>
    <w:rsid w:val="00C87297"/>
    <w:rsid w:val="00C87379"/>
    <w:rsid w:val="00C90482"/>
    <w:rsid w:val="00C93521"/>
    <w:rsid w:val="00C9388A"/>
    <w:rsid w:val="00C95A41"/>
    <w:rsid w:val="00C96AE9"/>
    <w:rsid w:val="00CA1B35"/>
    <w:rsid w:val="00CA7B93"/>
    <w:rsid w:val="00CB0317"/>
    <w:rsid w:val="00CB0734"/>
    <w:rsid w:val="00CB236C"/>
    <w:rsid w:val="00CB6109"/>
    <w:rsid w:val="00CB729C"/>
    <w:rsid w:val="00CC15CF"/>
    <w:rsid w:val="00CC1BDE"/>
    <w:rsid w:val="00CC1C7A"/>
    <w:rsid w:val="00CC1F20"/>
    <w:rsid w:val="00CC6047"/>
    <w:rsid w:val="00CC6C5B"/>
    <w:rsid w:val="00CC7FC8"/>
    <w:rsid w:val="00CD2A8D"/>
    <w:rsid w:val="00CD3693"/>
    <w:rsid w:val="00CD440D"/>
    <w:rsid w:val="00CD4878"/>
    <w:rsid w:val="00CD5896"/>
    <w:rsid w:val="00CD7B41"/>
    <w:rsid w:val="00CE0DA3"/>
    <w:rsid w:val="00CE1875"/>
    <w:rsid w:val="00CE1CF2"/>
    <w:rsid w:val="00CE407A"/>
    <w:rsid w:val="00CE474B"/>
    <w:rsid w:val="00CE4B8D"/>
    <w:rsid w:val="00CE5042"/>
    <w:rsid w:val="00CE530E"/>
    <w:rsid w:val="00CE58DF"/>
    <w:rsid w:val="00CE6548"/>
    <w:rsid w:val="00CE6756"/>
    <w:rsid w:val="00CF1397"/>
    <w:rsid w:val="00CF3909"/>
    <w:rsid w:val="00CF5C71"/>
    <w:rsid w:val="00D000D5"/>
    <w:rsid w:val="00D03408"/>
    <w:rsid w:val="00D052B4"/>
    <w:rsid w:val="00D05B78"/>
    <w:rsid w:val="00D0763C"/>
    <w:rsid w:val="00D07AD9"/>
    <w:rsid w:val="00D12CA8"/>
    <w:rsid w:val="00D151AD"/>
    <w:rsid w:val="00D2022F"/>
    <w:rsid w:val="00D21647"/>
    <w:rsid w:val="00D2182E"/>
    <w:rsid w:val="00D22262"/>
    <w:rsid w:val="00D2306F"/>
    <w:rsid w:val="00D23364"/>
    <w:rsid w:val="00D2430F"/>
    <w:rsid w:val="00D25800"/>
    <w:rsid w:val="00D26BC0"/>
    <w:rsid w:val="00D26C72"/>
    <w:rsid w:val="00D30320"/>
    <w:rsid w:val="00D30E6B"/>
    <w:rsid w:val="00D336DF"/>
    <w:rsid w:val="00D337E6"/>
    <w:rsid w:val="00D35EE6"/>
    <w:rsid w:val="00D37A88"/>
    <w:rsid w:val="00D4048C"/>
    <w:rsid w:val="00D404C9"/>
    <w:rsid w:val="00D43467"/>
    <w:rsid w:val="00D45737"/>
    <w:rsid w:val="00D473CE"/>
    <w:rsid w:val="00D47456"/>
    <w:rsid w:val="00D52520"/>
    <w:rsid w:val="00D52E50"/>
    <w:rsid w:val="00D55904"/>
    <w:rsid w:val="00D56D17"/>
    <w:rsid w:val="00D572B5"/>
    <w:rsid w:val="00D577C2"/>
    <w:rsid w:val="00D60739"/>
    <w:rsid w:val="00D6191F"/>
    <w:rsid w:val="00D62E95"/>
    <w:rsid w:val="00D63B8A"/>
    <w:rsid w:val="00D6472B"/>
    <w:rsid w:val="00D649C7"/>
    <w:rsid w:val="00D64D6F"/>
    <w:rsid w:val="00D65A30"/>
    <w:rsid w:val="00D66FFA"/>
    <w:rsid w:val="00D67793"/>
    <w:rsid w:val="00D766A0"/>
    <w:rsid w:val="00D81664"/>
    <w:rsid w:val="00D847FA"/>
    <w:rsid w:val="00D84AE3"/>
    <w:rsid w:val="00D860A1"/>
    <w:rsid w:val="00D86CDF"/>
    <w:rsid w:val="00D86DCE"/>
    <w:rsid w:val="00D90356"/>
    <w:rsid w:val="00D93359"/>
    <w:rsid w:val="00D95869"/>
    <w:rsid w:val="00D97688"/>
    <w:rsid w:val="00D97AFA"/>
    <w:rsid w:val="00DA1922"/>
    <w:rsid w:val="00DA5C33"/>
    <w:rsid w:val="00DA7565"/>
    <w:rsid w:val="00DA7664"/>
    <w:rsid w:val="00DB4CDB"/>
    <w:rsid w:val="00DB5247"/>
    <w:rsid w:val="00DB6274"/>
    <w:rsid w:val="00DB6829"/>
    <w:rsid w:val="00DC0050"/>
    <w:rsid w:val="00DC1360"/>
    <w:rsid w:val="00DC2B83"/>
    <w:rsid w:val="00DC7686"/>
    <w:rsid w:val="00DD0868"/>
    <w:rsid w:val="00DD09D0"/>
    <w:rsid w:val="00DD0D20"/>
    <w:rsid w:val="00DD105C"/>
    <w:rsid w:val="00DD22F6"/>
    <w:rsid w:val="00DD28D9"/>
    <w:rsid w:val="00DD3BFF"/>
    <w:rsid w:val="00DD5F74"/>
    <w:rsid w:val="00DD71CA"/>
    <w:rsid w:val="00DE17B8"/>
    <w:rsid w:val="00DE3F0B"/>
    <w:rsid w:val="00DE5168"/>
    <w:rsid w:val="00DF01C3"/>
    <w:rsid w:val="00DF0F3B"/>
    <w:rsid w:val="00DF33A6"/>
    <w:rsid w:val="00DF3AEF"/>
    <w:rsid w:val="00DF572D"/>
    <w:rsid w:val="00DF586A"/>
    <w:rsid w:val="00DF597A"/>
    <w:rsid w:val="00E026FC"/>
    <w:rsid w:val="00E02795"/>
    <w:rsid w:val="00E029EB"/>
    <w:rsid w:val="00E05F71"/>
    <w:rsid w:val="00E069B9"/>
    <w:rsid w:val="00E07820"/>
    <w:rsid w:val="00E10392"/>
    <w:rsid w:val="00E11EA8"/>
    <w:rsid w:val="00E11FEA"/>
    <w:rsid w:val="00E1278B"/>
    <w:rsid w:val="00E133B0"/>
    <w:rsid w:val="00E14DB1"/>
    <w:rsid w:val="00E15428"/>
    <w:rsid w:val="00E158D4"/>
    <w:rsid w:val="00E20E44"/>
    <w:rsid w:val="00E21730"/>
    <w:rsid w:val="00E2251A"/>
    <w:rsid w:val="00E2596E"/>
    <w:rsid w:val="00E26D0A"/>
    <w:rsid w:val="00E3112A"/>
    <w:rsid w:val="00E31B68"/>
    <w:rsid w:val="00E327B1"/>
    <w:rsid w:val="00E32E14"/>
    <w:rsid w:val="00E32F5F"/>
    <w:rsid w:val="00E33B38"/>
    <w:rsid w:val="00E3445D"/>
    <w:rsid w:val="00E356ED"/>
    <w:rsid w:val="00E3581E"/>
    <w:rsid w:val="00E35EF4"/>
    <w:rsid w:val="00E43111"/>
    <w:rsid w:val="00E43144"/>
    <w:rsid w:val="00E440EA"/>
    <w:rsid w:val="00E44A01"/>
    <w:rsid w:val="00E470EE"/>
    <w:rsid w:val="00E5002D"/>
    <w:rsid w:val="00E5056A"/>
    <w:rsid w:val="00E521AC"/>
    <w:rsid w:val="00E53099"/>
    <w:rsid w:val="00E6087C"/>
    <w:rsid w:val="00E6277C"/>
    <w:rsid w:val="00E62EF0"/>
    <w:rsid w:val="00E64E34"/>
    <w:rsid w:val="00E72808"/>
    <w:rsid w:val="00E73EC2"/>
    <w:rsid w:val="00E74760"/>
    <w:rsid w:val="00E77196"/>
    <w:rsid w:val="00E7740B"/>
    <w:rsid w:val="00E812EB"/>
    <w:rsid w:val="00E81DD5"/>
    <w:rsid w:val="00E82EFF"/>
    <w:rsid w:val="00E83BE1"/>
    <w:rsid w:val="00E85009"/>
    <w:rsid w:val="00E870B8"/>
    <w:rsid w:val="00E9019D"/>
    <w:rsid w:val="00E90A62"/>
    <w:rsid w:val="00E9384C"/>
    <w:rsid w:val="00E9673D"/>
    <w:rsid w:val="00EA11B4"/>
    <w:rsid w:val="00EA37C9"/>
    <w:rsid w:val="00EA7E04"/>
    <w:rsid w:val="00EB0399"/>
    <w:rsid w:val="00EB2910"/>
    <w:rsid w:val="00EB32CB"/>
    <w:rsid w:val="00EB3A54"/>
    <w:rsid w:val="00EB41C3"/>
    <w:rsid w:val="00EB5687"/>
    <w:rsid w:val="00EB5FDA"/>
    <w:rsid w:val="00EB63B5"/>
    <w:rsid w:val="00EB7F32"/>
    <w:rsid w:val="00EC0D05"/>
    <w:rsid w:val="00EC20EE"/>
    <w:rsid w:val="00EC4CE3"/>
    <w:rsid w:val="00EC597B"/>
    <w:rsid w:val="00ED17F4"/>
    <w:rsid w:val="00ED46E2"/>
    <w:rsid w:val="00ED70C2"/>
    <w:rsid w:val="00ED7258"/>
    <w:rsid w:val="00EE0270"/>
    <w:rsid w:val="00EE3A19"/>
    <w:rsid w:val="00EE490F"/>
    <w:rsid w:val="00EE58EE"/>
    <w:rsid w:val="00EE6316"/>
    <w:rsid w:val="00EE6638"/>
    <w:rsid w:val="00EE735B"/>
    <w:rsid w:val="00EF4434"/>
    <w:rsid w:val="00EF5EA7"/>
    <w:rsid w:val="00EF6303"/>
    <w:rsid w:val="00F00F97"/>
    <w:rsid w:val="00F0234F"/>
    <w:rsid w:val="00F05CEE"/>
    <w:rsid w:val="00F0649B"/>
    <w:rsid w:val="00F07524"/>
    <w:rsid w:val="00F1072E"/>
    <w:rsid w:val="00F11416"/>
    <w:rsid w:val="00F13CF1"/>
    <w:rsid w:val="00F13D5A"/>
    <w:rsid w:val="00F14E4E"/>
    <w:rsid w:val="00F14FCB"/>
    <w:rsid w:val="00F15150"/>
    <w:rsid w:val="00F15E99"/>
    <w:rsid w:val="00F167BC"/>
    <w:rsid w:val="00F228DE"/>
    <w:rsid w:val="00F23222"/>
    <w:rsid w:val="00F238E0"/>
    <w:rsid w:val="00F24283"/>
    <w:rsid w:val="00F24BE0"/>
    <w:rsid w:val="00F2534F"/>
    <w:rsid w:val="00F2592C"/>
    <w:rsid w:val="00F303D6"/>
    <w:rsid w:val="00F31EC8"/>
    <w:rsid w:val="00F3428F"/>
    <w:rsid w:val="00F3511C"/>
    <w:rsid w:val="00F3559F"/>
    <w:rsid w:val="00F3659C"/>
    <w:rsid w:val="00F365F3"/>
    <w:rsid w:val="00F36E6E"/>
    <w:rsid w:val="00F42564"/>
    <w:rsid w:val="00F43D99"/>
    <w:rsid w:val="00F459A7"/>
    <w:rsid w:val="00F46453"/>
    <w:rsid w:val="00F51252"/>
    <w:rsid w:val="00F51D8A"/>
    <w:rsid w:val="00F51FB0"/>
    <w:rsid w:val="00F52363"/>
    <w:rsid w:val="00F52817"/>
    <w:rsid w:val="00F54098"/>
    <w:rsid w:val="00F559B0"/>
    <w:rsid w:val="00F5788D"/>
    <w:rsid w:val="00F60C31"/>
    <w:rsid w:val="00F612C5"/>
    <w:rsid w:val="00F618A5"/>
    <w:rsid w:val="00F63979"/>
    <w:rsid w:val="00F63AEC"/>
    <w:rsid w:val="00F64ABA"/>
    <w:rsid w:val="00F74227"/>
    <w:rsid w:val="00F76846"/>
    <w:rsid w:val="00F774A4"/>
    <w:rsid w:val="00F824C6"/>
    <w:rsid w:val="00F8708E"/>
    <w:rsid w:val="00F916B7"/>
    <w:rsid w:val="00F926F0"/>
    <w:rsid w:val="00F93D03"/>
    <w:rsid w:val="00F93E75"/>
    <w:rsid w:val="00F94B20"/>
    <w:rsid w:val="00F94DF5"/>
    <w:rsid w:val="00F95B1D"/>
    <w:rsid w:val="00F95BED"/>
    <w:rsid w:val="00F96228"/>
    <w:rsid w:val="00F97156"/>
    <w:rsid w:val="00FA02FB"/>
    <w:rsid w:val="00FA05AB"/>
    <w:rsid w:val="00FA132C"/>
    <w:rsid w:val="00FA2084"/>
    <w:rsid w:val="00FA5465"/>
    <w:rsid w:val="00FA6668"/>
    <w:rsid w:val="00FB02D8"/>
    <w:rsid w:val="00FB2CF9"/>
    <w:rsid w:val="00FC0178"/>
    <w:rsid w:val="00FC0273"/>
    <w:rsid w:val="00FC0A19"/>
    <w:rsid w:val="00FC18AB"/>
    <w:rsid w:val="00FC3926"/>
    <w:rsid w:val="00FC3BBA"/>
    <w:rsid w:val="00FC4269"/>
    <w:rsid w:val="00FC587E"/>
    <w:rsid w:val="00FC61C3"/>
    <w:rsid w:val="00FC743E"/>
    <w:rsid w:val="00FD0542"/>
    <w:rsid w:val="00FD069E"/>
    <w:rsid w:val="00FD0B12"/>
    <w:rsid w:val="00FD1713"/>
    <w:rsid w:val="00FD4EF7"/>
    <w:rsid w:val="00FD66B5"/>
    <w:rsid w:val="00FE0348"/>
    <w:rsid w:val="00FE266E"/>
    <w:rsid w:val="00FE4B39"/>
    <w:rsid w:val="00FE5339"/>
    <w:rsid w:val="00FE7621"/>
    <w:rsid w:val="00FF1B35"/>
    <w:rsid w:val="00FF2623"/>
    <w:rsid w:val="00FF3C7F"/>
    <w:rsid w:val="00FF4F29"/>
    <w:rsid w:val="00FF5D58"/>
    <w:rsid w:val="00FF6FA3"/>
    <w:rsid w:val="3B094D80"/>
    <w:rsid w:val="42EC4A68"/>
    <w:rsid w:val="59666377"/>
    <w:rsid w:val="736F72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5"/>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0"/>
    <w:qFormat/>
    <w:uiPriority w:val="0"/>
    <w:pPr>
      <w:jc w:val="left"/>
    </w:p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link w:val="51"/>
    <w:qFormat/>
    <w:uiPriority w:val="99"/>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7"/>
    <w:qFormat/>
    <w:uiPriority w:val="99"/>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39"/>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qFormat/>
    <w:uiPriority w:val="0"/>
    <w:rPr>
      <w:b/>
    </w:rPr>
  </w:style>
  <w:style w:type="paragraph" w:styleId="21">
    <w:name w:val="Body Text First Indent"/>
    <w:basedOn w:val="8"/>
    <w:link w:val="48"/>
    <w:semiHidden/>
    <w:unhideWhenUsed/>
    <w:qFormat/>
    <w:uiPriority w:val="99"/>
    <w:pPr>
      <w:autoSpaceDE/>
      <w:autoSpaceDN/>
      <w:adjustRightInd/>
      <w:spacing w:after="120" w:line="240" w:lineRule="auto"/>
      <w:ind w:firstLine="420" w:firstLineChars="100"/>
      <w:jc w:val="both"/>
    </w:pPr>
    <w:rPr>
      <w:kern w:val="2"/>
      <w:sz w:val="21"/>
    </w:rPr>
  </w:style>
  <w:style w:type="character" w:styleId="24">
    <w:name w:val="page number"/>
    <w:basedOn w:val="23"/>
    <w:qFormat/>
    <w:uiPriority w:val="0"/>
  </w:style>
  <w:style w:type="character" w:styleId="25">
    <w:name w:val="Hyperlink"/>
    <w:qFormat/>
    <w:uiPriority w:val="99"/>
    <w:rPr>
      <w:color w:val="0000FF"/>
      <w:u w:val="single"/>
    </w:rPr>
  </w:style>
  <w:style w:type="character" w:styleId="26">
    <w:name w:val="annotation reference"/>
    <w:qFormat/>
    <w:uiPriority w:val="0"/>
    <w:rPr>
      <w:sz w:val="21"/>
    </w:rPr>
  </w:style>
  <w:style w:type="character" w:styleId="27">
    <w:name w:val="footnote reference"/>
    <w:qFormat/>
    <w:uiPriority w:val="0"/>
    <w:rPr>
      <w:vertAlign w:val="superscript"/>
    </w:rPr>
  </w:style>
  <w:style w:type="character" w:customStyle="1" w:styleId="28">
    <w:name w:val="正文文本 字符"/>
    <w:link w:val="8"/>
    <w:qFormat/>
    <w:uiPriority w:val="0"/>
    <w:rPr>
      <w:rFonts w:ascii="宋体"/>
      <w:kern w:val="0"/>
    </w:rPr>
  </w:style>
  <w:style w:type="character" w:customStyle="1" w:styleId="29">
    <w:name w:val="unnamed11"/>
    <w:qFormat/>
    <w:uiPriority w:val="0"/>
    <w:rPr>
      <w:rFonts w:hint="eastAsia" w:ascii="宋体" w:hAnsi="宋体" w:eastAsia="宋体"/>
      <w:sz w:val="18"/>
    </w:rPr>
  </w:style>
  <w:style w:type="character" w:customStyle="1" w:styleId="30">
    <w:name w:val="标题 字符"/>
    <w:link w:val="19"/>
    <w:qFormat/>
    <w:uiPriority w:val="0"/>
    <w:rPr>
      <w:rFonts w:ascii="Cambria" w:hAnsi="Cambria"/>
      <w:b/>
      <w:kern w:val="2"/>
      <w:sz w:val="32"/>
    </w:rPr>
  </w:style>
  <w:style w:type="character" w:customStyle="1" w:styleId="31">
    <w:name w:val="页眉 字符"/>
    <w:link w:val="14"/>
    <w:qFormat/>
    <w:uiPriority w:val="0"/>
    <w:rPr>
      <w:rFonts w:eastAsia="宋体"/>
      <w:kern w:val="2"/>
      <w:sz w:val="18"/>
      <w:lang w:val="en-US" w:eastAsia="zh-CN"/>
    </w:rPr>
  </w:style>
  <w:style w:type="character" w:customStyle="1" w:styleId="32">
    <w:name w:val="read"/>
    <w:basedOn w:val="23"/>
    <w:qFormat/>
    <w:uiPriority w:val="0"/>
  </w:style>
  <w:style w:type="paragraph" w:customStyle="1" w:styleId="33">
    <w:name w:val="Char Char"/>
    <w:basedOn w:val="1"/>
    <w:qFormat/>
    <w:uiPriority w:val="0"/>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5">
    <w:name w:val="unnamed1"/>
    <w:basedOn w:val="1"/>
    <w:qFormat/>
    <w:uiPriority w:val="0"/>
    <w:pPr>
      <w:spacing w:before="60" w:after="60"/>
      <w:ind w:left="15" w:right="15"/>
    </w:pPr>
    <w:rPr>
      <w:rFonts w:hint="eastAsia" w:ascii="宋体" w:hAnsi="宋体"/>
      <w:color w:val="000000"/>
      <w:sz w:val="18"/>
      <w:szCs w:val="18"/>
    </w:rPr>
  </w:style>
  <w:style w:type="paragraph" w:customStyle="1" w:styleId="36">
    <w:name w:val="List_bullet"/>
    <w:basedOn w:val="1"/>
    <w:qFormat/>
    <w:uiPriority w:val="0"/>
    <w:pPr>
      <w:widowControl/>
      <w:tabs>
        <w:tab w:val="left" w:pos="360"/>
      </w:tabs>
      <w:ind w:left="360" w:hanging="360"/>
      <w:jc w:val="left"/>
    </w:pPr>
    <w:rPr>
      <w:kern w:val="0"/>
      <w:sz w:val="24"/>
    </w:r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正文"/>
    <w:basedOn w:val="1"/>
    <w:qFormat/>
    <w:uiPriority w:val="0"/>
    <w:pPr>
      <w:spacing w:afterLines="25" w:line="360" w:lineRule="auto"/>
      <w:ind w:firstLine="200" w:firstLineChars="200"/>
    </w:pPr>
    <w:rPr>
      <w:sz w:val="24"/>
    </w:rPr>
  </w:style>
  <w:style w:type="paragraph" w:customStyle="1" w:styleId="39">
    <w:name w:val="Char"/>
    <w:basedOn w:val="1"/>
    <w:qFormat/>
    <w:uiPriority w:val="0"/>
  </w:style>
  <w:style w:type="paragraph" w:customStyle="1" w:styleId="40">
    <w:name w:val="Char1"/>
    <w:basedOn w:val="1"/>
    <w:qFormat/>
    <w:uiPriority w:val="0"/>
  </w:style>
  <w:style w:type="paragraph" w:customStyle="1" w:styleId="41">
    <w:name w:val="Char Char Char"/>
    <w:basedOn w:val="1"/>
    <w:qFormat/>
    <w:uiPriority w:val="0"/>
  </w:style>
  <w:style w:type="paragraph" w:customStyle="1" w:styleId="4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3">
    <w:name w:val="Char Char Char Char"/>
    <w:basedOn w:val="1"/>
    <w:qFormat/>
    <w:uiPriority w:val="0"/>
    <w:pPr>
      <w:tabs>
        <w:tab w:val="left" w:pos="360"/>
      </w:tabs>
    </w:pPr>
  </w:style>
  <w:style w:type="paragraph" w:customStyle="1" w:styleId="44">
    <w:name w:val="Char Char1"/>
    <w:basedOn w:val="1"/>
    <w:qFormat/>
    <w:uiPriority w:val="0"/>
  </w:style>
  <w:style w:type="paragraph" w:customStyle="1" w:styleId="45">
    <w:name w:val="正文所"/>
    <w:basedOn w:val="1"/>
    <w:qFormat/>
    <w:uiPriority w:val="0"/>
    <w:pPr>
      <w:spacing w:line="360" w:lineRule="auto"/>
      <w:ind w:firstLine="420" w:firstLineChars="200"/>
    </w:pPr>
    <w:rPr>
      <w:rFonts w:ascii="宋体"/>
    </w:rPr>
  </w:style>
  <w:style w:type="paragraph" w:customStyle="1" w:styleId="46">
    <w:name w:val="Revision"/>
    <w:hidden/>
    <w:semiHidden/>
    <w:qFormat/>
    <w:uiPriority w:val="99"/>
    <w:rPr>
      <w:rFonts w:ascii="Times New Roman" w:hAnsi="Times New Roman" w:eastAsia="宋体" w:cs="Times New Roman"/>
      <w:kern w:val="2"/>
      <w:sz w:val="21"/>
      <w:lang w:val="en-US" w:eastAsia="zh-CN" w:bidi="ar-SA"/>
    </w:rPr>
  </w:style>
  <w:style w:type="character" w:customStyle="1" w:styleId="47">
    <w:name w:val="页脚 字符"/>
    <w:link w:val="13"/>
    <w:qFormat/>
    <w:uiPriority w:val="99"/>
    <w:rPr>
      <w:kern w:val="2"/>
      <w:sz w:val="18"/>
    </w:rPr>
  </w:style>
  <w:style w:type="character" w:customStyle="1" w:styleId="48">
    <w:name w:val="正文首行缩进 字符"/>
    <w:link w:val="21"/>
    <w:semiHidden/>
    <w:qFormat/>
    <w:uiPriority w:val="99"/>
    <w:rPr>
      <w:rFonts w:ascii="宋体"/>
      <w:kern w:val="2"/>
      <w:sz w:val="21"/>
    </w:rPr>
  </w:style>
  <w:style w:type="paragraph" w:customStyle="1" w:styleId="49">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character" w:customStyle="1" w:styleId="50">
    <w:name w:val="批注文字 字符"/>
    <w:link w:val="7"/>
    <w:qFormat/>
    <w:uiPriority w:val="0"/>
    <w:rPr>
      <w:kern w:val="2"/>
      <w:sz w:val="21"/>
    </w:rPr>
  </w:style>
  <w:style w:type="character" w:customStyle="1" w:styleId="51">
    <w:name w:val="纯文本 字符"/>
    <w:basedOn w:val="23"/>
    <w:link w:val="10"/>
    <w:qFormat/>
    <w:uiPriority w:val="99"/>
    <w:rPr>
      <w:rFonts w:ascii="宋体" w:hAnsi="Courier New"/>
      <w:sz w:val="21"/>
    </w:rPr>
  </w:style>
  <w:style w:type="paragraph" w:customStyle="1" w:styleId="52">
    <w:name w:val="列出段落1"/>
    <w:basedOn w:val="1"/>
    <w:qFormat/>
    <w:uiPriority w:val="0"/>
    <w:pPr>
      <w:ind w:firstLine="420" w:firstLineChars="200"/>
    </w:pPr>
  </w:style>
  <w:style w:type="paragraph" w:styleId="53">
    <w:name w:val="List Paragraph"/>
    <w:basedOn w:val="1"/>
    <w:qFormat/>
    <w:uiPriority w:val="34"/>
    <w:pPr>
      <w:ind w:firstLine="420" w:firstLineChars="200"/>
    </w:pPr>
  </w:style>
  <w:style w:type="paragraph" w:customStyle="1" w:styleId="54">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sz w:val="28"/>
      <w:szCs w:val="28"/>
    </w:rPr>
  </w:style>
  <w:style w:type="character" w:customStyle="1" w:styleId="55">
    <w:name w:val="标题 1 字符"/>
    <w:basedOn w:val="23"/>
    <w:link w:val="2"/>
    <w:qFormat/>
    <w:uiPriority w:val="0"/>
    <w:rPr>
      <w:rFonts w:ascii="宋体"/>
      <w:b/>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6B749-7912-43B6-A7AC-9CE72E6C040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109</Pages>
  <Words>10623</Words>
  <Characters>60555</Characters>
  <Lines>504</Lines>
  <Paragraphs>142</Paragraphs>
  <TotalTime>2</TotalTime>
  <ScaleCrop>false</ScaleCrop>
  <LinksUpToDate>false</LinksUpToDate>
  <CharactersWithSpaces>71036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2023-07-07T06:15:00Z</dcterms:created>
  <dc:creator>交银模板</dc:creator>
  <cp:lastModifiedBy>陈尚清</cp:lastModifiedBy>
  <cp:lastPrinted>2017-05-09T02:32:00Z</cp:lastPrinted>
  <dcterms:modified xsi:type="dcterms:W3CDTF">2026-10-26T05:56:11Z</dcterms:modified>
  <dc:title>___证券投资基金招募说明书1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5E77B8D794D1431FAD7A2CE8969AA554_12</vt:lpwstr>
  </property>
</Properties>
</file>