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63079">
      <w:pPr>
        <w:spacing w:before="50" w:after="50" w:line="360" w:lineRule="auto"/>
        <w:jc w:val="center"/>
        <w:outlineLvl w:val="0"/>
        <w:rPr>
          <w:rFonts w:ascii="宋体" w:hAnsi="宋体"/>
          <w:b/>
          <w:bCs/>
          <w:sz w:val="28"/>
          <w:szCs w:val="28"/>
        </w:rPr>
      </w:pPr>
      <w:r>
        <w:rPr>
          <w:rFonts w:hint="eastAsia" w:ascii="宋体" w:hAnsi="宋体" w:cs="宋体"/>
          <w:b/>
          <w:bCs/>
          <w:sz w:val="28"/>
          <w:szCs w:val="28"/>
          <w:lang w:eastAsia="zh-CN"/>
        </w:rPr>
        <w:t>交银施罗德佳盛债券型证券投资基金</w:t>
      </w:r>
      <w:r>
        <w:rPr>
          <w:rFonts w:hint="eastAsia" w:ascii="宋体" w:hAnsi="宋体" w:cs="宋体"/>
          <w:b/>
          <w:bCs/>
          <w:sz w:val="28"/>
          <w:szCs w:val="28"/>
        </w:rPr>
        <w:t>基金份额发售公告</w:t>
      </w:r>
    </w:p>
    <w:p w14:paraId="2DA71ED2">
      <w:pPr>
        <w:adjustRightInd w:val="0"/>
        <w:snapToGrid w:val="0"/>
        <w:spacing w:before="120" w:line="360" w:lineRule="auto"/>
        <w:jc w:val="center"/>
        <w:rPr>
          <w:rFonts w:ascii="宋体" w:hAnsi="宋体"/>
          <w:b/>
          <w:sz w:val="24"/>
        </w:rPr>
      </w:pPr>
    </w:p>
    <w:p w14:paraId="32C07EE6">
      <w:pPr>
        <w:adjustRightInd w:val="0"/>
        <w:snapToGrid w:val="0"/>
        <w:spacing w:before="120" w:line="360" w:lineRule="auto"/>
        <w:jc w:val="center"/>
        <w:outlineLvl w:val="0"/>
        <w:rPr>
          <w:rFonts w:ascii="宋体" w:hAnsi="宋体"/>
          <w:b/>
          <w:sz w:val="24"/>
        </w:rPr>
      </w:pPr>
      <w:r>
        <w:rPr>
          <w:rFonts w:hint="eastAsia" w:ascii="宋体" w:hAnsi="宋体"/>
          <w:b/>
          <w:sz w:val="24"/>
        </w:rPr>
        <w:t>重要提示</w:t>
      </w:r>
    </w:p>
    <w:p w14:paraId="3404AC45">
      <w:pPr>
        <w:adjustRightInd w:val="0"/>
        <w:snapToGrid w:val="0"/>
        <w:spacing w:line="360" w:lineRule="auto"/>
        <w:ind w:firstLine="480" w:firstLineChars="200"/>
        <w:rPr>
          <w:rFonts w:hAnsi="宋体"/>
          <w:sz w:val="24"/>
        </w:rPr>
      </w:pPr>
      <w:r>
        <w:rPr>
          <w:sz w:val="24"/>
        </w:rPr>
        <w:t>1</w:t>
      </w:r>
      <w:r>
        <w:rPr>
          <w:rFonts w:hAnsi="宋体"/>
          <w:sz w:val="24"/>
        </w:rPr>
        <w:t>、</w:t>
      </w:r>
      <w:r>
        <w:rPr>
          <w:rFonts w:hint="eastAsia" w:hAnsi="宋体"/>
          <w:sz w:val="24"/>
          <w:lang w:eastAsia="zh-CN"/>
        </w:rPr>
        <w:t>交银施罗德佳盛债券型证券投资基金</w:t>
      </w:r>
      <w:r>
        <w:rPr>
          <w:rFonts w:hAnsi="宋体"/>
          <w:sz w:val="24"/>
        </w:rPr>
        <w:t>（以下简称“本基金”）的募集已获中国证券监督管理委员会（以下简称“中国证监会”）证监许可【</w:t>
      </w:r>
      <w:r>
        <w:rPr>
          <w:rFonts w:hint="eastAsia" w:hAnsi="宋体"/>
          <w:sz w:val="24"/>
        </w:rPr>
        <w:t>202</w:t>
      </w:r>
      <w:r>
        <w:rPr>
          <w:rFonts w:hint="eastAsia" w:hAnsi="宋体"/>
          <w:sz w:val="24"/>
          <w:lang w:val="en-US" w:eastAsia="zh-CN"/>
        </w:rPr>
        <w:t>6</w:t>
      </w:r>
      <w:r>
        <w:rPr>
          <w:rFonts w:hAnsi="宋体"/>
          <w:sz w:val="24"/>
        </w:rPr>
        <w:t>】</w:t>
      </w:r>
      <w:r>
        <w:rPr>
          <w:rFonts w:hint="eastAsia" w:hAnsi="宋体"/>
          <w:kern w:val="0"/>
          <w:sz w:val="24"/>
          <w:lang w:val="en-US" w:eastAsia="zh-CN"/>
        </w:rPr>
        <w:t>2268</w:t>
      </w:r>
      <w:r>
        <w:rPr>
          <w:rFonts w:hAnsi="宋体"/>
          <w:sz w:val="24"/>
        </w:rPr>
        <w:t>号文</w:t>
      </w:r>
      <w:r>
        <w:rPr>
          <w:rFonts w:hint="eastAsia" w:ascii="宋体" w:hAnsi="宋体"/>
          <w:sz w:val="24"/>
        </w:rPr>
        <w:t>予以注册</w:t>
      </w:r>
      <w:r>
        <w:rPr>
          <w:rFonts w:hAnsi="宋体"/>
          <w:sz w:val="24"/>
        </w:rPr>
        <w:t>。中国证监会对本基金</w:t>
      </w:r>
      <w:r>
        <w:rPr>
          <w:rFonts w:hint="eastAsia" w:hAnsi="宋体"/>
          <w:sz w:val="24"/>
        </w:rPr>
        <w:t>募集</w:t>
      </w:r>
      <w:r>
        <w:rPr>
          <w:rFonts w:hAnsi="宋体"/>
          <w:sz w:val="24"/>
        </w:rPr>
        <w:t>的</w:t>
      </w:r>
      <w:r>
        <w:rPr>
          <w:rFonts w:hint="eastAsia" w:ascii="宋体" w:hAnsi="宋体"/>
          <w:sz w:val="24"/>
        </w:rPr>
        <w:t>注册</w:t>
      </w:r>
      <w:r>
        <w:rPr>
          <w:rFonts w:hAnsi="宋体"/>
          <w:sz w:val="24"/>
        </w:rPr>
        <w:t>并不代表中国证监会对本基金的</w:t>
      </w:r>
      <w:r>
        <w:rPr>
          <w:rFonts w:hint="eastAsia" w:hAnsi="宋体"/>
          <w:sz w:val="24"/>
        </w:rPr>
        <w:t>投资价值</w:t>
      </w:r>
      <w:r>
        <w:rPr>
          <w:rFonts w:hAnsi="宋体"/>
          <w:sz w:val="24"/>
        </w:rPr>
        <w:t>和市场前景作出实质性判断、推荐或者保证。</w:t>
      </w:r>
    </w:p>
    <w:p w14:paraId="6FF36502">
      <w:pPr>
        <w:adjustRightInd w:val="0"/>
        <w:snapToGrid w:val="0"/>
        <w:spacing w:line="360" w:lineRule="auto"/>
        <w:ind w:firstLine="480" w:firstLineChars="200"/>
        <w:rPr>
          <w:rFonts w:hAnsi="宋体"/>
          <w:sz w:val="24"/>
        </w:rPr>
      </w:pPr>
      <w:r>
        <w:rPr>
          <w:sz w:val="24"/>
        </w:rPr>
        <w:t>2</w:t>
      </w:r>
      <w:r>
        <w:rPr>
          <w:rFonts w:hAnsi="宋体"/>
          <w:sz w:val="24"/>
        </w:rPr>
        <w:t>、</w:t>
      </w:r>
      <w:r>
        <w:rPr>
          <w:rFonts w:hint="eastAsia" w:hAnsi="宋体"/>
          <w:sz w:val="24"/>
        </w:rPr>
        <w:t>本基金是</w:t>
      </w:r>
      <w:r>
        <w:rPr>
          <w:rFonts w:hAnsi="宋体"/>
          <w:sz w:val="24"/>
        </w:rPr>
        <w:t>契约型开放式</w:t>
      </w:r>
      <w:r>
        <w:rPr>
          <w:rFonts w:hint="eastAsia"/>
          <w:kern w:val="0"/>
          <w:sz w:val="24"/>
        </w:rPr>
        <w:t>债券型</w:t>
      </w:r>
      <w:r>
        <w:rPr>
          <w:rFonts w:hAnsi="宋体"/>
          <w:sz w:val="24"/>
        </w:rPr>
        <w:t>证券投资基金。</w:t>
      </w:r>
    </w:p>
    <w:p w14:paraId="71CC146F">
      <w:pPr>
        <w:adjustRightInd w:val="0"/>
        <w:snapToGrid w:val="0"/>
        <w:spacing w:line="360" w:lineRule="auto"/>
        <w:ind w:firstLine="480" w:firstLineChars="200"/>
        <w:rPr>
          <w:rFonts w:hAnsi="宋体"/>
          <w:sz w:val="24"/>
        </w:rPr>
      </w:pPr>
      <w:r>
        <w:rPr>
          <w:rFonts w:hint="eastAsia"/>
          <w:sz w:val="24"/>
        </w:rPr>
        <w:t>3、</w:t>
      </w:r>
      <w:r>
        <w:rPr>
          <w:rFonts w:hAnsi="宋体"/>
          <w:sz w:val="24"/>
        </w:rPr>
        <w:t>本基金的管理人为交银施罗德基金管理有限公司（以下使用全称或其简称“本公司”），托管人为</w:t>
      </w:r>
      <w:r>
        <w:rPr>
          <w:rFonts w:hint="eastAsia" w:hAnsi="宋体"/>
          <w:sz w:val="24"/>
          <w:lang w:val="en-US" w:eastAsia="zh-CN"/>
        </w:rPr>
        <w:t>上海浦东发展</w:t>
      </w:r>
      <w:r>
        <w:rPr>
          <w:rFonts w:hint="eastAsia" w:hAnsi="宋体"/>
          <w:sz w:val="24"/>
        </w:rPr>
        <w:t>银行股份有限公司</w:t>
      </w:r>
      <w:r>
        <w:rPr>
          <w:rFonts w:hAnsi="宋体"/>
          <w:sz w:val="24"/>
        </w:rPr>
        <w:t>，登记机构为</w:t>
      </w:r>
      <w:r>
        <w:rPr>
          <w:rFonts w:hint="eastAsia" w:hAnsi="宋体"/>
          <w:sz w:val="24"/>
        </w:rPr>
        <w:t>本</w:t>
      </w:r>
      <w:r>
        <w:rPr>
          <w:rFonts w:hAnsi="宋体"/>
          <w:sz w:val="24"/>
        </w:rPr>
        <w:t>公司。</w:t>
      </w:r>
    </w:p>
    <w:p w14:paraId="216C0253">
      <w:pPr>
        <w:adjustRightInd w:val="0"/>
        <w:snapToGrid w:val="0"/>
        <w:spacing w:line="360" w:lineRule="auto"/>
        <w:ind w:firstLine="480" w:firstLineChars="200"/>
        <w:rPr>
          <w:rFonts w:hAnsi="宋体"/>
          <w:sz w:val="24"/>
        </w:rPr>
      </w:pPr>
      <w:r>
        <w:rPr>
          <w:rFonts w:hint="eastAsia" w:hAnsi="宋体"/>
          <w:sz w:val="24"/>
          <w:lang w:val="en-US" w:eastAsia="zh-CN"/>
        </w:rPr>
        <w:t>4、</w:t>
      </w:r>
      <w:r>
        <w:rPr>
          <w:rFonts w:hint="eastAsia" w:hAnsi="宋体"/>
          <w:sz w:val="24"/>
        </w:rPr>
        <w:t>本基金根据认购/申购费用、销售服务费收取方式的不同，将基金份额分为不同的类别。在投资人认购/申购时收取认购/申购费用</w:t>
      </w:r>
      <w:r>
        <w:rPr>
          <w:rFonts w:hint="eastAsia" w:hAnsi="宋体"/>
          <w:sz w:val="24"/>
          <w:lang w:val="en-US" w:eastAsia="zh-CN"/>
        </w:rPr>
        <w:t>且</w:t>
      </w:r>
      <w:r>
        <w:rPr>
          <w:rFonts w:hint="eastAsia" w:hAnsi="宋体"/>
          <w:sz w:val="24"/>
        </w:rPr>
        <w:t>不从本类别基金资产中计提销售服务费的，称为A类基金份额</w:t>
      </w:r>
      <w:r>
        <w:rPr>
          <w:rFonts w:hint="eastAsia"/>
          <w:bCs/>
          <w:sz w:val="24"/>
          <w:lang w:eastAsia="zh-CN"/>
        </w:rPr>
        <w:t>（</w:t>
      </w:r>
      <w:r>
        <w:rPr>
          <w:rFonts w:hint="eastAsia"/>
          <w:bCs/>
          <w:sz w:val="24"/>
        </w:rPr>
        <w:t>其中，对于投资人通过直销机构认购/申购的A类基金份额，不收取认购/申购费用）</w:t>
      </w:r>
      <w:r>
        <w:rPr>
          <w:rFonts w:hint="eastAsia" w:hAnsi="宋体"/>
          <w:sz w:val="24"/>
        </w:rPr>
        <w:t>；在投资人认购/申购时不收取认购/申购费用</w:t>
      </w:r>
      <w:r>
        <w:rPr>
          <w:rFonts w:hint="eastAsia" w:hAnsi="宋体"/>
          <w:sz w:val="24"/>
          <w:lang w:val="en-US" w:eastAsia="zh-CN"/>
        </w:rPr>
        <w:t>且</w:t>
      </w:r>
      <w:r>
        <w:rPr>
          <w:rFonts w:hint="eastAsia" w:hAnsi="宋体"/>
          <w:sz w:val="24"/>
        </w:rPr>
        <w:t>从本类别基金资产中计提销售服务费的，称为C类基金份额</w:t>
      </w:r>
      <w:r>
        <w:rPr>
          <w:rFonts w:hint="eastAsia"/>
          <w:bCs/>
          <w:sz w:val="24"/>
        </w:rPr>
        <w:t>（其中，对于投资人通过直销机构认购/申购的</w:t>
      </w:r>
      <w:r>
        <w:rPr>
          <w:rFonts w:ascii="Times New Roman" w:hAnsi="Times New Roman"/>
          <w:sz w:val="24"/>
        </w:rPr>
        <w:t>C</w:t>
      </w:r>
      <w:r>
        <w:rPr>
          <w:rFonts w:hint="eastAsia" w:ascii="Times New Roman" w:hAnsi="Times New Roman"/>
          <w:sz w:val="24"/>
        </w:rPr>
        <w:t>类</w:t>
      </w:r>
      <w:r>
        <w:rPr>
          <w:rFonts w:hint="eastAsia"/>
          <w:bCs/>
          <w:sz w:val="24"/>
        </w:rPr>
        <w:t>基金份额，计提的销售服务费将在投资人赎回相应基金份额或基金合同终止时随赎回款或清算款一并返还给投资人；对于投资人通过其他销售机构认购/申购的</w:t>
      </w:r>
      <w:r>
        <w:rPr>
          <w:rFonts w:ascii="Times New Roman" w:hAnsi="Times New Roman"/>
          <w:sz w:val="24"/>
        </w:rPr>
        <w:t>C</w:t>
      </w:r>
      <w:r>
        <w:rPr>
          <w:rFonts w:hint="eastAsia" w:ascii="Times New Roman" w:hAnsi="Times New Roman"/>
          <w:sz w:val="24"/>
        </w:rPr>
        <w:t>类</w:t>
      </w:r>
      <w:r>
        <w:rPr>
          <w:rFonts w:hint="eastAsia"/>
          <w:bCs/>
          <w:sz w:val="24"/>
        </w:rPr>
        <w:t>基金份额，持续持有超过一年后计提的销售服务费将在投资人赎回相应基金份额或基金合同终止时随赎回款或清算款一并返还给投资人）</w:t>
      </w:r>
      <w:r>
        <w:rPr>
          <w:rFonts w:hint="eastAsia" w:hAnsi="宋体"/>
          <w:sz w:val="24"/>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暂不开通互相转换业务。如后续开通此项业务的，无需召开基金份额持有人大会审议，但调整前基金管理人需及时公告。</w:t>
      </w:r>
    </w:p>
    <w:p w14:paraId="782A9A7F">
      <w:pPr>
        <w:adjustRightInd w:val="0"/>
        <w:snapToGrid w:val="0"/>
        <w:spacing w:line="360" w:lineRule="auto"/>
        <w:ind w:firstLine="480" w:firstLineChars="200"/>
        <w:rPr>
          <w:rFonts w:ascii="宋体" w:hAnsi="宋体"/>
          <w:sz w:val="24"/>
        </w:rPr>
      </w:pPr>
      <w:r>
        <w:rPr>
          <w:rFonts w:hint="eastAsia" w:hAnsi="宋体"/>
          <w:sz w:val="24"/>
          <w:lang w:val="en-US" w:eastAsia="zh-CN"/>
        </w:rPr>
        <w:t>5</w:t>
      </w:r>
      <w:r>
        <w:rPr>
          <w:rFonts w:hint="eastAsia" w:hAnsi="宋体"/>
          <w:sz w:val="24"/>
        </w:rPr>
        <w:t>、</w:t>
      </w:r>
      <w:r>
        <w:rPr>
          <w:rFonts w:hint="eastAsia" w:ascii="宋体" w:hAnsi="宋体"/>
          <w:sz w:val="24"/>
        </w:rPr>
        <w:t>投资者可以通过基金管理人的直销机构即基金管理人直销</w:t>
      </w:r>
      <w:r>
        <w:rPr>
          <w:rFonts w:ascii="宋体" w:hAnsi="宋体"/>
          <w:sz w:val="24"/>
        </w:rPr>
        <w:t>柜台以及</w:t>
      </w:r>
      <w:r>
        <w:rPr>
          <w:rFonts w:hint="eastAsia" w:ascii="宋体" w:hAnsi="宋体"/>
          <w:sz w:val="24"/>
        </w:rPr>
        <w:t>基金管理人</w:t>
      </w:r>
      <w:r>
        <w:rPr>
          <w:rFonts w:ascii="宋体" w:hAnsi="宋体"/>
          <w:sz w:val="24"/>
        </w:rPr>
        <w:t>的网上直销交易平台</w:t>
      </w:r>
      <w:r>
        <w:rPr>
          <w:rFonts w:hint="eastAsia" w:ascii="宋体" w:hAnsi="宋体"/>
          <w:sz w:val="24"/>
        </w:rPr>
        <w:t>（网站</w:t>
      </w:r>
      <w:r>
        <w:rPr>
          <w:rFonts w:ascii="宋体" w:hAnsi="宋体"/>
          <w:sz w:val="24"/>
        </w:rPr>
        <w:t>及手</w:t>
      </w:r>
      <w:r>
        <w:rPr>
          <w:rFonts w:hint="eastAsia" w:ascii="Times New Roman" w:hAnsi="宋体"/>
          <w:sz w:val="24"/>
        </w:rPr>
        <w:t>机APP</w:t>
      </w:r>
      <w:r>
        <w:rPr>
          <w:rFonts w:hint="eastAsia" w:ascii="宋体" w:hAnsi="宋体"/>
          <w:sz w:val="24"/>
        </w:rPr>
        <w:t>，</w:t>
      </w:r>
      <w:r>
        <w:rPr>
          <w:rFonts w:ascii="宋体" w:hAnsi="宋体"/>
          <w:sz w:val="24"/>
        </w:rPr>
        <w:t>下同）</w:t>
      </w:r>
      <w:r>
        <w:rPr>
          <w:rFonts w:hint="eastAsia" w:ascii="宋体" w:hAnsi="宋体"/>
          <w:sz w:val="24"/>
        </w:rPr>
        <w:t>和除基金管理人之外的其他销售机构（以下或称“其他销售机构”）认购本基金。</w:t>
      </w:r>
      <w:r>
        <w:rPr>
          <w:rFonts w:ascii="宋体" w:hAnsi="宋体"/>
          <w:sz w:val="24"/>
        </w:rPr>
        <w:t>本公告中如无特别说明，销售机构即指直销机构和</w:t>
      </w:r>
      <w:r>
        <w:rPr>
          <w:rFonts w:hint="eastAsia" w:ascii="宋体" w:hAnsi="宋体"/>
          <w:sz w:val="24"/>
        </w:rPr>
        <w:t>其他销售机构</w:t>
      </w:r>
      <w:r>
        <w:rPr>
          <w:rFonts w:ascii="宋体" w:hAnsi="宋体"/>
          <w:sz w:val="24"/>
        </w:rPr>
        <w:t>。具体销售机构名单详见本公告“</w:t>
      </w:r>
      <w:r>
        <w:rPr>
          <w:rFonts w:hint="eastAsia" w:ascii="宋体" w:hAnsi="宋体"/>
          <w:sz w:val="24"/>
        </w:rPr>
        <w:t>九、本次募集当事人或中介机构”项下“（三）销售机构”</w:t>
      </w:r>
      <w:r>
        <w:rPr>
          <w:rFonts w:ascii="宋体" w:hAnsi="宋体"/>
          <w:sz w:val="24"/>
        </w:rPr>
        <w:t>章节</w:t>
      </w:r>
      <w:r>
        <w:rPr>
          <w:rFonts w:hint="eastAsia" w:ascii="宋体" w:hAnsi="宋体"/>
          <w:sz w:val="24"/>
        </w:rPr>
        <w:t>。</w:t>
      </w:r>
    </w:p>
    <w:p w14:paraId="4BD30FF7">
      <w:pPr>
        <w:adjustRightInd w:val="0"/>
        <w:snapToGrid w:val="0"/>
        <w:spacing w:line="360" w:lineRule="auto"/>
        <w:ind w:firstLine="480" w:firstLineChars="200"/>
        <w:rPr>
          <w:rFonts w:hint="default" w:ascii="宋体" w:hAnsi="宋体" w:eastAsia="宋体"/>
          <w:sz w:val="24"/>
          <w:lang w:val="en-US" w:eastAsia="zh-CN"/>
        </w:rPr>
      </w:pPr>
      <w:r>
        <w:rPr>
          <w:rFonts w:hint="eastAsia" w:ascii="宋体" w:hAnsi="宋体"/>
          <w:sz w:val="24"/>
        </w:rPr>
        <w:t>本基金</w:t>
      </w:r>
      <w:r>
        <w:rPr>
          <w:rFonts w:hint="eastAsia" w:ascii="Times New Roman" w:hAnsi="宋体"/>
          <w:sz w:val="24"/>
        </w:rPr>
        <w:t>C类</w:t>
      </w:r>
      <w:r>
        <w:rPr>
          <w:rFonts w:hint="eastAsia" w:ascii="宋体" w:hAnsi="宋体"/>
          <w:sz w:val="24"/>
        </w:rPr>
        <w:t>基金份额暂不开通直销机构</w:t>
      </w:r>
      <w:r>
        <w:rPr>
          <w:rFonts w:hint="eastAsia" w:ascii="宋体" w:hAnsi="宋体"/>
          <w:sz w:val="24"/>
          <w:lang w:val="en-US" w:eastAsia="zh-CN"/>
        </w:rPr>
        <w:t>销售渠道</w:t>
      </w:r>
      <w:r>
        <w:rPr>
          <w:rFonts w:hint="eastAsia" w:ascii="宋体" w:hAnsi="宋体"/>
          <w:sz w:val="24"/>
          <w:lang w:eastAsia="zh-CN"/>
        </w:rPr>
        <w:t>，</w:t>
      </w:r>
      <w:r>
        <w:rPr>
          <w:rFonts w:hint="eastAsia" w:ascii="宋体" w:hAnsi="宋体"/>
          <w:sz w:val="24"/>
        </w:rPr>
        <w:t>投资者如需选</w:t>
      </w:r>
      <w:r>
        <w:rPr>
          <w:rFonts w:hint="eastAsia" w:ascii="Times New Roman" w:hAnsi="宋体"/>
          <w:sz w:val="24"/>
        </w:rPr>
        <w:t>择C类</w:t>
      </w:r>
      <w:r>
        <w:rPr>
          <w:rFonts w:hint="eastAsia" w:ascii="宋体" w:hAnsi="宋体"/>
          <w:sz w:val="24"/>
        </w:rPr>
        <w:t>基金</w:t>
      </w:r>
      <w:r>
        <w:rPr>
          <w:rFonts w:hint="eastAsia" w:ascii="宋体" w:hAnsi="宋体"/>
          <w:sz w:val="24"/>
          <w:lang w:val="en-US" w:eastAsia="zh-CN"/>
        </w:rPr>
        <w:t>份额可通过其他销售机构进行认购。</w:t>
      </w:r>
    </w:p>
    <w:p w14:paraId="7C5BD88A">
      <w:pPr>
        <w:adjustRightInd w:val="0"/>
        <w:snapToGrid w:val="0"/>
        <w:spacing w:line="360" w:lineRule="auto"/>
        <w:ind w:firstLine="480" w:firstLineChars="200"/>
        <w:rPr>
          <w:rFonts w:ascii="宋体" w:hAnsi="宋体"/>
          <w:sz w:val="24"/>
        </w:rPr>
      </w:pPr>
      <w:r>
        <w:rPr>
          <w:rFonts w:hint="eastAsia" w:ascii="宋体" w:hAnsi="宋体"/>
          <w:sz w:val="24"/>
        </w:rPr>
        <w:t>基金管理人可根据有关法律法规的要求，选择其他符合要求的机构销售本基金。除法律法规另有规定外，任何与基金份额发售有关的当事人不得提前发售基金份额。</w:t>
      </w:r>
    </w:p>
    <w:p w14:paraId="2A951425">
      <w:pPr>
        <w:adjustRightInd w:val="0"/>
        <w:snapToGrid w:val="0"/>
        <w:spacing w:line="360" w:lineRule="auto"/>
        <w:ind w:firstLine="480" w:firstLineChars="200"/>
        <w:rPr>
          <w:sz w:val="24"/>
        </w:rPr>
      </w:pPr>
      <w:r>
        <w:rPr>
          <w:rFonts w:hint="eastAsia"/>
          <w:sz w:val="24"/>
          <w:lang w:val="en-US" w:eastAsia="zh-CN"/>
        </w:rPr>
        <w:t>6</w:t>
      </w:r>
      <w:r>
        <w:rPr>
          <w:rFonts w:hAnsi="宋体"/>
          <w:sz w:val="24"/>
        </w:rPr>
        <w:t>、基金募集期：本基金自</w:t>
      </w:r>
      <w:r>
        <w:rPr>
          <w:rFonts w:hint="eastAsia"/>
          <w:sz w:val="24"/>
          <w:highlight w:val="none"/>
        </w:rPr>
        <w:t>202</w:t>
      </w:r>
      <w:r>
        <w:rPr>
          <w:rFonts w:hint="eastAsia"/>
          <w:sz w:val="24"/>
          <w:highlight w:val="none"/>
          <w:lang w:val="en-US" w:eastAsia="zh-CN"/>
        </w:rPr>
        <w:t>6</w:t>
      </w:r>
      <w:r>
        <w:rPr>
          <w:rFonts w:hint="eastAsia"/>
          <w:sz w:val="24"/>
          <w:highlight w:val="none"/>
        </w:rPr>
        <w:t>年</w:t>
      </w:r>
      <w:r>
        <w:rPr>
          <w:rFonts w:hint="eastAsia"/>
          <w:sz w:val="24"/>
          <w:highlight w:val="none"/>
          <w:lang w:val="en-US" w:eastAsia="zh-CN"/>
        </w:rPr>
        <w:t>11</w:t>
      </w:r>
      <w:r>
        <w:rPr>
          <w:rFonts w:hint="eastAsia"/>
          <w:sz w:val="24"/>
          <w:highlight w:val="none"/>
          <w:lang w:val="en-US" w:eastAsia="zh-CN"/>
        </w:rPr>
        <w:t>月</w:t>
      </w:r>
      <w:r>
        <w:rPr>
          <w:rFonts w:hint="eastAsia"/>
          <w:sz w:val="24"/>
          <w:highlight w:val="none"/>
          <w:lang w:val="en-US" w:eastAsia="zh-CN"/>
        </w:rPr>
        <w:t>2</w:t>
      </w:r>
      <w:r>
        <w:rPr>
          <w:rFonts w:hint="eastAsia"/>
          <w:sz w:val="24"/>
          <w:highlight w:val="none"/>
          <w:lang w:val="en-US" w:eastAsia="zh-CN"/>
        </w:rPr>
        <w:t>日</w:t>
      </w:r>
      <w:r>
        <w:rPr>
          <w:rFonts w:hint="eastAsia"/>
          <w:sz w:val="24"/>
          <w:highlight w:val="none"/>
        </w:rPr>
        <w:t>起至202</w:t>
      </w:r>
      <w:r>
        <w:rPr>
          <w:rFonts w:hint="eastAsia"/>
          <w:sz w:val="24"/>
          <w:highlight w:val="none"/>
          <w:lang w:val="en-US" w:eastAsia="zh-CN"/>
        </w:rPr>
        <w:t>6</w:t>
      </w:r>
      <w:r>
        <w:rPr>
          <w:rFonts w:hint="eastAsia"/>
          <w:sz w:val="24"/>
          <w:highlight w:val="none"/>
        </w:rPr>
        <w:t>年</w:t>
      </w:r>
      <w:r>
        <w:rPr>
          <w:rFonts w:hint="eastAsia"/>
          <w:sz w:val="24"/>
          <w:highlight w:val="none"/>
          <w:lang w:val="en-US" w:eastAsia="zh-CN"/>
        </w:rPr>
        <w:t>11</w:t>
      </w:r>
      <w:r>
        <w:rPr>
          <w:rFonts w:hint="eastAsia"/>
          <w:sz w:val="24"/>
          <w:highlight w:val="none"/>
          <w:lang w:val="en-US" w:eastAsia="zh-CN"/>
        </w:rPr>
        <w:t>月</w:t>
      </w:r>
      <w:r>
        <w:rPr>
          <w:rFonts w:hint="eastAsia"/>
          <w:sz w:val="24"/>
          <w:highlight w:val="none"/>
          <w:lang w:val="en-US" w:eastAsia="zh-CN"/>
        </w:rPr>
        <w:t>20</w:t>
      </w:r>
      <w:r>
        <w:rPr>
          <w:rFonts w:hint="eastAsia"/>
          <w:sz w:val="24"/>
          <w:highlight w:val="none"/>
          <w:lang w:val="en-US" w:eastAsia="zh-CN"/>
        </w:rPr>
        <w:t>日</w:t>
      </w:r>
      <w:r>
        <w:rPr>
          <w:rFonts w:hAnsi="宋体"/>
          <w:sz w:val="24"/>
          <w:highlight w:val="none"/>
        </w:rPr>
        <w:t>止通</w:t>
      </w:r>
      <w:r>
        <w:rPr>
          <w:rFonts w:hAnsi="宋体"/>
          <w:sz w:val="24"/>
        </w:rPr>
        <w:t>过销售机构公开发售</w:t>
      </w:r>
      <w:r>
        <w:rPr>
          <w:rFonts w:hint="eastAsia"/>
          <w:sz w:val="24"/>
        </w:rPr>
        <w:t>（</w:t>
      </w:r>
      <w:r>
        <w:rPr>
          <w:rFonts w:hAnsi="宋体"/>
          <w:sz w:val="24"/>
        </w:rPr>
        <w:t>具体业务办理时间见各销售机构的相关业务公告或拨打客户服务电话咨询</w:t>
      </w:r>
      <w:r>
        <w:rPr>
          <w:rFonts w:hint="eastAsia"/>
          <w:sz w:val="24"/>
        </w:rPr>
        <w:t>）</w:t>
      </w:r>
      <w:r>
        <w:rPr>
          <w:rFonts w:hAnsi="宋体"/>
          <w:sz w:val="24"/>
        </w:rPr>
        <w:t>。本基金的募集期限不超过</w:t>
      </w:r>
      <w:r>
        <w:rPr>
          <w:sz w:val="24"/>
        </w:rPr>
        <w:t>3</w:t>
      </w:r>
      <w:r>
        <w:rPr>
          <w:rFonts w:hAnsi="宋体"/>
          <w:sz w:val="24"/>
        </w:rPr>
        <w:t>个月，自基金份额开始发售之日起计算。本公司也可根据基金销售情况在募集期限内适当延长或缩短基金发售时间，并及时公告。</w:t>
      </w:r>
    </w:p>
    <w:p w14:paraId="0D4F0CE2">
      <w:pPr>
        <w:autoSpaceDE w:val="0"/>
        <w:autoSpaceDN w:val="0"/>
        <w:adjustRightInd w:val="0"/>
        <w:snapToGrid w:val="0"/>
        <w:spacing w:line="360" w:lineRule="auto"/>
        <w:ind w:firstLine="480" w:firstLineChars="200"/>
        <w:rPr>
          <w:rFonts w:hAnsi="宋体"/>
          <w:sz w:val="24"/>
        </w:rPr>
      </w:pPr>
      <w:r>
        <w:rPr>
          <w:rFonts w:hint="eastAsia"/>
          <w:sz w:val="24"/>
          <w:lang w:val="en-US" w:eastAsia="zh-CN"/>
        </w:rPr>
        <w:t>7</w:t>
      </w:r>
      <w:r>
        <w:rPr>
          <w:rFonts w:hAnsi="宋体"/>
          <w:sz w:val="24"/>
        </w:rPr>
        <w:t>、本基金募集对象为</w:t>
      </w:r>
      <w:r>
        <w:rPr>
          <w:rFonts w:hAnsi="宋体"/>
          <w:bCs/>
          <w:sz w:val="24"/>
        </w:rPr>
        <w:t>符合法律法规规定的可投资于证券投资基金的</w:t>
      </w:r>
      <w:r>
        <w:rPr>
          <w:rFonts w:hAnsi="宋体"/>
          <w:sz w:val="24"/>
        </w:rPr>
        <w:t>个人投资者、机构投资者</w:t>
      </w:r>
      <w:r>
        <w:rPr>
          <w:rFonts w:hint="eastAsia" w:hAnsi="宋体"/>
          <w:sz w:val="24"/>
        </w:rPr>
        <w:t>、</w:t>
      </w:r>
      <w:r>
        <w:rPr>
          <w:rFonts w:hAnsi="宋体"/>
          <w:sz w:val="24"/>
        </w:rPr>
        <w:t>合格境外</w:t>
      </w:r>
      <w:r>
        <w:rPr>
          <w:rFonts w:hint="eastAsia"/>
          <w:color w:val="000000"/>
          <w:kern w:val="0"/>
          <w:sz w:val="24"/>
        </w:rPr>
        <w:t>投资者</w:t>
      </w:r>
      <w:r>
        <w:rPr>
          <w:rFonts w:hAnsi="宋体"/>
          <w:sz w:val="24"/>
        </w:rPr>
        <w:t>以及法律法规或中国证监会允许购买证券投资基金的其他投资人</w:t>
      </w:r>
      <w:r>
        <w:rPr>
          <w:rFonts w:hint="eastAsia"/>
          <w:color w:val="000000"/>
          <w:kern w:val="0"/>
          <w:sz w:val="24"/>
        </w:rPr>
        <w:t>（以下合称“投资人”或“投资者”）</w:t>
      </w:r>
      <w:r>
        <w:rPr>
          <w:rFonts w:hAnsi="宋体"/>
          <w:sz w:val="24"/>
        </w:rPr>
        <w:t>。</w:t>
      </w:r>
    </w:p>
    <w:p w14:paraId="014220D0">
      <w:pPr>
        <w:adjustRightInd w:val="0"/>
        <w:snapToGrid w:val="0"/>
        <w:spacing w:line="360" w:lineRule="auto"/>
        <w:ind w:firstLine="480" w:firstLineChars="200"/>
        <w:rPr>
          <w:rFonts w:hAnsi="宋体"/>
          <w:kern w:val="0"/>
          <w:sz w:val="24"/>
        </w:rPr>
      </w:pPr>
      <w:r>
        <w:rPr>
          <w:rFonts w:hint="eastAsia"/>
          <w:sz w:val="24"/>
          <w:lang w:val="en-US" w:eastAsia="zh-CN"/>
        </w:rPr>
        <w:t>8</w:t>
      </w:r>
      <w:r>
        <w:rPr>
          <w:rFonts w:hAnsi="宋体"/>
          <w:sz w:val="24"/>
        </w:rPr>
        <w:t>、</w:t>
      </w:r>
      <w:r>
        <w:rPr>
          <w:rFonts w:hint="eastAsia" w:hAnsi="宋体"/>
          <w:kern w:val="0"/>
          <w:sz w:val="24"/>
        </w:rPr>
        <w:t>投资人认购本基金时，需首先开立本公司的基金账户。除法律法规另有规定外，一个投资人只能开设和使用一个本公司的基金账户。不得非法利用他人账户或资金进行认购，也不得违规融资或帮助他人违规进行认购。投资人应保证用于认购的资金来源合法，投资人应有权自行支配，不存在任何法律上、合约上或其他障碍。投资者在首次认购本基金时，需按本基金销售机构的规定，提出开立本公司的基金账户和销售机构交易账户的申请。若投资者已经开立本公司的基金账户，则无须再另行开立本公司的基金账户，直接以此基金账户办理认购申请即可。请投资者注意，如同日在不同销售机构申请开立本公司的基金账户，可能导致开户失败。投资者的开户和认购申请可同时办理，一次完成，但认购申请的确认须以开户确认成功为前提条件，若开户无效，认购申请也同时无效。</w:t>
      </w:r>
    </w:p>
    <w:p w14:paraId="086CA609">
      <w:pPr>
        <w:adjustRightInd w:val="0"/>
        <w:snapToGrid w:val="0"/>
        <w:spacing w:line="360" w:lineRule="auto"/>
        <w:ind w:firstLine="480" w:firstLineChars="200"/>
        <w:rPr>
          <w:sz w:val="24"/>
        </w:rPr>
      </w:pPr>
      <w:r>
        <w:rPr>
          <w:rFonts w:hint="eastAsia" w:hAnsi="宋体"/>
          <w:kern w:val="0"/>
          <w:sz w:val="24"/>
          <w:lang w:val="en-US" w:eastAsia="zh-CN"/>
        </w:rPr>
        <w:t>9</w:t>
      </w:r>
      <w:r>
        <w:rPr>
          <w:rFonts w:hint="eastAsia" w:hAnsi="宋体"/>
          <w:kern w:val="0"/>
          <w:sz w:val="24"/>
        </w:rPr>
        <w:t>、</w:t>
      </w:r>
      <w:r>
        <w:rPr>
          <w:rFonts w:hAnsi="宋体"/>
          <w:sz w:val="24"/>
        </w:rPr>
        <w:t>认购限额：</w:t>
      </w:r>
      <w:r>
        <w:rPr>
          <w:rFonts w:hint="eastAsia"/>
          <w:color w:val="000000"/>
          <w:kern w:val="0"/>
          <w:sz w:val="24"/>
        </w:rPr>
        <w:t>直销机构接受首次认购申请的最低金额为单笔</w:t>
      </w:r>
      <w:r>
        <w:rPr>
          <w:color w:val="000000"/>
          <w:kern w:val="0"/>
          <w:sz w:val="24"/>
        </w:rPr>
        <w:t>100</w:t>
      </w:r>
      <w:r>
        <w:rPr>
          <w:rFonts w:hint="eastAsia"/>
          <w:color w:val="000000"/>
          <w:kern w:val="0"/>
          <w:sz w:val="24"/>
        </w:rPr>
        <w:t>万元，追加认购的最低金额为单笔</w:t>
      </w:r>
      <w:r>
        <w:rPr>
          <w:color w:val="000000"/>
          <w:kern w:val="0"/>
          <w:sz w:val="24"/>
        </w:rPr>
        <w:t>10</w:t>
      </w:r>
      <w:r>
        <w:rPr>
          <w:rFonts w:hint="eastAsia"/>
          <w:color w:val="000000"/>
          <w:kern w:val="0"/>
          <w:sz w:val="24"/>
        </w:rPr>
        <w:t>万元；已在直销机构有认购或申购过本基金管理人管理的其他基金记录的投资人不受首次认购最低金额的限制。通过基金管理人网上直销交易平台办理本基金认购业务的不受直销机构最低认购金额的限制，认购最低金额为单笔</w:t>
      </w:r>
      <w:r>
        <w:rPr>
          <w:color w:val="000000"/>
          <w:kern w:val="0"/>
          <w:sz w:val="24"/>
        </w:rPr>
        <w:t>1</w:t>
      </w:r>
      <w:r>
        <w:rPr>
          <w:rFonts w:hint="eastAsia"/>
          <w:color w:val="000000"/>
          <w:kern w:val="0"/>
          <w:sz w:val="24"/>
        </w:rPr>
        <w:t>元。本基金直销机构单笔认购最低金额可由基金管理人酌情调整。其他销售机构接受认购申请的最低金额为单笔</w:t>
      </w:r>
      <w:r>
        <w:rPr>
          <w:color w:val="000000"/>
          <w:kern w:val="0"/>
          <w:sz w:val="24"/>
        </w:rPr>
        <w:t>1</w:t>
      </w:r>
      <w:r>
        <w:rPr>
          <w:rFonts w:hint="eastAsia"/>
          <w:color w:val="000000"/>
          <w:kern w:val="0"/>
          <w:sz w:val="24"/>
        </w:rPr>
        <w:t>元，如果销售机构业务规则规定的最低单笔认购金额高于</w:t>
      </w:r>
      <w:r>
        <w:rPr>
          <w:color w:val="000000"/>
          <w:kern w:val="0"/>
          <w:sz w:val="24"/>
        </w:rPr>
        <w:t>1</w:t>
      </w:r>
      <w:r>
        <w:rPr>
          <w:rFonts w:hint="eastAsia"/>
          <w:color w:val="000000"/>
          <w:kern w:val="0"/>
          <w:sz w:val="24"/>
        </w:rPr>
        <w:t>元，以该销售机构的规定为准。</w:t>
      </w:r>
      <w:r>
        <w:rPr>
          <w:rFonts w:hAnsi="宋体"/>
          <w:sz w:val="24"/>
        </w:rPr>
        <w:t>投资人在募集期内可多次认购基金份额，认购费</w:t>
      </w:r>
      <w:r>
        <w:rPr>
          <w:rFonts w:hint="eastAsia" w:hAnsi="宋体"/>
          <w:sz w:val="24"/>
        </w:rPr>
        <w:t>用</w:t>
      </w:r>
      <w:r>
        <w:rPr>
          <w:rFonts w:hAnsi="宋体"/>
          <w:sz w:val="24"/>
        </w:rPr>
        <w:t>按每笔认购申请单独计算，</w:t>
      </w:r>
      <w:r>
        <w:rPr>
          <w:rFonts w:hAnsi="宋体"/>
          <w:kern w:val="0"/>
          <w:sz w:val="24"/>
        </w:rPr>
        <w:t>认购申请一经</w:t>
      </w:r>
      <w:r>
        <w:rPr>
          <w:rFonts w:hint="eastAsia" w:hAnsi="宋体"/>
          <w:kern w:val="0"/>
          <w:sz w:val="24"/>
        </w:rPr>
        <w:t>登记</w:t>
      </w:r>
      <w:r>
        <w:rPr>
          <w:rFonts w:hAnsi="宋体"/>
          <w:kern w:val="0"/>
          <w:sz w:val="24"/>
        </w:rPr>
        <w:t>机构受理不得撤销</w:t>
      </w:r>
      <w:r>
        <w:rPr>
          <w:rFonts w:hAnsi="宋体"/>
          <w:sz w:val="24"/>
        </w:rPr>
        <w:t>。</w:t>
      </w:r>
    </w:p>
    <w:p w14:paraId="0C412CB5">
      <w:pPr>
        <w:adjustRightInd w:val="0"/>
        <w:snapToGrid w:val="0"/>
        <w:spacing w:line="360" w:lineRule="auto"/>
        <w:ind w:firstLine="480" w:firstLineChars="200"/>
        <w:rPr>
          <w:sz w:val="24"/>
        </w:rPr>
      </w:pPr>
      <w:r>
        <w:rPr>
          <w:rFonts w:hint="eastAsia"/>
          <w:sz w:val="24"/>
          <w:lang w:val="en-US" w:eastAsia="zh-CN"/>
        </w:rPr>
        <w:t>10</w:t>
      </w:r>
      <w:r>
        <w:rPr>
          <w:rFonts w:hAnsi="宋体"/>
          <w:sz w:val="24"/>
        </w:rPr>
        <w:t>、销售网点（指直销机构和</w:t>
      </w:r>
      <w:r>
        <w:rPr>
          <w:sz w:val="24"/>
        </w:rPr>
        <w:t>/</w:t>
      </w:r>
      <w:r>
        <w:rPr>
          <w:rFonts w:hAnsi="宋体"/>
          <w:sz w:val="24"/>
        </w:rPr>
        <w:t>或</w:t>
      </w:r>
      <w:r>
        <w:rPr>
          <w:rFonts w:hint="eastAsia" w:hAnsi="宋体"/>
          <w:sz w:val="24"/>
        </w:rPr>
        <w:t>其他</w:t>
      </w:r>
      <w:r>
        <w:rPr>
          <w:rFonts w:hAnsi="宋体"/>
          <w:sz w:val="24"/>
        </w:rPr>
        <w:t>销售机构的销售网点）对申请的受理并不表示对该申请的成功确认，而仅代表销售网点确实接收到认购申请。申请的成功确认应以基金合同生效后、登记机构的确认登记为准。投资人可以在基金合同生效后到原认购网点打印认购成交确认凭证。</w:t>
      </w:r>
      <w:r>
        <w:rPr>
          <w:rFonts w:hAnsi="宋体"/>
          <w:kern w:val="0"/>
          <w:sz w:val="24"/>
        </w:rPr>
        <w:t>本基金管理人将向</w:t>
      </w:r>
      <w:r>
        <w:rPr>
          <w:rFonts w:hint="eastAsia" w:hAnsi="宋体"/>
          <w:kern w:val="0"/>
          <w:sz w:val="24"/>
        </w:rPr>
        <w:t>投资人</w:t>
      </w:r>
      <w:r>
        <w:rPr>
          <w:rFonts w:hAnsi="宋体"/>
          <w:kern w:val="0"/>
          <w:sz w:val="24"/>
        </w:rPr>
        <w:t>提供电子或纸质对账单，需要订阅或取消的客户可与本基金管理人客户服务中心（</w:t>
      </w:r>
      <w:r>
        <w:rPr>
          <w:kern w:val="0"/>
          <w:sz w:val="24"/>
        </w:rPr>
        <w:t>400-700-5000</w:t>
      </w:r>
      <w:r>
        <w:rPr>
          <w:rFonts w:hAnsi="宋体"/>
          <w:kern w:val="0"/>
          <w:sz w:val="24"/>
        </w:rPr>
        <w:t>，</w:t>
      </w:r>
      <w:r>
        <w:rPr>
          <w:kern w:val="0"/>
          <w:sz w:val="24"/>
        </w:rPr>
        <w:t>021-61055000</w:t>
      </w:r>
      <w:r>
        <w:rPr>
          <w:rFonts w:hAnsi="宋体"/>
          <w:kern w:val="0"/>
          <w:sz w:val="24"/>
        </w:rPr>
        <w:t>）联系</w:t>
      </w:r>
      <w:r>
        <w:rPr>
          <w:rFonts w:hAnsi="宋体"/>
          <w:sz w:val="24"/>
        </w:rPr>
        <w:t>。</w:t>
      </w:r>
    </w:p>
    <w:p w14:paraId="57DBE7A3">
      <w:pPr>
        <w:adjustRightInd w:val="0"/>
        <w:snapToGrid w:val="0"/>
        <w:spacing w:line="360" w:lineRule="auto"/>
        <w:ind w:firstLine="480" w:firstLineChars="200"/>
        <w:rPr>
          <w:sz w:val="24"/>
        </w:rPr>
      </w:pPr>
      <w:r>
        <w:rPr>
          <w:rFonts w:hint="eastAsia"/>
          <w:sz w:val="24"/>
          <w:lang w:val="en-US" w:eastAsia="zh-CN"/>
        </w:rPr>
        <w:t>11</w:t>
      </w:r>
      <w:r>
        <w:rPr>
          <w:rFonts w:hAnsi="宋体"/>
          <w:sz w:val="24"/>
        </w:rPr>
        <w:t>、本公告仅对本基金基金份额发售的有关事项和规定予以说明。投资者欲了解本基金的详细情况，请详细阅读</w:t>
      </w:r>
      <w:r>
        <w:rPr>
          <w:rFonts w:hint="eastAsia" w:hAnsi="宋体"/>
          <w:sz w:val="24"/>
          <w:highlight w:val="none"/>
        </w:rPr>
        <w:t>202</w:t>
      </w:r>
      <w:r>
        <w:rPr>
          <w:rFonts w:hint="eastAsia" w:hAnsi="宋体"/>
          <w:sz w:val="24"/>
          <w:highlight w:val="none"/>
          <w:lang w:val="en-US" w:eastAsia="zh-CN"/>
        </w:rPr>
        <w:t>6</w:t>
      </w:r>
      <w:r>
        <w:rPr>
          <w:rFonts w:hint="eastAsia" w:hAnsi="宋体"/>
          <w:sz w:val="24"/>
          <w:highlight w:val="none"/>
        </w:rPr>
        <w:t>年</w:t>
      </w:r>
      <w:r>
        <w:rPr>
          <w:rFonts w:hint="eastAsia" w:hAnsi="宋体"/>
          <w:sz w:val="24"/>
          <w:highlight w:val="none"/>
          <w:lang w:val="en-US" w:eastAsia="zh-CN"/>
        </w:rPr>
        <w:t>10</w:t>
      </w:r>
      <w:r>
        <w:rPr>
          <w:rFonts w:hint="eastAsia" w:hAnsi="宋体"/>
          <w:sz w:val="24"/>
          <w:highlight w:val="none"/>
          <w:lang w:val="en-US" w:eastAsia="zh-CN"/>
        </w:rPr>
        <w:t>月</w:t>
      </w:r>
      <w:r>
        <w:rPr>
          <w:rFonts w:hint="eastAsia" w:hAnsi="宋体"/>
          <w:sz w:val="24"/>
          <w:highlight w:val="none"/>
          <w:lang w:val="en-US" w:eastAsia="zh-CN"/>
        </w:rPr>
        <w:t>28</w:t>
      </w:r>
      <w:r>
        <w:rPr>
          <w:rFonts w:hint="eastAsia" w:hAnsi="宋体"/>
          <w:sz w:val="24"/>
          <w:highlight w:val="none"/>
          <w:lang w:val="en-US" w:eastAsia="zh-CN"/>
        </w:rPr>
        <w:t>日</w:t>
      </w:r>
      <w:r>
        <w:rPr>
          <w:rFonts w:hint="eastAsia" w:hAnsi="宋体"/>
          <w:sz w:val="24"/>
        </w:rPr>
        <w:t>在本公司网站（www.fund001.com）和中国证监会基金电子披露网站（http://eid.csrc.gov.cn/fund）披露</w:t>
      </w:r>
      <w:r>
        <w:rPr>
          <w:rFonts w:hAnsi="宋体"/>
          <w:sz w:val="24"/>
        </w:rPr>
        <w:t>的</w:t>
      </w:r>
      <w:r>
        <w:rPr>
          <w:rFonts w:hint="eastAsia" w:hAnsi="宋体"/>
          <w:sz w:val="24"/>
          <w:lang w:eastAsia="zh-CN"/>
        </w:rPr>
        <w:t>交银施罗德佳盛债券型证券投资基金</w:t>
      </w:r>
      <w:r>
        <w:rPr>
          <w:rFonts w:hint="eastAsia" w:hAnsi="宋体"/>
          <w:sz w:val="24"/>
        </w:rPr>
        <w:t>基金合同</w:t>
      </w:r>
      <w:r>
        <w:rPr>
          <w:rFonts w:hAnsi="宋体"/>
          <w:sz w:val="24"/>
        </w:rPr>
        <w:t>和招募说明书。</w:t>
      </w:r>
    </w:p>
    <w:p w14:paraId="3B3D6AA1">
      <w:pPr>
        <w:adjustRightInd w:val="0"/>
        <w:snapToGrid w:val="0"/>
        <w:spacing w:line="360" w:lineRule="auto"/>
        <w:ind w:firstLine="480" w:firstLineChars="200"/>
        <w:rPr>
          <w:sz w:val="24"/>
        </w:rPr>
      </w:pPr>
      <w:r>
        <w:rPr>
          <w:rFonts w:hint="eastAsia"/>
          <w:sz w:val="24"/>
          <w:lang w:val="en-US" w:eastAsia="zh-CN"/>
        </w:rPr>
        <w:t>12</w:t>
      </w:r>
      <w:r>
        <w:rPr>
          <w:rFonts w:hAnsi="宋体"/>
          <w:sz w:val="24"/>
        </w:rPr>
        <w:t>、本基金的基金合同、招募说明书及本公告将同时发布在本公司网站（</w:t>
      </w:r>
      <w:r>
        <w:rPr>
          <w:rStyle w:val="57"/>
          <w:color w:val="auto"/>
          <w:sz w:val="24"/>
          <w:szCs w:val="24"/>
          <w:u w:val="none"/>
        </w:rPr>
        <w:t>www.fund001.com</w:t>
      </w:r>
      <w:r>
        <w:rPr>
          <w:rFonts w:hint="eastAsia"/>
          <w:sz w:val="24"/>
        </w:rPr>
        <w:t>）</w:t>
      </w:r>
      <w:r>
        <w:rPr>
          <w:rFonts w:hAnsi="宋体"/>
          <w:sz w:val="24"/>
        </w:rPr>
        <w:t>。投资人亦可通过本公司网站下载基金申请表格和了解基金募集相关事宜。</w:t>
      </w:r>
    </w:p>
    <w:p w14:paraId="7E93D42E">
      <w:pPr>
        <w:adjustRightInd w:val="0"/>
        <w:snapToGrid w:val="0"/>
        <w:spacing w:line="360" w:lineRule="auto"/>
        <w:ind w:firstLine="480" w:firstLineChars="200"/>
        <w:rPr>
          <w:sz w:val="24"/>
        </w:rPr>
      </w:pPr>
      <w:r>
        <w:rPr>
          <w:rFonts w:hint="eastAsia"/>
          <w:sz w:val="24"/>
          <w:lang w:val="en-US" w:eastAsia="zh-CN"/>
        </w:rPr>
        <w:t>13</w:t>
      </w:r>
      <w:r>
        <w:rPr>
          <w:rFonts w:hAnsi="宋体"/>
          <w:sz w:val="24"/>
        </w:rPr>
        <w:t>、销售机构的销售网点以及开户认购等事项的详细情况请向各销售机构咨询。</w:t>
      </w:r>
    </w:p>
    <w:p w14:paraId="1D85BB5B">
      <w:pPr>
        <w:adjustRightInd w:val="0"/>
        <w:snapToGrid w:val="0"/>
        <w:spacing w:line="360" w:lineRule="auto"/>
        <w:ind w:firstLine="480" w:firstLineChars="200"/>
        <w:rPr>
          <w:sz w:val="24"/>
        </w:rPr>
      </w:pPr>
      <w:r>
        <w:rPr>
          <w:rFonts w:hint="eastAsia"/>
          <w:sz w:val="24"/>
          <w:lang w:val="en-US" w:eastAsia="zh-CN"/>
        </w:rPr>
        <w:t>14</w:t>
      </w:r>
      <w:r>
        <w:rPr>
          <w:rFonts w:hAnsi="宋体"/>
          <w:sz w:val="24"/>
        </w:rPr>
        <w:t>、未开设销售网点的地方的投资人，可拨打本公司的客户服务电话</w:t>
      </w:r>
      <w:r>
        <w:rPr>
          <w:sz w:val="24"/>
        </w:rPr>
        <w:t>400-700-5000</w:t>
      </w:r>
      <w:r>
        <w:rPr>
          <w:rFonts w:hAnsi="宋体"/>
          <w:sz w:val="24"/>
        </w:rPr>
        <w:t>（免长途话费）或（</w:t>
      </w:r>
      <w:r>
        <w:rPr>
          <w:sz w:val="24"/>
        </w:rPr>
        <w:t>021</w:t>
      </w:r>
      <w:r>
        <w:rPr>
          <w:rFonts w:hAnsi="宋体"/>
          <w:sz w:val="24"/>
        </w:rPr>
        <w:t>）</w:t>
      </w:r>
      <w:r>
        <w:rPr>
          <w:sz w:val="24"/>
        </w:rPr>
        <w:t>61055000</w:t>
      </w:r>
      <w:r>
        <w:rPr>
          <w:rFonts w:hAnsi="宋体"/>
          <w:sz w:val="24"/>
        </w:rPr>
        <w:t>咨询基金认购事宜。</w:t>
      </w:r>
    </w:p>
    <w:p w14:paraId="61EC5C52">
      <w:pPr>
        <w:widowControl/>
        <w:adjustRightInd w:val="0"/>
        <w:snapToGrid w:val="0"/>
        <w:spacing w:line="360" w:lineRule="auto"/>
        <w:ind w:firstLine="480" w:firstLineChars="200"/>
        <w:rPr>
          <w:kern w:val="0"/>
          <w:sz w:val="24"/>
        </w:rPr>
      </w:pPr>
      <w:r>
        <w:rPr>
          <w:rFonts w:hint="eastAsia"/>
          <w:sz w:val="24"/>
          <w:lang w:val="en-US" w:eastAsia="zh-CN"/>
        </w:rPr>
        <w:t>15</w:t>
      </w:r>
      <w:r>
        <w:rPr>
          <w:rFonts w:hAnsi="宋体"/>
          <w:sz w:val="24"/>
        </w:rPr>
        <w:t>、</w:t>
      </w:r>
      <w:r>
        <w:rPr>
          <w:rFonts w:hAnsi="宋体"/>
          <w:kern w:val="0"/>
          <w:sz w:val="24"/>
        </w:rPr>
        <w:t>由于各基金销售机构系统及业务安排等原因，</w:t>
      </w:r>
      <w:r>
        <w:rPr>
          <w:rFonts w:hint="eastAsia" w:hAnsi="宋体"/>
          <w:kern w:val="0"/>
          <w:sz w:val="24"/>
        </w:rPr>
        <w:t>工作</w:t>
      </w:r>
      <w:r>
        <w:rPr>
          <w:rFonts w:hAnsi="宋体"/>
          <w:kern w:val="0"/>
          <w:sz w:val="24"/>
        </w:rPr>
        <w:t>日的具体业务办理时间可能有所不同，投资人应参照各基金销售机构的具体规定。</w:t>
      </w:r>
    </w:p>
    <w:p w14:paraId="05226CC1">
      <w:pPr>
        <w:adjustRightInd w:val="0"/>
        <w:snapToGrid w:val="0"/>
        <w:spacing w:line="360" w:lineRule="auto"/>
        <w:ind w:firstLine="480" w:firstLineChars="200"/>
        <w:rPr>
          <w:rFonts w:hAnsi="宋体"/>
          <w:sz w:val="24"/>
        </w:rPr>
      </w:pPr>
      <w:r>
        <w:rPr>
          <w:rFonts w:hint="eastAsia"/>
          <w:sz w:val="24"/>
          <w:lang w:val="en-US" w:eastAsia="zh-CN"/>
        </w:rPr>
        <w:t>16</w:t>
      </w:r>
      <w:r>
        <w:rPr>
          <w:rFonts w:hAnsi="宋体"/>
          <w:sz w:val="24"/>
        </w:rPr>
        <w:t>、本公司可综合各种情况对募集安排做适当调整。</w:t>
      </w:r>
      <w:r>
        <w:rPr>
          <w:rFonts w:hint="eastAsia" w:hAnsi="宋体"/>
          <w:sz w:val="24"/>
        </w:rPr>
        <w:t>为稳定基金募集规模，本公司可</w:t>
      </w:r>
      <w:r>
        <w:rPr>
          <w:rFonts w:hAnsi="宋体"/>
          <w:sz w:val="24"/>
        </w:rPr>
        <w:t>综合各种情况对</w:t>
      </w:r>
      <w:r>
        <w:rPr>
          <w:rFonts w:hint="eastAsia" w:hAnsi="宋体"/>
          <w:sz w:val="24"/>
        </w:rPr>
        <w:t>基金</w:t>
      </w:r>
      <w:r>
        <w:rPr>
          <w:rFonts w:hAnsi="宋体"/>
          <w:sz w:val="24"/>
        </w:rPr>
        <w:t>募集规模上限进行设</w:t>
      </w:r>
      <w:r>
        <w:rPr>
          <w:rFonts w:hint="eastAsia" w:hAnsi="宋体"/>
          <w:sz w:val="24"/>
        </w:rPr>
        <w:t>定并予以公告。</w:t>
      </w:r>
    </w:p>
    <w:p w14:paraId="3B7AAED4">
      <w:pPr>
        <w:adjustRightInd w:val="0"/>
        <w:snapToGrid w:val="0"/>
        <w:spacing w:line="360" w:lineRule="auto"/>
        <w:ind w:firstLine="480" w:firstLineChars="200"/>
        <w:rPr>
          <w:sz w:val="24"/>
        </w:rPr>
      </w:pPr>
      <w:r>
        <w:rPr>
          <w:rFonts w:hint="eastAsia"/>
          <w:sz w:val="24"/>
          <w:lang w:val="en-US" w:eastAsia="zh-CN"/>
        </w:rPr>
        <w:t>17</w:t>
      </w:r>
      <w:r>
        <w:rPr>
          <w:rFonts w:hAnsi="宋体"/>
          <w:sz w:val="24"/>
        </w:rPr>
        <w:t>、风险提示</w:t>
      </w:r>
    </w:p>
    <w:p w14:paraId="33F0E1D0">
      <w:pPr>
        <w:adjustRightInd w:val="0"/>
        <w:snapToGrid w:val="0"/>
        <w:spacing w:line="360" w:lineRule="auto"/>
        <w:ind w:firstLine="480" w:firstLineChars="200"/>
        <w:rPr>
          <w:sz w:val="24"/>
        </w:rPr>
      </w:pPr>
      <w:r>
        <w:rPr>
          <w:rFonts w:hAnsi="宋体"/>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14:paraId="67A85680">
      <w:pPr>
        <w:adjustRightInd w:val="0"/>
        <w:snapToGrid w:val="0"/>
        <w:spacing w:line="360" w:lineRule="auto"/>
        <w:ind w:firstLine="480" w:firstLineChars="200"/>
        <w:rPr>
          <w:rFonts w:hAnsi="宋体"/>
          <w:sz w:val="24"/>
        </w:rPr>
      </w:pPr>
      <w:r>
        <w:rPr>
          <w:rFonts w:hint="eastAsia" w:hAnsi="宋体"/>
          <w:sz w:val="24"/>
        </w:rPr>
        <w:t>基金在投资运作过程中可能面临各种风险，既包括市场风险，也包括基金自身的管理风险、技术风险和合规风险等。巨额赎回风险是开放式基金所特有的一种风险，</w:t>
      </w:r>
      <w:r>
        <w:rPr>
          <w:rFonts w:hAnsi="宋体"/>
          <w:sz w:val="24"/>
          <w:szCs w:val="24"/>
        </w:rPr>
        <w:t>即当单个</w:t>
      </w:r>
      <w:r>
        <w:rPr>
          <w:rFonts w:hint="eastAsia" w:hAnsi="宋体"/>
          <w:sz w:val="24"/>
          <w:szCs w:val="24"/>
        </w:rPr>
        <w:t>开放</w:t>
      </w:r>
      <w:r>
        <w:rPr>
          <w:rFonts w:hAnsi="宋体"/>
          <w:sz w:val="24"/>
          <w:szCs w:val="24"/>
        </w:rPr>
        <w:t>日基金的净赎回申请（赎回申请份额总数加上基金转换中转出申请份额总数</w:t>
      </w:r>
      <w:r>
        <w:rPr>
          <w:rFonts w:hint="eastAsia" w:hAnsi="宋体"/>
          <w:sz w:val="24"/>
          <w:szCs w:val="24"/>
        </w:rPr>
        <w:t>后</w:t>
      </w:r>
      <w:r>
        <w:rPr>
          <w:rFonts w:hAnsi="宋体"/>
          <w:sz w:val="24"/>
          <w:szCs w:val="24"/>
        </w:rPr>
        <w:t>扣除申购申请份额总数及基金转换中转入申请份额总数后的余额）超过</w:t>
      </w:r>
      <w:r>
        <w:rPr>
          <w:rFonts w:hint="eastAsia" w:hAnsi="宋体"/>
          <w:sz w:val="24"/>
          <w:szCs w:val="24"/>
        </w:rPr>
        <w:t>上一开放日</w:t>
      </w:r>
      <w:r>
        <w:rPr>
          <w:rFonts w:hAnsi="宋体"/>
          <w:sz w:val="24"/>
          <w:szCs w:val="24"/>
        </w:rPr>
        <w:t>基金总份额的百分之十时</w:t>
      </w:r>
      <w:r>
        <w:rPr>
          <w:rFonts w:hint="eastAsia" w:hAnsi="宋体"/>
          <w:sz w:val="24"/>
        </w:rPr>
        <w:t>，投资人将可能无法及时赎回持有的全部基金份额。</w:t>
      </w:r>
    </w:p>
    <w:p w14:paraId="18E6C9B4">
      <w:pPr>
        <w:widowControl/>
        <w:adjustRightInd w:val="0"/>
        <w:snapToGrid w:val="0"/>
        <w:spacing w:line="360" w:lineRule="auto"/>
        <w:ind w:firstLine="480" w:firstLineChars="200"/>
        <w:rPr>
          <w:rFonts w:hAnsi="宋体"/>
          <w:kern w:val="0"/>
          <w:sz w:val="24"/>
        </w:rPr>
      </w:pPr>
      <w:r>
        <w:rPr>
          <w:rFonts w:hAnsi="宋体"/>
          <w:kern w:val="0"/>
          <w:sz w:val="24"/>
        </w:rPr>
        <w:t>基金分为股票</w:t>
      </w:r>
      <w:r>
        <w:rPr>
          <w:rFonts w:hint="eastAsia" w:hAnsi="宋体"/>
          <w:kern w:val="0"/>
          <w:sz w:val="24"/>
        </w:rPr>
        <w:t>型</w:t>
      </w:r>
      <w:r>
        <w:rPr>
          <w:rFonts w:hAnsi="宋体"/>
          <w:kern w:val="0"/>
          <w:sz w:val="24"/>
        </w:rPr>
        <w:t>基金、混合</w:t>
      </w:r>
      <w:r>
        <w:rPr>
          <w:rFonts w:hint="eastAsia" w:hAnsi="宋体"/>
          <w:kern w:val="0"/>
          <w:sz w:val="24"/>
        </w:rPr>
        <w:t>型</w:t>
      </w:r>
      <w:r>
        <w:rPr>
          <w:rFonts w:hAnsi="宋体"/>
          <w:kern w:val="0"/>
          <w:sz w:val="24"/>
        </w:rPr>
        <w:t>基金、债券</w:t>
      </w:r>
      <w:r>
        <w:rPr>
          <w:rFonts w:hint="eastAsia" w:hAnsi="宋体"/>
          <w:kern w:val="0"/>
          <w:sz w:val="24"/>
        </w:rPr>
        <w:t>型</w:t>
      </w:r>
      <w:r>
        <w:rPr>
          <w:rFonts w:hAnsi="宋体"/>
          <w:kern w:val="0"/>
          <w:sz w:val="24"/>
        </w:rPr>
        <w:t>基金、货币市场基金等不同类型，投资人投资不同类型的基金将获得不同的收益预期，也将承担不同程度的风险。一般来说，基金的收益预期越高，投资者承担的风险也越大。</w:t>
      </w:r>
    </w:p>
    <w:p w14:paraId="1E877DF3">
      <w:pPr>
        <w:widowControl/>
        <w:adjustRightInd w:val="0"/>
        <w:snapToGrid w:val="0"/>
        <w:spacing w:line="360" w:lineRule="auto"/>
        <w:ind w:firstLine="480" w:firstLineChars="200"/>
        <w:rPr>
          <w:rFonts w:hAnsi="宋体"/>
          <w:sz w:val="24"/>
        </w:rPr>
      </w:pPr>
      <w:r>
        <w:rPr>
          <w:rFonts w:hint="eastAsia" w:hAnsi="宋体"/>
          <w:sz w:val="24"/>
        </w:rPr>
        <w:t>本基金是一只债券型基金，其预期风险与预期收益理论上高于货币市场基金，低于混合型基金和股票型基金。</w:t>
      </w:r>
    </w:p>
    <w:p w14:paraId="4C970DA1">
      <w:pPr>
        <w:widowControl/>
        <w:adjustRightInd w:val="0"/>
        <w:snapToGrid w:val="0"/>
        <w:spacing w:line="360" w:lineRule="auto"/>
        <w:ind w:firstLine="480" w:firstLineChars="200"/>
        <w:rPr>
          <w:rFonts w:hAnsi="宋体"/>
          <w:sz w:val="24"/>
        </w:rPr>
      </w:pPr>
      <w:r>
        <w:rPr>
          <w:rFonts w:hint="eastAsia" w:hAnsi="宋体"/>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6BE2DADB">
      <w:pPr>
        <w:widowControl/>
        <w:adjustRightInd w:val="0"/>
        <w:snapToGrid w:val="0"/>
        <w:spacing w:line="360" w:lineRule="auto"/>
        <w:ind w:firstLine="480" w:firstLineChars="200"/>
        <w:rPr>
          <w:rFonts w:hAnsi="宋体"/>
          <w:sz w:val="24"/>
        </w:rPr>
      </w:pPr>
      <w:r>
        <w:rPr>
          <w:rFonts w:hint="eastAsia" w:hAnsi="宋体"/>
          <w:sz w:val="24"/>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3DF607AF">
      <w:pPr>
        <w:widowControl/>
        <w:adjustRightInd w:val="0"/>
        <w:snapToGrid w:val="0"/>
        <w:spacing w:line="360" w:lineRule="auto"/>
        <w:ind w:firstLine="480" w:firstLineChars="200"/>
        <w:rPr>
          <w:rFonts w:hAnsi="宋体"/>
          <w:sz w:val="24"/>
        </w:rPr>
      </w:pPr>
      <w:r>
        <w:rPr>
          <w:rFonts w:hint="eastAsia" w:hAnsi="宋体"/>
          <w:sz w:val="24"/>
        </w:rPr>
        <w:t>本基金可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但不限于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w:t>
      </w:r>
      <w:r>
        <w:rPr>
          <w:rFonts w:hAnsi="宋体"/>
          <w:sz w:val="24"/>
        </w:rPr>
        <w:t>风险</w:t>
      </w:r>
      <w:r>
        <w:rPr>
          <w:rFonts w:hint="eastAsia" w:hAnsi="宋体"/>
          <w:sz w:val="24"/>
        </w:rPr>
        <w:t>烦</w:t>
      </w:r>
      <w:r>
        <w:rPr>
          <w:rFonts w:hAnsi="宋体"/>
          <w:sz w:val="24"/>
        </w:rPr>
        <w:t>请</w:t>
      </w:r>
      <w:r>
        <w:rPr>
          <w:rFonts w:hint="eastAsia" w:hAnsi="宋体"/>
          <w:sz w:val="24"/>
        </w:rPr>
        <w:t>查阅</w:t>
      </w:r>
      <w:r>
        <w:rPr>
          <w:rFonts w:hAnsi="宋体"/>
          <w:sz w:val="24"/>
        </w:rPr>
        <w:t>本基金招募说明书</w:t>
      </w:r>
      <w:r>
        <w:rPr>
          <w:rFonts w:hint="eastAsia" w:hAnsi="宋体"/>
          <w:sz w:val="24"/>
        </w:rPr>
        <w:t>的</w:t>
      </w:r>
      <w:r>
        <w:rPr>
          <w:rFonts w:hAnsi="宋体"/>
          <w:sz w:val="24"/>
        </w:rPr>
        <w:t>“风险揭示”章节的具体内容。</w:t>
      </w:r>
    </w:p>
    <w:p w14:paraId="45B2E3B9">
      <w:pPr>
        <w:widowControl/>
        <w:adjustRightInd w:val="0"/>
        <w:snapToGrid w:val="0"/>
        <w:spacing w:line="360" w:lineRule="auto"/>
        <w:ind w:firstLine="480" w:firstLineChars="200"/>
        <w:rPr>
          <w:rFonts w:hAnsi="宋体"/>
          <w:sz w:val="24"/>
        </w:rPr>
      </w:pPr>
      <w:r>
        <w:rPr>
          <w:rFonts w:hint="eastAsia" w:hAnsi="宋体"/>
          <w:sz w:val="24"/>
          <w:lang w:val="en-US" w:eastAsia="zh-CN"/>
        </w:rPr>
        <w:t>本</w:t>
      </w:r>
      <w:r>
        <w:rPr>
          <w:rFonts w:hint="eastAsia" w:hAnsi="宋体"/>
          <w:sz w:val="24"/>
        </w:rPr>
        <w:t>基金可根据投资策略需要或不同配置地市场环境的变化，选择将部分基金资产投资于港股</w:t>
      </w:r>
      <w:r>
        <w:rPr>
          <w:rFonts w:hint="eastAsia"/>
          <w:bCs/>
          <w:sz w:val="24"/>
        </w:rPr>
        <w:t>通标的股票</w:t>
      </w:r>
      <w:r>
        <w:rPr>
          <w:rFonts w:hint="eastAsia" w:hAnsi="宋体"/>
          <w:sz w:val="24"/>
        </w:rPr>
        <w:t>或选择不将基金资产投资于港股</w:t>
      </w:r>
      <w:r>
        <w:rPr>
          <w:rFonts w:hint="eastAsia"/>
          <w:bCs/>
          <w:sz w:val="24"/>
        </w:rPr>
        <w:t>通标的股票</w:t>
      </w:r>
      <w:r>
        <w:rPr>
          <w:rFonts w:hint="eastAsia" w:hAnsi="宋体"/>
          <w:sz w:val="24"/>
        </w:rPr>
        <w:t>，基金资产并非必然投资港股</w:t>
      </w:r>
      <w:r>
        <w:rPr>
          <w:rFonts w:hint="eastAsia"/>
          <w:bCs/>
          <w:sz w:val="24"/>
        </w:rPr>
        <w:t>通标的股票</w:t>
      </w:r>
      <w:r>
        <w:rPr>
          <w:rFonts w:hint="eastAsia" w:hAnsi="宋体"/>
          <w:sz w:val="24"/>
        </w:rPr>
        <w:t>。</w:t>
      </w:r>
    </w:p>
    <w:p w14:paraId="268757D2">
      <w:pPr>
        <w:widowControl/>
        <w:adjustRightInd w:val="0"/>
        <w:snapToGrid w:val="0"/>
        <w:spacing w:line="360" w:lineRule="auto"/>
        <w:ind w:firstLine="480" w:firstLineChars="200"/>
        <w:rPr>
          <w:rFonts w:hAnsi="宋体"/>
          <w:bCs/>
          <w:sz w:val="24"/>
        </w:rPr>
      </w:pPr>
      <w:r>
        <w:rPr>
          <w:rFonts w:hint="eastAsia" w:hAnsi="宋体"/>
          <w:bCs/>
          <w:sz w:val="24"/>
        </w:rPr>
        <w:t>本基金可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w:t>
      </w:r>
    </w:p>
    <w:p w14:paraId="42F6C5BD">
      <w:pPr>
        <w:widowControl/>
        <w:adjustRightInd w:val="0"/>
        <w:snapToGrid w:val="0"/>
        <w:spacing w:line="360" w:lineRule="auto"/>
        <w:ind w:firstLine="480" w:firstLineChars="200"/>
        <w:rPr>
          <w:rFonts w:hAnsi="宋体"/>
          <w:bCs/>
          <w:sz w:val="24"/>
        </w:rPr>
      </w:pPr>
      <w:r>
        <w:rPr>
          <w:rFonts w:hint="eastAsia" w:hAnsi="宋体"/>
          <w:bCs/>
          <w:sz w:val="24"/>
          <w:lang w:val="en-US" w:eastAsia="zh-CN"/>
        </w:rPr>
        <w:t>本</w:t>
      </w:r>
      <w:r>
        <w:rPr>
          <w:rFonts w:hint="eastAsia" w:hAnsi="宋体"/>
          <w:bCs/>
          <w:sz w:val="24"/>
        </w:rPr>
        <w:t>基金可根据投资策略需要或市场环境的变化，选择将部分基金资产投资于科创板股票或选择不将基金资产投资于科创板股票，基金资产并非必然投资于科创板股票。</w:t>
      </w:r>
    </w:p>
    <w:p w14:paraId="43617213">
      <w:pPr>
        <w:widowControl/>
        <w:adjustRightInd w:val="0"/>
        <w:snapToGrid w:val="0"/>
        <w:spacing w:line="360" w:lineRule="auto"/>
        <w:ind w:firstLine="480" w:firstLineChars="200"/>
        <w:rPr>
          <w:rFonts w:hint="eastAsia" w:ascii="宋体" w:hAnsi="宋体"/>
          <w:kern w:val="0"/>
          <w:sz w:val="24"/>
        </w:rPr>
      </w:pPr>
      <w:r>
        <w:rPr>
          <w:rFonts w:hint="eastAsia" w:hAnsi="宋体"/>
          <w:kern w:val="0"/>
          <w:sz w:val="24"/>
          <w:szCs w:val="24"/>
        </w:rPr>
        <w:t>本基金可以投资</w:t>
      </w:r>
      <w:r>
        <w:rPr>
          <w:rFonts w:hint="eastAsia" w:ascii="宋体" w:hAnsi="宋体"/>
          <w:bCs/>
          <w:sz w:val="24"/>
          <w:szCs w:val="24"/>
        </w:rPr>
        <w:t>经中国证监会依法核准或注册的公开募集证券投资基金（</w:t>
      </w:r>
      <w:r>
        <w:rPr>
          <w:rFonts w:hint="eastAsia" w:ascii="宋体" w:hAnsi="宋体"/>
          <w:bCs/>
          <w:sz w:val="24"/>
          <w:szCs w:val="24"/>
          <w:lang w:val="en-US" w:eastAsia="zh-CN"/>
        </w:rPr>
        <w:t>仅</w:t>
      </w:r>
      <w:r>
        <w:rPr>
          <w:rFonts w:hint="eastAsia" w:ascii="宋体" w:hAnsi="宋体"/>
          <w:bCs/>
          <w:sz w:val="24"/>
          <w:szCs w:val="24"/>
        </w:rPr>
        <w:t>包含全市场的股票</w:t>
      </w:r>
      <w:r>
        <w:rPr>
          <w:rFonts w:hint="eastAsia"/>
          <w:bCs/>
          <w:sz w:val="24"/>
          <w:lang w:val="en-US" w:eastAsia="zh-CN"/>
        </w:rPr>
        <w:t>型ETF（含可投资境外市场的ETF</w:t>
      </w:r>
      <w:r>
        <w:rPr>
          <w:rFonts w:hint="eastAsia"/>
          <w:bCs/>
          <w:sz w:val="24"/>
          <w:lang w:eastAsia="zh-CN"/>
        </w:rPr>
        <w:t>）、</w:t>
      </w:r>
      <w:r>
        <w:rPr>
          <w:rFonts w:hint="eastAsia"/>
          <w:bCs/>
          <w:sz w:val="24"/>
        </w:rPr>
        <w:t>公开募集不动产投资信托基金（以下简称“公募REITs”）</w:t>
      </w:r>
      <w:r>
        <w:rPr>
          <w:rFonts w:hint="eastAsia" w:ascii="宋体" w:hAnsi="宋体"/>
          <w:bCs/>
          <w:sz w:val="24"/>
          <w:szCs w:val="24"/>
        </w:rPr>
        <w:t>及本基金管理人管理的股票型基金、计入权益类资产的混合型基金，不含香港互认基金、</w:t>
      </w:r>
      <w:r>
        <w:rPr>
          <w:rFonts w:hint="eastAsia"/>
          <w:bCs/>
          <w:sz w:val="24"/>
          <w:lang w:val="en-US" w:eastAsia="zh-CN"/>
        </w:rPr>
        <w:t>QDII</w:t>
      </w:r>
      <w:r>
        <w:rPr>
          <w:rFonts w:hint="eastAsia" w:ascii="宋体" w:hAnsi="宋体"/>
          <w:bCs/>
          <w:sz w:val="24"/>
          <w:szCs w:val="24"/>
        </w:rPr>
        <w:t>基金</w:t>
      </w:r>
      <w:r>
        <w:rPr>
          <w:rFonts w:hint="eastAsia"/>
          <w:bCs/>
          <w:sz w:val="24"/>
          <w:lang w:eastAsia="zh-CN"/>
        </w:rPr>
        <w:t>（</w:t>
      </w:r>
      <w:r>
        <w:rPr>
          <w:rFonts w:hint="eastAsia"/>
          <w:bCs/>
          <w:sz w:val="24"/>
          <w:lang w:val="en-US" w:eastAsia="zh-CN"/>
        </w:rPr>
        <w:t>可投资境外市场的股票型ETF除外</w:t>
      </w:r>
      <w:r>
        <w:rPr>
          <w:rFonts w:hint="eastAsia"/>
          <w:bCs/>
          <w:sz w:val="24"/>
          <w:lang w:eastAsia="zh-CN"/>
        </w:rPr>
        <w:t>）</w:t>
      </w:r>
      <w:r>
        <w:rPr>
          <w:rFonts w:hint="eastAsia" w:ascii="宋体" w:hAnsi="宋体"/>
          <w:bCs/>
          <w:sz w:val="24"/>
          <w:szCs w:val="24"/>
        </w:rPr>
        <w:t>、基金中基金</w:t>
      </w:r>
      <w:r>
        <w:rPr>
          <w:rFonts w:hint="eastAsia" w:ascii="宋体" w:hAnsi="宋体"/>
          <w:bCs/>
          <w:sz w:val="24"/>
          <w:szCs w:val="24"/>
          <w:lang w:val="en-US" w:eastAsia="zh-CN"/>
        </w:rPr>
        <w:t>和</w:t>
      </w:r>
      <w:r>
        <w:rPr>
          <w:rFonts w:hint="eastAsia" w:ascii="宋体" w:hAnsi="宋体"/>
          <w:bCs/>
          <w:sz w:val="24"/>
          <w:szCs w:val="24"/>
        </w:rPr>
        <w:t>其他投资范围包含基金的基金、货币市场基金）</w:t>
      </w:r>
      <w:r>
        <w:rPr>
          <w:rFonts w:hint="eastAsia" w:ascii="宋体" w:hAnsi="宋体"/>
          <w:bCs/>
          <w:sz w:val="24"/>
          <w:szCs w:val="24"/>
          <w:lang w:eastAsia="zh-CN"/>
        </w:rPr>
        <w:t>，</w:t>
      </w:r>
      <w:r>
        <w:rPr>
          <w:rFonts w:hint="eastAsia" w:hAnsi="宋体"/>
          <w:kern w:val="0"/>
          <w:sz w:val="24"/>
          <w:szCs w:val="24"/>
        </w:rPr>
        <w:t>本基金对被投资基金的评估具有一定的主观性，将在基金投资决策中给基金带来一定的不确定性的风险。被投资基金的波动会受到宏观经济环境、行业周期、基金经理管理能力和基金管理人自身经营状况等因素的影响。因此，本基金整体表现可能受所投资基金的影响。</w:t>
      </w:r>
    </w:p>
    <w:p w14:paraId="68DC31C5">
      <w:pPr>
        <w:widowControl/>
        <w:adjustRightInd w:val="0"/>
        <w:snapToGrid w:val="0"/>
        <w:spacing w:line="360" w:lineRule="auto"/>
        <w:ind w:firstLine="480" w:firstLineChars="200"/>
        <w:rPr>
          <w:rFonts w:hint="eastAsia" w:hAnsi="宋体"/>
          <w:bCs/>
          <w:sz w:val="24"/>
        </w:rPr>
      </w:pPr>
      <w:r>
        <w:rPr>
          <w:rFonts w:hint="eastAsia" w:hAnsi="宋体"/>
          <w:bCs/>
          <w:sz w:val="24"/>
        </w:rPr>
        <w:t>本基金可投资于公募REITs，可能面临基金价格波动风险、</w:t>
      </w:r>
      <w:r>
        <w:rPr>
          <w:rFonts w:hint="eastAsia" w:hAnsi="宋体"/>
          <w:bCs/>
          <w:sz w:val="24"/>
          <w:lang w:val="en-US" w:eastAsia="zh-CN"/>
        </w:rPr>
        <w:t>不动产</w:t>
      </w:r>
      <w:r>
        <w:rPr>
          <w:rFonts w:hint="eastAsia" w:hAnsi="宋体"/>
          <w:bCs/>
          <w:sz w:val="24"/>
        </w:rPr>
        <w:t>项目运营风险、基金份额交易价格折溢价风险、流动性风险、终止上市风险、政策调整风险、利益冲突风险、估值风险、市场风险等，具体参见本基金招募说明书“风险揭示”章节。本基金根据投资策略需要或市场环境变化，可选择将部分基金资产投资于公募REITs，也可以选择不投资公募REITs。</w:t>
      </w:r>
    </w:p>
    <w:p w14:paraId="343FCD89">
      <w:pPr>
        <w:widowControl/>
        <w:adjustRightInd w:val="0"/>
        <w:snapToGrid w:val="0"/>
        <w:spacing w:line="360" w:lineRule="auto"/>
        <w:ind w:firstLine="480" w:firstLineChars="200"/>
        <w:rPr>
          <w:rFonts w:hAnsi="宋体"/>
          <w:bCs/>
          <w:sz w:val="24"/>
        </w:rPr>
      </w:pPr>
      <w:r>
        <w:rPr>
          <w:rFonts w:hint="eastAsia" w:hAnsi="宋体"/>
          <w:bCs/>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14:paraId="494DE25D">
      <w:pPr>
        <w:widowControl/>
        <w:adjustRightInd w:val="0"/>
        <w:snapToGrid w:val="0"/>
        <w:spacing w:line="360" w:lineRule="auto"/>
        <w:ind w:firstLine="480" w:firstLineChars="200"/>
        <w:rPr>
          <w:rFonts w:hAnsi="宋体"/>
          <w:bCs/>
          <w:sz w:val="24"/>
        </w:rPr>
      </w:pPr>
      <w:r>
        <w:rPr>
          <w:rFonts w:hint="eastAsia" w:hAnsi="宋体"/>
          <w:bCs/>
          <w:sz w:val="24"/>
        </w:rPr>
        <w:t>本基金可根据投资策略需要或市场环境的变化，选择将部分基金资产投资于存托凭证或选择不将基金资产投资于存托凭证，基金资产并非必然投资存托凭证。</w:t>
      </w:r>
    </w:p>
    <w:p w14:paraId="1EB2E318">
      <w:pPr>
        <w:widowControl/>
        <w:adjustRightInd w:val="0"/>
        <w:snapToGrid w:val="0"/>
        <w:spacing w:line="360" w:lineRule="auto"/>
        <w:ind w:firstLine="480" w:firstLineChars="200"/>
        <w:rPr>
          <w:rFonts w:hAnsi="宋体"/>
          <w:sz w:val="24"/>
        </w:rPr>
      </w:pPr>
      <w:r>
        <w:rPr>
          <w:rFonts w:hint="eastAsia" w:hAnsi="宋体"/>
          <w:sz w:val="24"/>
        </w:rPr>
        <w:t>本基金可投资国债期货，国债期货的投资可能给本基金带来额外风险。国债期货的投资可能面临市场风险、基差风险、流动性风险。</w:t>
      </w:r>
    </w:p>
    <w:p w14:paraId="296DB34F">
      <w:pPr>
        <w:widowControl/>
        <w:adjustRightInd w:val="0"/>
        <w:snapToGrid w:val="0"/>
        <w:spacing w:line="360" w:lineRule="auto"/>
        <w:ind w:firstLine="480" w:firstLineChars="200"/>
        <w:rPr>
          <w:rFonts w:hint="eastAsia" w:hAnsi="宋体"/>
          <w:kern w:val="0"/>
          <w:sz w:val="24"/>
        </w:rPr>
      </w:pPr>
      <w:r>
        <w:rPr>
          <w:rFonts w:hint="eastAsia"/>
          <w:kern w:val="0"/>
          <w:sz w:val="24"/>
        </w:rPr>
        <w:t>为对冲信用风险，本基金可能投资信用衍生品，信用衍生品的投资可能面临流动性风险、偿付风险和价格波动风险。</w:t>
      </w:r>
    </w:p>
    <w:p w14:paraId="186A7850">
      <w:pPr>
        <w:adjustRightInd w:val="0"/>
        <w:snapToGrid w:val="0"/>
        <w:spacing w:line="360" w:lineRule="auto"/>
        <w:ind w:firstLine="480" w:firstLineChars="200"/>
        <w:rPr>
          <w:rFonts w:hAnsi="宋体"/>
          <w:kern w:val="0"/>
          <w:sz w:val="24"/>
        </w:rPr>
      </w:pPr>
      <w:r>
        <w:rPr>
          <w:rFonts w:hint="eastAsia" w:hAnsi="宋体"/>
          <w:kern w:val="0"/>
          <w:sz w:val="24"/>
        </w:rPr>
        <w:t>投资人应当认真阅读《基金合同》、《招募说明书》、</w:t>
      </w:r>
      <w:r>
        <w:rPr>
          <w:rFonts w:hAnsi="宋体"/>
          <w:kern w:val="0"/>
          <w:sz w:val="24"/>
        </w:rPr>
        <w:t>《</w:t>
      </w:r>
      <w:r>
        <w:rPr>
          <w:rFonts w:hint="eastAsia" w:hAnsi="宋体"/>
          <w:kern w:val="0"/>
          <w:sz w:val="24"/>
        </w:rPr>
        <w:t>基金</w:t>
      </w:r>
      <w:r>
        <w:rPr>
          <w:rFonts w:hAnsi="宋体"/>
          <w:kern w:val="0"/>
          <w:sz w:val="24"/>
        </w:rPr>
        <w:t>产品资料概要》</w:t>
      </w:r>
      <w:r>
        <w:rPr>
          <w:rFonts w:hint="eastAsia" w:hAnsi="宋体"/>
          <w:kern w:val="0"/>
          <w:sz w:val="24"/>
        </w:rPr>
        <w:t>等基金法律文件，了解基金的风险收益特征，并根据自身的投资目的、投资期限、投资经验、资产状况等判断基金是否和投资人的风险承受能力相适应。</w:t>
      </w:r>
    </w:p>
    <w:p w14:paraId="735D9300">
      <w:pPr>
        <w:adjustRightInd w:val="0"/>
        <w:snapToGrid w:val="0"/>
        <w:spacing w:line="360" w:lineRule="auto"/>
        <w:ind w:firstLine="480" w:firstLineChars="200"/>
        <w:rPr>
          <w:rFonts w:hAnsi="宋体"/>
          <w:kern w:val="0"/>
          <w:sz w:val="24"/>
        </w:rPr>
      </w:pPr>
      <w:r>
        <w:rPr>
          <w:rFonts w:hint="eastAsia"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324F61C6">
      <w:pPr>
        <w:adjustRightInd w:val="0"/>
        <w:snapToGrid w:val="0"/>
        <w:spacing w:line="360" w:lineRule="auto"/>
        <w:ind w:firstLine="480" w:firstLineChars="200"/>
        <w:rPr>
          <w:rFonts w:hAnsi="宋体"/>
          <w:kern w:val="0"/>
          <w:sz w:val="24"/>
        </w:rPr>
      </w:pPr>
      <w:r>
        <w:rPr>
          <w:rFonts w:hint="eastAsia"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14:paraId="53038C07">
      <w:pPr>
        <w:widowControl/>
        <w:adjustRightInd w:val="0"/>
        <w:snapToGrid w:val="0"/>
        <w:spacing w:line="360" w:lineRule="auto"/>
        <w:ind w:firstLine="480" w:firstLineChars="200"/>
        <w:rPr>
          <w:rFonts w:hAnsi="宋体"/>
          <w:kern w:val="0"/>
          <w:sz w:val="24"/>
        </w:rPr>
      </w:pPr>
      <w:r>
        <w:rPr>
          <w:rFonts w:hint="eastAsia"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14:paraId="27AA9183">
      <w:pPr>
        <w:widowControl/>
        <w:adjustRightInd w:val="0"/>
        <w:snapToGrid w:val="0"/>
        <w:spacing w:line="360" w:lineRule="auto"/>
        <w:ind w:firstLine="480" w:firstLineChars="200"/>
        <w:rPr>
          <w:sz w:val="24"/>
        </w:rPr>
      </w:pPr>
      <w:r>
        <w:rPr>
          <w:rFonts w:hAnsi="宋体"/>
          <w:kern w:val="0"/>
          <w:sz w:val="24"/>
        </w:rPr>
        <w:t>投资人应当通过基金管理人或具有基金</w:t>
      </w:r>
      <w:r>
        <w:rPr>
          <w:rFonts w:hint="eastAsia" w:hAnsi="宋体"/>
          <w:kern w:val="0"/>
          <w:sz w:val="24"/>
        </w:rPr>
        <w:t>销售</w:t>
      </w:r>
      <w:r>
        <w:rPr>
          <w:rFonts w:hAnsi="宋体"/>
          <w:kern w:val="0"/>
          <w:sz w:val="24"/>
        </w:rPr>
        <w:t>业务资格的其他机构购买和赎回基金。</w:t>
      </w:r>
    </w:p>
    <w:p w14:paraId="2EE0DFA8">
      <w:pPr>
        <w:keepNext/>
        <w:keepLines/>
        <w:adjustRightInd w:val="0"/>
        <w:snapToGrid w:val="0"/>
        <w:spacing w:before="240" w:after="120" w:line="360" w:lineRule="auto"/>
        <w:jc w:val="center"/>
        <w:outlineLvl w:val="0"/>
        <w:rPr>
          <w:b/>
          <w:sz w:val="24"/>
        </w:rPr>
      </w:pPr>
      <w:r>
        <w:rPr>
          <w:rFonts w:hint="eastAsia"/>
          <w:b/>
          <w:sz w:val="24"/>
        </w:rPr>
        <w:t>一、本次募集基本情况</w:t>
      </w:r>
    </w:p>
    <w:p w14:paraId="7174C151">
      <w:pPr>
        <w:adjustRightInd w:val="0"/>
        <w:snapToGrid w:val="0"/>
        <w:spacing w:line="360" w:lineRule="auto"/>
        <w:ind w:firstLine="480" w:firstLineChars="200"/>
        <w:rPr>
          <w:rFonts w:hAnsi="宋体"/>
          <w:sz w:val="24"/>
        </w:rPr>
      </w:pPr>
      <w:r>
        <w:rPr>
          <w:rFonts w:hAnsi="宋体"/>
          <w:sz w:val="24"/>
        </w:rPr>
        <w:t>1、基金名称</w:t>
      </w:r>
    </w:p>
    <w:p w14:paraId="09C33B5E">
      <w:pPr>
        <w:adjustRightInd w:val="0"/>
        <w:snapToGrid w:val="0"/>
        <w:spacing w:line="360" w:lineRule="auto"/>
        <w:ind w:firstLine="480" w:firstLineChars="200"/>
        <w:rPr>
          <w:rFonts w:hint="eastAsia" w:hAnsi="宋体" w:eastAsia="宋体"/>
          <w:sz w:val="24"/>
          <w:lang w:eastAsia="zh-CN"/>
        </w:rPr>
      </w:pPr>
      <w:r>
        <w:rPr>
          <w:rFonts w:hint="eastAsia" w:hAnsi="宋体"/>
          <w:sz w:val="24"/>
          <w:lang w:eastAsia="zh-CN"/>
        </w:rPr>
        <w:t>交银施罗德佳盛债券型证券投资基金</w:t>
      </w:r>
    </w:p>
    <w:p w14:paraId="6FE87AC9">
      <w:pPr>
        <w:adjustRightInd w:val="0"/>
        <w:snapToGrid w:val="0"/>
        <w:spacing w:line="360" w:lineRule="auto"/>
        <w:ind w:firstLine="480" w:firstLineChars="200"/>
        <w:rPr>
          <w:rFonts w:hAnsi="宋体"/>
          <w:sz w:val="24"/>
        </w:rPr>
      </w:pPr>
      <w:r>
        <w:rPr>
          <w:rFonts w:hAnsi="宋体"/>
          <w:sz w:val="24"/>
        </w:rPr>
        <w:t>2、基金类型</w:t>
      </w:r>
    </w:p>
    <w:p w14:paraId="76BA1437">
      <w:pPr>
        <w:adjustRightInd w:val="0"/>
        <w:snapToGrid w:val="0"/>
        <w:spacing w:line="360" w:lineRule="auto"/>
        <w:ind w:firstLine="480" w:firstLineChars="200"/>
        <w:rPr>
          <w:rFonts w:hAnsi="宋体"/>
          <w:sz w:val="24"/>
        </w:rPr>
      </w:pPr>
      <w:r>
        <w:rPr>
          <w:rFonts w:hint="eastAsia" w:hAnsi="宋体"/>
          <w:sz w:val="24"/>
          <w:lang w:val="en-US" w:eastAsia="zh-CN"/>
        </w:rPr>
        <w:t>债券</w:t>
      </w:r>
      <w:r>
        <w:rPr>
          <w:rFonts w:hint="eastAsia" w:hAnsi="宋体"/>
          <w:sz w:val="24"/>
        </w:rPr>
        <w:t>型证券投资基金</w:t>
      </w:r>
    </w:p>
    <w:p w14:paraId="6241C7C8">
      <w:pPr>
        <w:adjustRightInd w:val="0"/>
        <w:snapToGrid w:val="0"/>
        <w:spacing w:line="360" w:lineRule="auto"/>
        <w:ind w:firstLine="480" w:firstLineChars="200"/>
        <w:rPr>
          <w:rFonts w:hAnsi="宋体"/>
          <w:sz w:val="24"/>
        </w:rPr>
      </w:pPr>
      <w:r>
        <w:rPr>
          <w:rFonts w:hAnsi="宋体"/>
          <w:sz w:val="24"/>
        </w:rPr>
        <w:t>3、运作方式</w:t>
      </w:r>
    </w:p>
    <w:p w14:paraId="51DA0E74">
      <w:pPr>
        <w:adjustRightInd w:val="0"/>
        <w:snapToGrid w:val="0"/>
        <w:spacing w:line="360" w:lineRule="auto"/>
        <w:ind w:firstLine="480" w:firstLineChars="200"/>
        <w:rPr>
          <w:rFonts w:hAnsi="宋体"/>
          <w:sz w:val="24"/>
        </w:rPr>
      </w:pPr>
      <w:r>
        <w:rPr>
          <w:rFonts w:hint="eastAsia" w:hAnsi="宋体"/>
          <w:sz w:val="24"/>
        </w:rPr>
        <w:t>契约型开放式</w:t>
      </w:r>
    </w:p>
    <w:p w14:paraId="7B445276">
      <w:pPr>
        <w:adjustRightInd w:val="0"/>
        <w:snapToGrid w:val="0"/>
        <w:spacing w:line="360" w:lineRule="auto"/>
        <w:ind w:firstLine="480" w:firstLineChars="200"/>
        <w:rPr>
          <w:rFonts w:hAnsi="宋体"/>
          <w:sz w:val="24"/>
        </w:rPr>
      </w:pPr>
      <w:r>
        <w:rPr>
          <w:rFonts w:hAnsi="宋体"/>
          <w:sz w:val="24"/>
        </w:rPr>
        <w:t>4、基金存续期限</w:t>
      </w:r>
    </w:p>
    <w:p w14:paraId="16FE7A10">
      <w:pPr>
        <w:adjustRightInd w:val="0"/>
        <w:snapToGrid w:val="0"/>
        <w:spacing w:line="360" w:lineRule="auto"/>
        <w:ind w:firstLine="480" w:firstLineChars="200"/>
        <w:rPr>
          <w:rFonts w:hAnsi="宋体"/>
          <w:sz w:val="24"/>
        </w:rPr>
      </w:pPr>
      <w:r>
        <w:rPr>
          <w:rFonts w:hAnsi="宋体"/>
          <w:sz w:val="24"/>
        </w:rPr>
        <w:t>不定期</w:t>
      </w:r>
    </w:p>
    <w:p w14:paraId="35611CC8">
      <w:pPr>
        <w:adjustRightInd w:val="0"/>
        <w:snapToGrid w:val="0"/>
        <w:spacing w:line="360" w:lineRule="auto"/>
        <w:ind w:firstLine="480" w:firstLineChars="200"/>
        <w:rPr>
          <w:rFonts w:hAnsi="宋体"/>
          <w:sz w:val="24"/>
        </w:rPr>
      </w:pPr>
      <w:r>
        <w:rPr>
          <w:rFonts w:hAnsi="宋体"/>
          <w:sz w:val="24"/>
        </w:rPr>
        <w:t>5、基金份额发售面值</w:t>
      </w:r>
    </w:p>
    <w:p w14:paraId="2AC6D0C6">
      <w:pPr>
        <w:adjustRightInd w:val="0"/>
        <w:snapToGrid w:val="0"/>
        <w:spacing w:line="360" w:lineRule="auto"/>
        <w:ind w:firstLine="480" w:firstLineChars="200"/>
        <w:rPr>
          <w:rFonts w:hAnsi="宋体"/>
          <w:sz w:val="24"/>
        </w:rPr>
      </w:pPr>
      <w:r>
        <w:rPr>
          <w:rFonts w:hAnsi="宋体"/>
          <w:sz w:val="24"/>
        </w:rPr>
        <w:t>本基金基金份额发售面值为人民币1.00元。</w:t>
      </w:r>
    </w:p>
    <w:p w14:paraId="6D9B5264">
      <w:pPr>
        <w:adjustRightInd w:val="0"/>
        <w:snapToGrid w:val="0"/>
        <w:spacing w:line="360" w:lineRule="auto"/>
        <w:ind w:firstLine="480" w:firstLineChars="200"/>
        <w:rPr>
          <w:rFonts w:hint="eastAsia" w:hAnsi="宋体"/>
          <w:sz w:val="24"/>
          <w:lang w:val="en-US" w:eastAsia="zh-CN"/>
        </w:rPr>
      </w:pPr>
      <w:r>
        <w:rPr>
          <w:rFonts w:hint="eastAsia" w:hAnsi="宋体"/>
          <w:sz w:val="24"/>
          <w:lang w:val="en-US" w:eastAsia="zh-CN"/>
        </w:rPr>
        <w:t>6、基金份额类别</w:t>
      </w:r>
    </w:p>
    <w:p w14:paraId="57BC5817">
      <w:pPr>
        <w:numPr>
          <w:ilvl w:val="-1"/>
          <w:numId w:val="0"/>
        </w:numPr>
        <w:adjustRightInd w:val="0"/>
        <w:snapToGrid w:val="0"/>
        <w:spacing w:line="360" w:lineRule="auto"/>
        <w:ind w:firstLine="480" w:firstLineChars="200"/>
        <w:rPr>
          <w:rFonts w:hAnsi="宋体"/>
          <w:sz w:val="24"/>
        </w:rPr>
      </w:pPr>
      <w:r>
        <w:rPr>
          <w:rFonts w:hint="eastAsia" w:hAnsi="宋体"/>
          <w:sz w:val="24"/>
        </w:rPr>
        <w:t>本基金根据认购/申购费用、销售服务费收取方式的不同，将基金份额分为不同的类别。在投资人认购/申购时收取认购/申购费用</w:t>
      </w:r>
      <w:r>
        <w:rPr>
          <w:rFonts w:hint="eastAsia" w:hAnsi="宋体"/>
          <w:sz w:val="24"/>
          <w:lang w:val="en-US" w:eastAsia="zh-CN"/>
        </w:rPr>
        <w:t>且</w:t>
      </w:r>
      <w:r>
        <w:rPr>
          <w:rFonts w:hint="eastAsia" w:hAnsi="宋体"/>
          <w:sz w:val="24"/>
        </w:rPr>
        <w:t>不从本类别基金资产中计提销售服务费的，称为A类基金份额</w:t>
      </w:r>
      <w:r>
        <w:rPr>
          <w:rFonts w:hint="eastAsia" w:hAnsi="宋体"/>
          <w:bCs/>
          <w:sz w:val="24"/>
        </w:rPr>
        <w:t>（其中，对于投资人通过直销机构认购/申购的A类基金份额，不收取认购/申购费用）</w:t>
      </w:r>
      <w:r>
        <w:rPr>
          <w:rFonts w:hint="eastAsia" w:hAnsi="宋体"/>
          <w:sz w:val="24"/>
        </w:rPr>
        <w:t>；在投资人认购/申购时不收取认购/申购费用</w:t>
      </w:r>
      <w:r>
        <w:rPr>
          <w:rFonts w:hint="eastAsia" w:hAnsi="宋体"/>
          <w:sz w:val="24"/>
          <w:lang w:val="en-US" w:eastAsia="zh-CN"/>
        </w:rPr>
        <w:t>且</w:t>
      </w:r>
      <w:r>
        <w:rPr>
          <w:rFonts w:hint="eastAsia" w:hAnsi="宋体"/>
          <w:sz w:val="24"/>
        </w:rPr>
        <w:t>从本类别基金资产中计提销售服务费的，称为C类基金份额</w:t>
      </w:r>
      <w:r>
        <w:rPr>
          <w:rFonts w:hint="eastAsia"/>
          <w:bCs/>
          <w:sz w:val="24"/>
        </w:rPr>
        <w:t>（其中，对于投资人通过直销机构认购/申购的</w:t>
      </w:r>
      <w:r>
        <w:rPr>
          <w:rFonts w:ascii="Times New Roman" w:hAnsi="Times New Roman"/>
          <w:sz w:val="24"/>
        </w:rPr>
        <w:t>C</w:t>
      </w:r>
      <w:r>
        <w:rPr>
          <w:rFonts w:hint="eastAsia" w:ascii="Times New Roman" w:hAnsi="Times New Roman"/>
          <w:sz w:val="24"/>
        </w:rPr>
        <w:t>类</w:t>
      </w:r>
      <w:r>
        <w:rPr>
          <w:rFonts w:hint="eastAsia"/>
          <w:bCs/>
          <w:sz w:val="24"/>
        </w:rPr>
        <w:t>基金份额，计提的销售服务费将在投资人赎回相应基金份额或基金合同终止时随赎回款或清算款一并返还给投资人；对于投资人通过其他销售机构认购/申购的</w:t>
      </w:r>
      <w:r>
        <w:rPr>
          <w:rFonts w:ascii="Times New Roman" w:hAnsi="Times New Roman"/>
          <w:sz w:val="24"/>
        </w:rPr>
        <w:t>C</w:t>
      </w:r>
      <w:r>
        <w:rPr>
          <w:rFonts w:hint="eastAsia" w:ascii="Times New Roman" w:hAnsi="Times New Roman"/>
          <w:sz w:val="24"/>
        </w:rPr>
        <w:t>类</w:t>
      </w:r>
      <w:r>
        <w:rPr>
          <w:rFonts w:hint="eastAsia"/>
          <w:bCs/>
          <w:sz w:val="24"/>
        </w:rPr>
        <w:t>基金份额，持续持有超过一年后计提的销售服务费将在投资人赎回相应基金份额或基金合同终止时随赎回款或清算款一并返还给投资人）</w:t>
      </w:r>
      <w:r>
        <w:rPr>
          <w:rFonts w:hint="eastAsia" w:hAnsi="宋体"/>
          <w:sz w:val="24"/>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暂不开通互相转换业务。如后续开通此项业务的，无需召开基金份额持有人大会审议，但调整前基金管理人需及时公告。</w:t>
      </w:r>
    </w:p>
    <w:p w14:paraId="7E31D76C">
      <w:pPr>
        <w:adjustRightInd w:val="0"/>
        <w:snapToGrid w:val="0"/>
        <w:spacing w:line="360" w:lineRule="auto"/>
        <w:ind w:firstLine="480" w:firstLineChars="200"/>
        <w:rPr>
          <w:rFonts w:hAnsi="宋体"/>
          <w:sz w:val="24"/>
        </w:rPr>
      </w:pPr>
      <w:r>
        <w:rPr>
          <w:rFonts w:hint="eastAsia" w:hAnsi="宋体"/>
          <w:sz w:val="24"/>
          <w:lang w:val="en-US" w:eastAsia="zh-CN"/>
        </w:rPr>
        <w:t>7</w:t>
      </w:r>
      <w:r>
        <w:rPr>
          <w:rFonts w:hint="eastAsia" w:hAnsi="宋体"/>
          <w:sz w:val="24"/>
        </w:rPr>
        <w:t>、</w:t>
      </w:r>
      <w:r>
        <w:rPr>
          <w:rFonts w:hAnsi="宋体"/>
          <w:sz w:val="24"/>
        </w:rPr>
        <w:t>基金代码及基金简称</w:t>
      </w:r>
    </w:p>
    <w:p w14:paraId="55BF1061">
      <w:pPr>
        <w:adjustRightInd w:val="0"/>
        <w:snapToGrid w:val="0"/>
        <w:spacing w:line="360" w:lineRule="auto"/>
        <w:ind w:firstLine="480" w:firstLineChars="200"/>
        <w:rPr>
          <w:rFonts w:hint="eastAsia" w:hAnsi="宋体"/>
          <w:sz w:val="24"/>
          <w:highlight w:val="none"/>
          <w:lang w:val="en-US" w:eastAsia="zh-CN"/>
        </w:rPr>
      </w:pPr>
      <w:r>
        <w:rPr>
          <w:rFonts w:hint="eastAsia" w:hAnsi="宋体"/>
          <w:sz w:val="24"/>
          <w:lang w:eastAsia="zh-CN"/>
        </w:rPr>
        <w:t>（</w:t>
      </w:r>
      <w:r>
        <w:rPr>
          <w:rFonts w:hint="eastAsia" w:hAnsi="宋体"/>
          <w:sz w:val="24"/>
          <w:lang w:val="en-US" w:eastAsia="zh-CN"/>
        </w:rPr>
        <w:t>1</w:t>
      </w:r>
      <w:r>
        <w:rPr>
          <w:rFonts w:hint="eastAsia" w:hAnsi="宋体"/>
          <w:sz w:val="24"/>
          <w:lang w:eastAsia="zh-CN"/>
        </w:rPr>
        <w:t>）</w:t>
      </w:r>
      <w:r>
        <w:rPr>
          <w:rFonts w:hint="eastAsia" w:hAnsi="宋体"/>
          <w:sz w:val="24"/>
          <w:lang w:val="en-US" w:eastAsia="zh-CN"/>
        </w:rPr>
        <w:t>A类基金份额</w:t>
      </w:r>
      <w:r>
        <w:rPr>
          <w:rFonts w:hint="eastAsia" w:hAnsi="宋体"/>
          <w:sz w:val="24"/>
        </w:rPr>
        <w:t>基金代码：</w:t>
      </w:r>
      <w:r>
        <w:rPr>
          <w:rFonts w:hint="eastAsia" w:hAnsi="宋体"/>
          <w:sz w:val="24"/>
          <w:lang w:val="en-US" w:eastAsia="zh-CN" w:bidi="ar"/>
        </w:rPr>
        <w:t>029148</w:t>
      </w:r>
      <w:r>
        <w:rPr>
          <w:rFonts w:hint="eastAsia" w:hAnsi="宋体"/>
          <w:sz w:val="24"/>
          <w:highlight w:val="none"/>
        </w:rPr>
        <w:t>；基金简称：</w:t>
      </w:r>
      <w:r>
        <w:rPr>
          <w:rFonts w:hint="eastAsia" w:hAnsi="宋体"/>
          <w:sz w:val="24"/>
          <w:highlight w:val="none"/>
          <w:lang w:eastAsia="zh-CN"/>
        </w:rPr>
        <w:t>交银</w:t>
      </w:r>
      <w:r>
        <w:rPr>
          <w:rFonts w:hint="eastAsia" w:hAnsi="宋体"/>
          <w:sz w:val="24"/>
          <w:highlight w:val="none"/>
          <w:lang w:val="en-US" w:eastAsia="zh-CN"/>
        </w:rPr>
        <w:t>佳盛</w:t>
      </w:r>
      <w:r>
        <w:rPr>
          <w:rFonts w:hint="eastAsia" w:hAnsi="宋体"/>
          <w:sz w:val="24"/>
          <w:highlight w:val="none"/>
          <w:lang w:eastAsia="zh-CN"/>
        </w:rPr>
        <w:t>债券</w:t>
      </w:r>
      <w:r>
        <w:rPr>
          <w:rFonts w:hint="eastAsia" w:hAnsi="宋体"/>
          <w:sz w:val="24"/>
          <w:highlight w:val="none"/>
          <w:lang w:val="en-US" w:eastAsia="zh-CN"/>
        </w:rPr>
        <w:t>A</w:t>
      </w:r>
    </w:p>
    <w:p w14:paraId="6AB4EEE9">
      <w:pPr>
        <w:adjustRightInd w:val="0"/>
        <w:snapToGrid w:val="0"/>
        <w:spacing w:line="360" w:lineRule="auto"/>
        <w:ind w:firstLine="480" w:firstLineChars="200"/>
        <w:rPr>
          <w:rFonts w:hint="eastAsia" w:hAnsi="宋体"/>
          <w:sz w:val="24"/>
          <w:lang w:val="en-US" w:eastAsia="zh-CN"/>
        </w:rPr>
      </w:pPr>
      <w:r>
        <w:rPr>
          <w:rFonts w:hint="eastAsia" w:hAnsi="宋体"/>
          <w:sz w:val="24"/>
          <w:highlight w:val="none"/>
          <w:lang w:val="en-US" w:eastAsia="zh-CN"/>
        </w:rPr>
        <w:t>（2）C类基金份额基金代码：</w:t>
      </w:r>
      <w:r>
        <w:rPr>
          <w:rFonts w:hint="eastAsia" w:hAnsi="宋体"/>
          <w:sz w:val="24"/>
          <w:lang w:val="en-US" w:eastAsia="zh-CN" w:bidi="ar"/>
        </w:rPr>
        <w:t>029149</w:t>
      </w:r>
      <w:r>
        <w:rPr>
          <w:rFonts w:hint="eastAsia" w:hAnsi="宋体"/>
          <w:sz w:val="24"/>
          <w:lang w:val="en-US" w:eastAsia="zh-CN"/>
        </w:rPr>
        <w:t>；基金简称：交银佳盛债券C</w:t>
      </w:r>
    </w:p>
    <w:p w14:paraId="58CD13FB">
      <w:pPr>
        <w:adjustRightInd w:val="0"/>
        <w:snapToGrid w:val="0"/>
        <w:spacing w:line="360" w:lineRule="auto"/>
        <w:ind w:firstLine="480" w:firstLineChars="200"/>
        <w:rPr>
          <w:rFonts w:hAnsi="宋体"/>
          <w:sz w:val="24"/>
        </w:rPr>
      </w:pPr>
      <w:r>
        <w:rPr>
          <w:rFonts w:hint="eastAsia" w:hAnsi="宋体"/>
          <w:sz w:val="24"/>
          <w:lang w:val="en-US" w:eastAsia="zh-CN"/>
        </w:rPr>
        <w:t>8</w:t>
      </w:r>
      <w:r>
        <w:rPr>
          <w:rFonts w:hAnsi="宋体"/>
          <w:sz w:val="24"/>
        </w:rPr>
        <w:t>、发售对象</w:t>
      </w:r>
    </w:p>
    <w:p w14:paraId="088078E6">
      <w:pPr>
        <w:adjustRightInd w:val="0"/>
        <w:snapToGrid w:val="0"/>
        <w:spacing w:line="360" w:lineRule="auto"/>
        <w:ind w:firstLine="480" w:firstLineChars="200"/>
        <w:rPr>
          <w:rFonts w:hAnsi="宋体"/>
          <w:sz w:val="24"/>
        </w:rPr>
      </w:pPr>
      <w:r>
        <w:rPr>
          <w:rFonts w:hint="eastAsia" w:hAnsi="宋体"/>
          <w:sz w:val="24"/>
        </w:rPr>
        <w:t>符合法律法规规定的可投资于证券投资基金的个人投资者、机构投资者、合格境外投资者以及法律法规或中国证监会允许购买证券投资基金的其他投资人。</w:t>
      </w:r>
    </w:p>
    <w:p w14:paraId="65E9E90B">
      <w:pPr>
        <w:adjustRightInd w:val="0"/>
        <w:snapToGrid w:val="0"/>
        <w:spacing w:line="360" w:lineRule="auto"/>
        <w:ind w:firstLine="480" w:firstLineChars="200"/>
        <w:rPr>
          <w:rFonts w:hAnsi="宋体"/>
          <w:sz w:val="24"/>
        </w:rPr>
      </w:pPr>
      <w:r>
        <w:rPr>
          <w:rFonts w:hint="eastAsia" w:hAnsi="宋体"/>
          <w:sz w:val="24"/>
          <w:lang w:val="en-US" w:eastAsia="zh-CN"/>
        </w:rPr>
        <w:t>9</w:t>
      </w:r>
      <w:r>
        <w:rPr>
          <w:rFonts w:hAnsi="宋体"/>
          <w:sz w:val="24"/>
        </w:rPr>
        <w:t>、销售机构</w:t>
      </w:r>
    </w:p>
    <w:p w14:paraId="20A28304">
      <w:pPr>
        <w:adjustRightInd w:val="0"/>
        <w:snapToGrid w:val="0"/>
        <w:spacing w:line="360" w:lineRule="auto"/>
        <w:ind w:firstLine="480" w:firstLineChars="200"/>
        <w:rPr>
          <w:rFonts w:hAnsi="宋体"/>
          <w:sz w:val="24"/>
        </w:rPr>
      </w:pPr>
      <w:r>
        <w:rPr>
          <w:rFonts w:hAnsi="宋体"/>
          <w:sz w:val="24"/>
        </w:rPr>
        <w:t>（1）直销机构：</w:t>
      </w:r>
    </w:p>
    <w:p w14:paraId="3D12BB65">
      <w:pPr>
        <w:adjustRightInd w:val="0"/>
        <w:snapToGrid w:val="0"/>
        <w:spacing w:line="360" w:lineRule="auto"/>
        <w:ind w:firstLine="480" w:firstLineChars="200"/>
        <w:rPr>
          <w:rFonts w:hAnsi="宋体"/>
          <w:sz w:val="24"/>
        </w:rPr>
      </w:pPr>
      <w:r>
        <w:rPr>
          <w:rFonts w:hAnsi="宋体"/>
          <w:sz w:val="24"/>
        </w:rPr>
        <w:t>本基金直销机构为本</w:t>
      </w:r>
      <w:r>
        <w:rPr>
          <w:rFonts w:hint="eastAsia" w:hAnsi="宋体"/>
          <w:sz w:val="24"/>
        </w:rPr>
        <w:t>公司直销</w:t>
      </w:r>
      <w:r>
        <w:rPr>
          <w:rFonts w:hAnsi="宋体"/>
          <w:sz w:val="24"/>
        </w:rPr>
        <w:t>柜台以及本</w:t>
      </w:r>
      <w:r>
        <w:rPr>
          <w:rFonts w:hint="eastAsia" w:hAnsi="宋体"/>
          <w:sz w:val="24"/>
        </w:rPr>
        <w:t>公司</w:t>
      </w:r>
      <w:r>
        <w:rPr>
          <w:rFonts w:hAnsi="宋体"/>
          <w:sz w:val="24"/>
        </w:rPr>
        <w:t>的网上直销交易平台。募集期间个人投资者可以通过本</w:t>
      </w:r>
      <w:r>
        <w:rPr>
          <w:rFonts w:hint="eastAsia" w:hAnsi="宋体"/>
          <w:sz w:val="24"/>
        </w:rPr>
        <w:t>公司</w:t>
      </w:r>
      <w:r>
        <w:rPr>
          <w:rFonts w:hAnsi="宋体"/>
          <w:sz w:val="24"/>
        </w:rPr>
        <w:t>网上直销交易平台办理开户和</w:t>
      </w:r>
      <w:r>
        <w:rPr>
          <w:rFonts w:hint="eastAsia" w:hAnsi="宋体"/>
          <w:sz w:val="24"/>
        </w:rPr>
        <w:t>本基金</w:t>
      </w:r>
      <w:r>
        <w:rPr>
          <w:rFonts w:hAnsi="宋体"/>
          <w:sz w:val="24"/>
        </w:rPr>
        <w:t>认购业务。</w:t>
      </w:r>
    </w:p>
    <w:p w14:paraId="3BEF74F1">
      <w:pPr>
        <w:adjustRightInd w:val="0"/>
        <w:snapToGrid w:val="0"/>
        <w:spacing w:line="360" w:lineRule="auto"/>
        <w:ind w:firstLine="480" w:firstLineChars="200"/>
        <w:rPr>
          <w:rFonts w:hAnsi="宋体"/>
          <w:sz w:val="24"/>
        </w:rPr>
      </w:pPr>
      <w:r>
        <w:rPr>
          <w:rFonts w:hAnsi="宋体"/>
          <w:sz w:val="24"/>
        </w:rPr>
        <w:t>（2）</w:t>
      </w:r>
      <w:r>
        <w:rPr>
          <w:rFonts w:hint="eastAsia" w:hAnsi="宋体"/>
          <w:sz w:val="24"/>
        </w:rPr>
        <w:t>除基金管理人之外的其他销售机构：</w:t>
      </w:r>
    </w:p>
    <w:p w14:paraId="149D6ADD">
      <w:pPr>
        <w:adjustRightInd w:val="0"/>
        <w:snapToGrid w:val="0"/>
        <w:spacing w:line="360" w:lineRule="auto"/>
        <w:ind w:firstLine="480" w:firstLineChars="200"/>
        <w:rPr>
          <w:rFonts w:hAnsi="宋体"/>
          <w:sz w:val="24"/>
        </w:rPr>
      </w:pPr>
      <w:r>
        <w:rPr>
          <w:rFonts w:hint="eastAsia" w:hAnsi="宋体"/>
          <w:sz w:val="24"/>
        </w:rPr>
        <w:t>本基金的其他销售机构名单详见本公告“九、本次募集当事人或中介机构”项下“（三）销售机构”中“</w:t>
      </w:r>
      <w:r>
        <w:rPr>
          <w:rFonts w:hAnsi="宋体"/>
          <w:sz w:val="24"/>
        </w:rPr>
        <w:t>2</w:t>
      </w:r>
      <w:r>
        <w:rPr>
          <w:rFonts w:hint="eastAsia" w:hAnsi="宋体"/>
          <w:sz w:val="24"/>
        </w:rPr>
        <w:t>、除基金管理人之外的其他销售机构”章节。</w:t>
      </w:r>
    </w:p>
    <w:p w14:paraId="4E9EEE7D">
      <w:pPr>
        <w:adjustRightInd w:val="0"/>
        <w:snapToGrid w:val="0"/>
        <w:spacing w:line="360" w:lineRule="auto"/>
        <w:ind w:firstLine="480" w:firstLineChars="200"/>
        <w:rPr>
          <w:rFonts w:hAnsi="宋体"/>
          <w:sz w:val="24"/>
        </w:rPr>
      </w:pPr>
      <w:r>
        <w:rPr>
          <w:rFonts w:hAnsi="宋体"/>
          <w:sz w:val="24"/>
        </w:rPr>
        <w:t>基金管理人可根据有关法律法规的要求，选择其他符合要求的机构销售本基金。</w:t>
      </w:r>
    </w:p>
    <w:p w14:paraId="18B015E3">
      <w:pPr>
        <w:adjustRightInd w:val="0"/>
        <w:snapToGrid w:val="0"/>
        <w:spacing w:line="360" w:lineRule="auto"/>
        <w:ind w:firstLine="480" w:firstLineChars="200"/>
        <w:rPr>
          <w:rFonts w:hAnsi="宋体"/>
          <w:sz w:val="24"/>
        </w:rPr>
      </w:pPr>
      <w:r>
        <w:rPr>
          <w:rFonts w:hint="eastAsia" w:hAnsi="宋体"/>
          <w:sz w:val="24"/>
          <w:lang w:val="en-US" w:eastAsia="zh-CN"/>
        </w:rPr>
        <w:t>10</w:t>
      </w:r>
      <w:r>
        <w:rPr>
          <w:rFonts w:hAnsi="宋体"/>
          <w:sz w:val="24"/>
        </w:rPr>
        <w:t>、募集时间安排与基金合同生效</w:t>
      </w:r>
    </w:p>
    <w:p w14:paraId="6442DE5C">
      <w:pPr>
        <w:adjustRightInd w:val="0"/>
        <w:snapToGrid w:val="0"/>
        <w:spacing w:line="360" w:lineRule="auto"/>
        <w:ind w:firstLine="480" w:firstLineChars="200"/>
        <w:rPr>
          <w:rFonts w:hAnsi="宋体"/>
          <w:sz w:val="24"/>
        </w:rPr>
      </w:pPr>
      <w:r>
        <w:rPr>
          <w:rFonts w:hAnsi="宋体"/>
          <w:sz w:val="24"/>
        </w:rPr>
        <w:t>根据有关法律法规的规定，基金的募集期为自基金份额发售之日起不超过3个月。本基金募集期自</w:t>
      </w:r>
      <w:r>
        <w:rPr>
          <w:rFonts w:hint="eastAsia"/>
          <w:sz w:val="24"/>
          <w:highlight w:val="none"/>
        </w:rPr>
        <w:t>202</w:t>
      </w:r>
      <w:r>
        <w:rPr>
          <w:rFonts w:hint="eastAsia"/>
          <w:sz w:val="24"/>
          <w:highlight w:val="none"/>
          <w:lang w:val="en-US" w:eastAsia="zh-CN"/>
        </w:rPr>
        <w:t>6</w:t>
      </w:r>
      <w:r>
        <w:rPr>
          <w:rFonts w:hint="eastAsia"/>
          <w:sz w:val="24"/>
          <w:highlight w:val="none"/>
        </w:rPr>
        <w:t>年</w:t>
      </w:r>
      <w:r>
        <w:rPr>
          <w:rFonts w:hint="eastAsia"/>
          <w:sz w:val="24"/>
          <w:highlight w:val="none"/>
          <w:lang w:val="en-US" w:eastAsia="zh-CN"/>
        </w:rPr>
        <w:t>11月2日</w:t>
      </w:r>
      <w:r>
        <w:rPr>
          <w:rFonts w:hint="eastAsia" w:hAnsi="宋体"/>
          <w:sz w:val="24"/>
          <w:highlight w:val="none"/>
        </w:rPr>
        <w:t>起至</w:t>
      </w:r>
      <w:r>
        <w:rPr>
          <w:rFonts w:hint="eastAsia"/>
          <w:sz w:val="24"/>
          <w:highlight w:val="none"/>
        </w:rPr>
        <w:t>202</w:t>
      </w:r>
      <w:r>
        <w:rPr>
          <w:rFonts w:hint="eastAsia"/>
          <w:sz w:val="24"/>
          <w:highlight w:val="none"/>
          <w:lang w:val="en-US" w:eastAsia="zh-CN"/>
        </w:rPr>
        <w:t>6</w:t>
      </w:r>
      <w:r>
        <w:rPr>
          <w:rFonts w:hint="eastAsia"/>
          <w:sz w:val="24"/>
          <w:highlight w:val="none"/>
        </w:rPr>
        <w:t>年</w:t>
      </w:r>
      <w:r>
        <w:rPr>
          <w:rFonts w:hint="eastAsia"/>
          <w:sz w:val="24"/>
          <w:highlight w:val="none"/>
          <w:lang w:val="en-US" w:eastAsia="zh-CN"/>
        </w:rPr>
        <w:t>11月20日</w:t>
      </w:r>
      <w:r>
        <w:rPr>
          <w:rFonts w:hAnsi="宋体"/>
          <w:sz w:val="24"/>
          <w:highlight w:val="none"/>
        </w:rPr>
        <w:t>止，</w:t>
      </w:r>
      <w:r>
        <w:rPr>
          <w:rFonts w:hAnsi="宋体"/>
          <w:sz w:val="24"/>
        </w:rPr>
        <w:t>期间面向个人投资者、机构投资者、合格境外</w:t>
      </w:r>
      <w:r>
        <w:rPr>
          <w:rFonts w:hint="eastAsia"/>
          <w:color w:val="000000"/>
          <w:kern w:val="0"/>
          <w:sz w:val="24"/>
        </w:rPr>
        <w:t>投资者</w:t>
      </w:r>
      <w:r>
        <w:rPr>
          <w:rFonts w:hAnsi="宋体"/>
          <w:sz w:val="24"/>
        </w:rPr>
        <w:t>，以及法律法规或中国证监会允许购买证券投资基金的其他投资人同时发售</w:t>
      </w:r>
      <w:r>
        <w:rPr>
          <w:rFonts w:hint="eastAsia"/>
          <w:sz w:val="24"/>
        </w:rPr>
        <w:t>（</w:t>
      </w:r>
      <w:r>
        <w:rPr>
          <w:rFonts w:hAnsi="宋体"/>
          <w:sz w:val="24"/>
        </w:rPr>
        <w:t>具体业务办理时间见各销售机构的相关业务公告或拨打客户服务电话咨询</w:t>
      </w:r>
      <w:r>
        <w:rPr>
          <w:rFonts w:hint="eastAsia"/>
          <w:sz w:val="24"/>
        </w:rPr>
        <w:t>）</w:t>
      </w:r>
      <w:r>
        <w:rPr>
          <w:rFonts w:hAnsi="宋体"/>
          <w:sz w:val="24"/>
        </w:rPr>
        <w:t>。基金管理人根据认购的情况可适当延长发行时间，但最长不超过法定募集期限；同时也可根据认购和市场情况提前结束发行。</w:t>
      </w:r>
    </w:p>
    <w:p w14:paraId="712CA014">
      <w:pPr>
        <w:adjustRightInd w:val="0"/>
        <w:snapToGrid w:val="0"/>
        <w:spacing w:line="360" w:lineRule="auto"/>
        <w:ind w:firstLine="480" w:firstLineChars="200"/>
        <w:rPr>
          <w:sz w:val="24"/>
        </w:rPr>
      </w:pPr>
      <w:r>
        <w:rPr>
          <w:rFonts w:hAnsi="宋体"/>
          <w:sz w:val="24"/>
        </w:rPr>
        <w:t>本基金在募集期间达到基金合同的备案条件，基金管理人应当在基金募集结束</w:t>
      </w:r>
      <w:r>
        <w:rPr>
          <w:rFonts w:hint="eastAsia" w:hAnsi="宋体"/>
          <w:sz w:val="24"/>
        </w:rPr>
        <w:t>之日起</w:t>
      </w:r>
      <w:r>
        <w:rPr>
          <w:sz w:val="24"/>
        </w:rPr>
        <w:t>10</w:t>
      </w:r>
      <w:r>
        <w:rPr>
          <w:rFonts w:hAnsi="宋体"/>
          <w:sz w:val="24"/>
        </w:rPr>
        <w:t>日内聘请法定验资机构验资，并在收到验资报告</w:t>
      </w:r>
      <w:r>
        <w:rPr>
          <w:rFonts w:hint="eastAsia" w:hAnsi="宋体"/>
          <w:sz w:val="24"/>
        </w:rPr>
        <w:t>之日起</w:t>
      </w:r>
      <w:r>
        <w:rPr>
          <w:sz w:val="24"/>
        </w:rPr>
        <w:t>10</w:t>
      </w:r>
      <w:r>
        <w:rPr>
          <w:rFonts w:hAnsi="宋体"/>
          <w:sz w:val="24"/>
        </w:rPr>
        <w:t>日内</w:t>
      </w:r>
      <w:r>
        <w:rPr>
          <w:rFonts w:hint="eastAsia" w:hAnsi="宋体"/>
          <w:sz w:val="24"/>
        </w:rPr>
        <w:t>，向中国证监会提交验资报告，办理基金备案手续。</w:t>
      </w:r>
      <w:r>
        <w:rPr>
          <w:rFonts w:hAnsi="宋体"/>
          <w:sz w:val="24"/>
        </w:rPr>
        <w:t>自中国证监会书面确认之日起，基金备案手续办理完毕，基金合同生效。</w:t>
      </w:r>
    </w:p>
    <w:p w14:paraId="14612491">
      <w:pPr>
        <w:adjustRightInd w:val="0"/>
        <w:snapToGrid w:val="0"/>
        <w:spacing w:line="360" w:lineRule="auto"/>
        <w:ind w:firstLine="480" w:firstLineChars="200"/>
        <w:rPr>
          <w:sz w:val="24"/>
        </w:rPr>
      </w:pPr>
      <w:r>
        <w:rPr>
          <w:rFonts w:hAnsi="宋体"/>
          <w:sz w:val="24"/>
        </w:rPr>
        <w:t>若募集期届满，未满足募集生效条件，基金管理人将以其固有财产承担因募集行为而产生的债务和费用，在基金募集期限届满后</w:t>
      </w:r>
      <w:r>
        <w:rPr>
          <w:sz w:val="24"/>
        </w:rPr>
        <w:t>30</w:t>
      </w:r>
      <w:r>
        <w:rPr>
          <w:rFonts w:hAnsi="宋体"/>
          <w:sz w:val="24"/>
        </w:rPr>
        <w:t>日内返还基金投资人已缴纳的认购款项，并加计银行同期</w:t>
      </w:r>
      <w:r>
        <w:rPr>
          <w:rFonts w:hint="eastAsia"/>
          <w:color w:val="000000"/>
          <w:sz w:val="24"/>
        </w:rPr>
        <w:t>活期</w:t>
      </w:r>
      <w:r>
        <w:rPr>
          <w:rFonts w:hAnsi="宋体"/>
          <w:sz w:val="24"/>
        </w:rPr>
        <w:t>存款利息。</w:t>
      </w:r>
    </w:p>
    <w:p w14:paraId="0D6BE562">
      <w:pPr>
        <w:adjustRightInd w:val="0"/>
        <w:snapToGrid w:val="0"/>
        <w:spacing w:line="360" w:lineRule="auto"/>
        <w:ind w:firstLine="480" w:firstLineChars="200"/>
        <w:rPr>
          <w:rFonts w:hAnsi="宋体"/>
          <w:sz w:val="24"/>
        </w:rPr>
      </w:pPr>
      <w:r>
        <w:rPr>
          <w:rFonts w:hint="eastAsia" w:hAnsi="宋体"/>
          <w:sz w:val="24"/>
          <w:lang w:val="en-US" w:eastAsia="zh-CN"/>
        </w:rPr>
        <w:t>11</w:t>
      </w:r>
      <w:r>
        <w:rPr>
          <w:rFonts w:hAnsi="宋体"/>
          <w:sz w:val="24"/>
        </w:rPr>
        <w:t>、认购期利息的处理方式</w:t>
      </w:r>
    </w:p>
    <w:p w14:paraId="7C1E83AA">
      <w:pPr>
        <w:adjustRightInd w:val="0"/>
        <w:snapToGrid w:val="0"/>
        <w:spacing w:line="360" w:lineRule="auto"/>
        <w:ind w:firstLine="480" w:firstLineChars="200"/>
        <w:rPr>
          <w:rFonts w:hAnsi="宋体"/>
          <w:sz w:val="24"/>
        </w:rPr>
      </w:pPr>
      <w:r>
        <w:rPr>
          <w:rFonts w:hint="eastAsia" w:hAnsi="宋体"/>
          <w:sz w:val="24"/>
        </w:rPr>
        <w:t>本基金基金合同生效前，投资人的有效认购款项只能存入专门账户，任何人不得动用。有效认购款项在募集期间产生的利息将折算为基金份额归基金份额持有人所有。</w:t>
      </w:r>
      <w:bookmarkStart w:id="0" w:name="_Hlt91264042"/>
      <w:bookmarkEnd w:id="0"/>
      <w:bookmarkStart w:id="1" w:name="_Hlt90455312"/>
      <w:bookmarkEnd w:id="1"/>
      <w:bookmarkStart w:id="2" w:name="_Hlt91264078"/>
      <w:bookmarkEnd w:id="2"/>
      <w:bookmarkStart w:id="3" w:name="_Hlt90801570"/>
      <w:bookmarkEnd w:id="3"/>
      <w:bookmarkStart w:id="4" w:name="_Hlt91148053"/>
      <w:bookmarkEnd w:id="4"/>
    </w:p>
    <w:p w14:paraId="32DB8678">
      <w:pPr>
        <w:adjustRightInd w:val="0"/>
        <w:snapToGrid w:val="0"/>
        <w:spacing w:line="360" w:lineRule="auto"/>
        <w:ind w:firstLine="480" w:firstLineChars="200"/>
        <w:rPr>
          <w:rFonts w:hAnsi="宋体"/>
          <w:sz w:val="24"/>
        </w:rPr>
      </w:pPr>
      <w:r>
        <w:rPr>
          <w:rFonts w:hint="eastAsia" w:hAnsi="宋体"/>
          <w:sz w:val="24"/>
        </w:rPr>
        <w:t>认购利息折算的基金份额精确到小数点后两位，小数点两位以后的部分截位，由此误差产生的收益或损失由基金财产承担，其中有效认购资金的利息及利息折算的基金份额以登记机构的记录为准。</w:t>
      </w:r>
    </w:p>
    <w:p w14:paraId="2D8029D7">
      <w:pPr>
        <w:adjustRightInd w:val="0"/>
        <w:snapToGrid w:val="0"/>
        <w:spacing w:line="360" w:lineRule="auto"/>
        <w:ind w:firstLine="480" w:firstLineChars="200"/>
        <w:rPr>
          <w:kern w:val="0"/>
          <w:sz w:val="24"/>
          <w:szCs w:val="24"/>
        </w:rPr>
      </w:pPr>
      <w:r>
        <w:rPr>
          <w:rFonts w:hint="eastAsia" w:hAnsi="宋体"/>
          <w:sz w:val="24"/>
          <w:lang w:val="en-US" w:eastAsia="zh-CN"/>
        </w:rPr>
        <w:t>12</w:t>
      </w:r>
      <w:r>
        <w:rPr>
          <w:rFonts w:hAnsi="宋体"/>
          <w:sz w:val="24"/>
        </w:rPr>
        <w:t>、</w:t>
      </w:r>
      <w:r>
        <w:rPr>
          <w:kern w:val="0"/>
          <w:sz w:val="24"/>
          <w:szCs w:val="24"/>
        </w:rPr>
        <w:t>基金份额的</w:t>
      </w:r>
      <w:r>
        <w:rPr>
          <w:rFonts w:hint="eastAsia"/>
          <w:kern w:val="0"/>
          <w:sz w:val="24"/>
          <w:szCs w:val="24"/>
        </w:rPr>
        <w:t>面值、</w:t>
      </w:r>
      <w:r>
        <w:rPr>
          <w:kern w:val="0"/>
          <w:sz w:val="24"/>
          <w:szCs w:val="24"/>
        </w:rPr>
        <w:t>认购费用、认购价格及认购份额的计算公式</w:t>
      </w:r>
    </w:p>
    <w:p w14:paraId="235358FC">
      <w:pPr>
        <w:adjustRightInd w:val="0"/>
        <w:snapToGrid w:val="0"/>
        <w:spacing w:line="360" w:lineRule="auto"/>
        <w:ind w:firstLine="480" w:firstLineChars="200"/>
        <w:rPr>
          <w:kern w:val="0"/>
          <w:sz w:val="24"/>
          <w:szCs w:val="24"/>
        </w:rPr>
      </w:pPr>
      <w:r>
        <w:rPr>
          <w:kern w:val="0"/>
          <w:sz w:val="24"/>
          <w:szCs w:val="24"/>
        </w:rPr>
        <w:t>（1）</w:t>
      </w:r>
      <w:r>
        <w:rPr>
          <w:rFonts w:hint="eastAsia"/>
          <w:kern w:val="0"/>
          <w:sz w:val="24"/>
          <w:szCs w:val="24"/>
        </w:rPr>
        <w:t>面值、</w:t>
      </w:r>
      <w:r>
        <w:rPr>
          <w:kern w:val="0"/>
          <w:sz w:val="24"/>
          <w:szCs w:val="24"/>
        </w:rPr>
        <w:t>认购价格：本基金</w:t>
      </w:r>
      <w:r>
        <w:rPr>
          <w:rFonts w:hint="eastAsia"/>
          <w:kern w:val="0"/>
          <w:sz w:val="24"/>
          <w:szCs w:val="24"/>
        </w:rPr>
        <w:t>基金</w:t>
      </w:r>
      <w:r>
        <w:rPr>
          <w:kern w:val="0"/>
          <w:sz w:val="24"/>
          <w:szCs w:val="24"/>
        </w:rPr>
        <w:t>份额的</w:t>
      </w:r>
      <w:r>
        <w:rPr>
          <w:rFonts w:hint="eastAsia"/>
          <w:kern w:val="0"/>
          <w:sz w:val="24"/>
          <w:szCs w:val="24"/>
        </w:rPr>
        <w:t>初始面值、</w:t>
      </w:r>
      <w:r>
        <w:rPr>
          <w:kern w:val="0"/>
          <w:sz w:val="24"/>
          <w:szCs w:val="24"/>
        </w:rPr>
        <w:t>认购价格为1.00元/份。</w:t>
      </w:r>
    </w:p>
    <w:p w14:paraId="69D2B539">
      <w:pPr>
        <w:adjustRightInd w:val="0"/>
        <w:snapToGrid w:val="0"/>
        <w:spacing w:line="360" w:lineRule="auto"/>
        <w:ind w:firstLine="480" w:firstLineChars="200"/>
        <w:rPr>
          <w:rFonts w:hint="eastAsia" w:eastAsia="宋体"/>
          <w:kern w:val="0"/>
          <w:sz w:val="24"/>
          <w:szCs w:val="24"/>
          <w:lang w:eastAsia="zh-CN"/>
        </w:rPr>
      </w:pPr>
      <w:r>
        <w:rPr>
          <w:kern w:val="0"/>
          <w:sz w:val="24"/>
          <w:szCs w:val="24"/>
        </w:rPr>
        <w:t>（2）认购费率</w:t>
      </w:r>
    </w:p>
    <w:p w14:paraId="3857A585">
      <w:pPr>
        <w:adjustRightInd w:val="0"/>
        <w:snapToGrid w:val="0"/>
        <w:spacing w:line="360" w:lineRule="auto"/>
        <w:ind w:firstLine="480" w:firstLineChars="200"/>
        <w:rPr>
          <w:rFonts w:hint="eastAsia"/>
          <w:kern w:val="0"/>
          <w:sz w:val="24"/>
        </w:rPr>
      </w:pPr>
      <w:r>
        <w:rPr>
          <w:rFonts w:hint="eastAsia"/>
          <w:kern w:val="0"/>
          <w:sz w:val="24"/>
        </w:rPr>
        <w:t>本基金基金份额分为A类基金份额和C类基金份额。基金投资者认购A类基金份额在认购时支付认购费用（其中，通过直销机构认购时不支付认购费用），基金投资者认购C类基金份额不支付认购费用。</w:t>
      </w:r>
    </w:p>
    <w:p w14:paraId="3113EDA7">
      <w:pPr>
        <w:adjustRightInd w:val="0"/>
        <w:snapToGrid w:val="0"/>
        <w:spacing w:line="360" w:lineRule="auto"/>
        <w:ind w:firstLine="480" w:firstLineChars="200"/>
        <w:rPr>
          <w:rFonts w:hint="eastAsia"/>
          <w:kern w:val="0"/>
          <w:sz w:val="24"/>
        </w:rPr>
      </w:pPr>
      <w:r>
        <w:rPr>
          <w:rFonts w:hint="eastAsia"/>
          <w:kern w:val="0"/>
          <w:sz w:val="24"/>
        </w:rPr>
        <w:t>通过直销机构认购本基金A类基金份额不收取认购费；通过其他销售机构认购本基金A类基金份额的，认购费用由认购A类基金份额的投资人承担，募集期内投资人可以多次认购本基金，认购费用按A类基金份额的每笔认购申请单独计算。认购费用不列入基金财产，主要用于基金的市场推广、销售等募集期间发生的各项费用。</w:t>
      </w:r>
    </w:p>
    <w:p w14:paraId="18B082C2">
      <w:pPr>
        <w:widowControl/>
        <w:adjustRightInd w:val="0"/>
        <w:snapToGrid w:val="0"/>
        <w:spacing w:line="360" w:lineRule="auto"/>
        <w:ind w:firstLine="480" w:firstLineChars="200"/>
        <w:rPr>
          <w:kern w:val="0"/>
          <w:sz w:val="24"/>
        </w:rPr>
      </w:pPr>
      <w:r>
        <w:rPr>
          <w:rFonts w:hint="eastAsia"/>
          <w:kern w:val="0"/>
          <w:sz w:val="24"/>
        </w:rPr>
        <w:t>通过其他销售机构认购本基金A类基金份额的认购费率如下表：</w:t>
      </w:r>
    </w:p>
    <w:tbl>
      <w:tblPr>
        <w:tblStyle w:val="51"/>
        <w:tblW w:w="7126"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528"/>
        <w:gridCol w:w="3598"/>
      </w:tblGrid>
      <w:tr w14:paraId="3AE4885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jc w:val="center"/>
        </w:trPr>
        <w:tc>
          <w:tcPr>
            <w:tcW w:w="3528" w:type="dxa"/>
            <w:shd w:val="clear" w:color="auto" w:fill="FFFFFF"/>
            <w:vAlign w:val="center"/>
          </w:tcPr>
          <w:p w14:paraId="49A1EA39">
            <w:pPr>
              <w:keepNext w:val="0"/>
              <w:keepLines w:val="0"/>
              <w:suppressLineNumbers w:val="0"/>
              <w:adjustRightInd w:val="0"/>
              <w:snapToGrid w:val="0"/>
              <w:spacing w:before="0" w:beforeAutospacing="0" w:after="0" w:afterAutospacing="0"/>
              <w:ind w:left="0" w:right="0"/>
              <w:jc w:val="center"/>
              <w:rPr>
                <w:rFonts w:hint="eastAsia"/>
                <w:b/>
                <w:sz w:val="24"/>
                <w:szCs w:val="20"/>
              </w:rPr>
            </w:pPr>
            <w:r>
              <w:rPr>
                <w:rFonts w:hint="eastAsia"/>
                <w:b/>
                <w:sz w:val="24"/>
                <w:szCs w:val="20"/>
              </w:rPr>
              <w:t>认购金额（含认购费）</w:t>
            </w:r>
          </w:p>
        </w:tc>
        <w:tc>
          <w:tcPr>
            <w:tcW w:w="3598" w:type="dxa"/>
            <w:shd w:val="clear" w:color="auto" w:fill="FFFFFF"/>
            <w:vAlign w:val="center"/>
          </w:tcPr>
          <w:p w14:paraId="725AC10F">
            <w:pPr>
              <w:keepNext w:val="0"/>
              <w:keepLines w:val="0"/>
              <w:suppressLineNumbers w:val="0"/>
              <w:adjustRightInd w:val="0"/>
              <w:snapToGrid w:val="0"/>
              <w:spacing w:before="0" w:beforeAutospacing="0" w:after="0" w:afterAutospacing="0"/>
              <w:ind w:left="0" w:right="0"/>
              <w:jc w:val="center"/>
              <w:rPr>
                <w:rFonts w:hint="eastAsia"/>
                <w:b/>
                <w:sz w:val="24"/>
                <w:szCs w:val="20"/>
              </w:rPr>
            </w:pPr>
            <w:r>
              <w:rPr>
                <w:rFonts w:hint="eastAsia"/>
                <w:b/>
                <w:color w:val="000000"/>
                <w:kern w:val="0"/>
                <w:sz w:val="24"/>
                <w:szCs w:val="20"/>
              </w:rPr>
              <w:t>A类基金份额</w:t>
            </w:r>
            <w:r>
              <w:rPr>
                <w:rFonts w:hint="eastAsia"/>
                <w:b/>
                <w:sz w:val="24"/>
                <w:szCs w:val="20"/>
              </w:rPr>
              <w:t>认购费率</w:t>
            </w:r>
          </w:p>
        </w:tc>
      </w:tr>
      <w:tr w14:paraId="317AC00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Pr>
          <w:p w14:paraId="3C741CA2">
            <w:pPr>
              <w:keepNext w:val="0"/>
              <w:keepLines w:val="0"/>
              <w:suppressLineNumbers w:val="0"/>
              <w:adjustRightInd w:val="0"/>
              <w:snapToGrid w:val="0"/>
              <w:spacing w:before="0" w:beforeAutospacing="0" w:after="0" w:afterAutospacing="0"/>
              <w:ind w:left="0" w:right="0"/>
              <w:rPr>
                <w:rFonts w:hint="eastAsia"/>
                <w:sz w:val="24"/>
                <w:szCs w:val="20"/>
              </w:rPr>
            </w:pPr>
            <w:r>
              <w:rPr>
                <w:rFonts w:hint="eastAsia"/>
                <w:sz w:val="24"/>
                <w:szCs w:val="20"/>
              </w:rPr>
              <w:t>100</w:t>
            </w:r>
            <w:r>
              <w:rPr>
                <w:rFonts w:hint="eastAsia"/>
                <w:sz w:val="24"/>
                <w:szCs w:val="20"/>
                <w:lang w:val="en-US" w:eastAsia="zh-CN"/>
              </w:rPr>
              <w:t>0</w:t>
            </w:r>
            <w:r>
              <w:rPr>
                <w:rFonts w:hint="eastAsia"/>
                <w:sz w:val="24"/>
                <w:szCs w:val="20"/>
              </w:rPr>
              <w:t>万元以下</w:t>
            </w:r>
          </w:p>
        </w:tc>
        <w:tc>
          <w:tcPr>
            <w:tcW w:w="3598" w:type="dxa"/>
            <w:vAlign w:val="center"/>
          </w:tcPr>
          <w:p w14:paraId="527A1554">
            <w:pPr>
              <w:keepNext w:val="0"/>
              <w:keepLines w:val="0"/>
              <w:suppressLineNumbers w:val="0"/>
              <w:adjustRightInd w:val="0"/>
              <w:snapToGrid w:val="0"/>
              <w:spacing w:before="0" w:beforeAutospacing="0" w:after="0" w:afterAutospacing="0"/>
              <w:ind w:left="0" w:right="0"/>
              <w:jc w:val="center"/>
              <w:rPr>
                <w:rFonts w:hint="eastAsia"/>
                <w:sz w:val="24"/>
                <w:szCs w:val="20"/>
              </w:rPr>
            </w:pPr>
            <w:r>
              <w:rPr>
                <w:rFonts w:hint="eastAsia"/>
                <w:sz w:val="24"/>
                <w:szCs w:val="20"/>
              </w:rPr>
              <w:t>0.</w:t>
            </w:r>
            <w:r>
              <w:rPr>
                <w:rFonts w:hint="eastAsia"/>
                <w:sz w:val="24"/>
                <w:szCs w:val="20"/>
                <w:lang w:val="en-US" w:eastAsia="zh-CN"/>
              </w:rPr>
              <w:t>3</w:t>
            </w:r>
            <w:r>
              <w:rPr>
                <w:rFonts w:hint="eastAsia"/>
                <w:sz w:val="24"/>
                <w:szCs w:val="20"/>
              </w:rPr>
              <w:t>%</w:t>
            </w:r>
          </w:p>
        </w:tc>
      </w:tr>
      <w:tr w14:paraId="4265E2C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Pr>
          <w:p w14:paraId="037A17DF">
            <w:pPr>
              <w:keepNext w:val="0"/>
              <w:keepLines w:val="0"/>
              <w:suppressLineNumbers w:val="0"/>
              <w:adjustRightInd w:val="0"/>
              <w:snapToGrid w:val="0"/>
              <w:spacing w:before="0" w:beforeAutospacing="0" w:after="0" w:afterAutospacing="0"/>
              <w:ind w:left="0" w:right="0"/>
              <w:rPr>
                <w:rFonts w:hint="eastAsia"/>
                <w:sz w:val="24"/>
                <w:szCs w:val="20"/>
              </w:rPr>
            </w:pPr>
            <w:r>
              <w:rPr>
                <w:rFonts w:hint="eastAsia"/>
                <w:sz w:val="24"/>
                <w:szCs w:val="20"/>
                <w:lang w:val="en-US" w:eastAsia="zh-CN"/>
              </w:rPr>
              <w:t>10</w:t>
            </w:r>
            <w:r>
              <w:rPr>
                <w:rFonts w:hint="eastAsia"/>
                <w:sz w:val="24"/>
                <w:szCs w:val="20"/>
              </w:rPr>
              <w:t>00万元以上（含</w:t>
            </w:r>
            <w:r>
              <w:rPr>
                <w:rFonts w:hint="eastAsia"/>
                <w:sz w:val="24"/>
                <w:szCs w:val="20"/>
                <w:lang w:val="en-US" w:eastAsia="zh-CN"/>
              </w:rPr>
              <w:t>10</w:t>
            </w:r>
            <w:r>
              <w:rPr>
                <w:rFonts w:hint="eastAsia"/>
                <w:sz w:val="24"/>
                <w:szCs w:val="20"/>
              </w:rPr>
              <w:t>00万元）</w:t>
            </w:r>
          </w:p>
        </w:tc>
        <w:tc>
          <w:tcPr>
            <w:tcW w:w="3598" w:type="dxa"/>
          </w:tcPr>
          <w:p w14:paraId="0132AFEA">
            <w:pPr>
              <w:keepNext w:val="0"/>
              <w:keepLines w:val="0"/>
              <w:suppressLineNumbers w:val="0"/>
              <w:adjustRightInd w:val="0"/>
              <w:snapToGrid w:val="0"/>
              <w:spacing w:before="0" w:beforeAutospacing="0" w:after="0" w:afterAutospacing="0"/>
              <w:ind w:left="0" w:right="0"/>
              <w:jc w:val="center"/>
              <w:rPr>
                <w:rFonts w:hint="eastAsia"/>
                <w:sz w:val="24"/>
                <w:szCs w:val="20"/>
              </w:rPr>
            </w:pPr>
            <w:r>
              <w:rPr>
                <w:rFonts w:hint="eastAsia"/>
                <w:sz w:val="24"/>
                <w:szCs w:val="20"/>
              </w:rPr>
              <w:t>每笔交易1000元</w:t>
            </w:r>
          </w:p>
        </w:tc>
      </w:tr>
    </w:tbl>
    <w:p w14:paraId="37FA2FB0">
      <w:pPr>
        <w:widowControl/>
        <w:adjustRightInd w:val="0"/>
        <w:snapToGrid w:val="0"/>
        <w:spacing w:line="360" w:lineRule="auto"/>
        <w:ind w:firstLine="480" w:firstLineChars="200"/>
        <w:rPr>
          <w:sz w:val="24"/>
        </w:rPr>
      </w:pPr>
      <w:r>
        <w:rPr>
          <w:sz w:val="24"/>
        </w:rPr>
        <w:t>（3）认购份额的计算</w:t>
      </w:r>
      <w:bookmarkStart w:id="7" w:name="_GoBack"/>
      <w:bookmarkEnd w:id="7"/>
    </w:p>
    <w:p w14:paraId="1E97EF70">
      <w:pPr>
        <w:widowControl/>
        <w:adjustRightInd w:val="0"/>
        <w:snapToGrid w:val="0"/>
        <w:spacing w:line="360" w:lineRule="auto"/>
        <w:ind w:firstLine="480" w:firstLineChars="200"/>
        <w:rPr>
          <w:kern w:val="0"/>
          <w:sz w:val="24"/>
        </w:rPr>
      </w:pPr>
      <w:r>
        <w:rPr>
          <w:rFonts w:hint="eastAsia"/>
          <w:color w:val="000000"/>
          <w:kern w:val="0"/>
          <w:sz w:val="24"/>
        </w:rPr>
        <w:t>基金认购采用</w:t>
      </w:r>
      <w:r>
        <w:rPr>
          <w:sz w:val="24"/>
        </w:rPr>
        <w:t>金额</w:t>
      </w:r>
      <w:r>
        <w:rPr>
          <w:rFonts w:hint="eastAsia"/>
          <w:color w:val="000000"/>
          <w:kern w:val="0"/>
          <w:sz w:val="24"/>
        </w:rPr>
        <w:t>认购的方式。</w:t>
      </w:r>
    </w:p>
    <w:p w14:paraId="3963F2B7">
      <w:pPr>
        <w:widowControl/>
        <w:adjustRightInd w:val="0"/>
        <w:snapToGrid w:val="0"/>
        <w:spacing w:line="360" w:lineRule="auto"/>
        <w:ind w:firstLine="480" w:firstLineChars="200"/>
        <w:rPr>
          <w:kern w:val="0"/>
          <w:sz w:val="24"/>
        </w:rPr>
      </w:pPr>
      <w:r>
        <w:rPr>
          <w:rFonts w:hint="eastAsia"/>
          <w:kern w:val="0"/>
          <w:sz w:val="24"/>
        </w:rPr>
        <w:t>1）A类基金份额的认购</w:t>
      </w:r>
    </w:p>
    <w:p w14:paraId="364A0F90">
      <w:pPr>
        <w:widowControl/>
        <w:adjustRightInd w:val="0"/>
        <w:snapToGrid w:val="0"/>
        <w:spacing w:line="360" w:lineRule="auto"/>
        <w:ind w:firstLine="480" w:firstLineChars="200"/>
        <w:rPr>
          <w:sz w:val="24"/>
        </w:rPr>
      </w:pPr>
      <w:r>
        <w:rPr>
          <w:rFonts w:hint="eastAsia"/>
          <w:color w:val="000000"/>
          <w:kern w:val="0"/>
          <w:sz w:val="24"/>
        </w:rPr>
        <w:t>基金的认购</w:t>
      </w:r>
      <w:r>
        <w:rPr>
          <w:sz w:val="24"/>
        </w:rPr>
        <w:t>金额</w:t>
      </w:r>
      <w:r>
        <w:rPr>
          <w:rFonts w:hint="eastAsia"/>
          <w:color w:val="000000"/>
          <w:kern w:val="0"/>
          <w:sz w:val="24"/>
        </w:rPr>
        <w:t>包括认购费用和净认购金额。计算公式为：</w:t>
      </w:r>
    </w:p>
    <w:p w14:paraId="5D18029A">
      <w:pPr>
        <w:widowControl/>
        <w:adjustRightInd w:val="0"/>
        <w:snapToGrid w:val="0"/>
        <w:spacing w:line="360" w:lineRule="auto"/>
        <w:ind w:firstLine="480" w:firstLineChars="200"/>
        <w:rPr>
          <w:sz w:val="24"/>
        </w:rPr>
      </w:pPr>
      <w:r>
        <w:rPr>
          <w:sz w:val="24"/>
        </w:rPr>
        <w:t>认购总金额=申请总金额</w:t>
      </w:r>
    </w:p>
    <w:p w14:paraId="703C424B">
      <w:pPr>
        <w:widowControl/>
        <w:adjustRightInd w:val="0"/>
        <w:snapToGrid w:val="0"/>
        <w:spacing w:line="360" w:lineRule="auto"/>
        <w:ind w:firstLine="480" w:firstLineChars="200"/>
        <w:rPr>
          <w:sz w:val="24"/>
        </w:rPr>
      </w:pPr>
      <w:r>
        <w:rPr>
          <w:sz w:val="24"/>
        </w:rPr>
        <w:t>净认购金额=认购总金额/（1+认购费率）</w:t>
      </w:r>
    </w:p>
    <w:p w14:paraId="45B5CB73">
      <w:pPr>
        <w:widowControl/>
        <w:adjustRightInd w:val="0"/>
        <w:snapToGrid w:val="0"/>
        <w:spacing w:line="360" w:lineRule="auto"/>
        <w:ind w:firstLine="480" w:firstLineChars="200"/>
        <w:rPr>
          <w:sz w:val="24"/>
        </w:rPr>
      </w:pPr>
      <w:r>
        <w:rPr>
          <w:sz w:val="24"/>
        </w:rPr>
        <w:t>（注：</w:t>
      </w:r>
      <w:r>
        <w:rPr>
          <w:rFonts w:hint="eastAsia" w:ascii="宋体" w:hAnsi="宋体" w:cs="宋体"/>
          <w:sz w:val="24"/>
        </w:rPr>
        <w:t>①</w:t>
      </w:r>
      <w:r>
        <w:rPr>
          <w:sz w:val="24"/>
        </w:rPr>
        <w:t>对于适用固定金额认购费用的认购，净认购金额＝认购总金额－固定认购费用金额</w:t>
      </w:r>
      <w:r>
        <w:rPr>
          <w:rFonts w:hint="eastAsia"/>
          <w:sz w:val="24"/>
        </w:rPr>
        <w:t>；</w:t>
      </w:r>
      <w:r>
        <w:rPr>
          <w:rFonts w:hint="eastAsia" w:ascii="宋体" w:hAnsi="宋体" w:cs="宋体"/>
          <w:sz w:val="24"/>
        </w:rPr>
        <w:t>②</w:t>
      </w:r>
      <w:r>
        <w:rPr>
          <w:rFonts w:hint="eastAsia"/>
          <w:sz w:val="24"/>
        </w:rPr>
        <w:t>对于通过直销机构认购</w:t>
      </w:r>
      <w:r>
        <w:rPr>
          <w:rFonts w:ascii="Times New Roman" w:hAnsi="Times New Roman"/>
          <w:color w:val="000000"/>
          <w:kern w:val="0"/>
          <w:sz w:val="24"/>
        </w:rPr>
        <w:t>A</w:t>
      </w:r>
      <w:r>
        <w:rPr>
          <w:rFonts w:hint="eastAsia" w:ascii="Times New Roman" w:hAnsi="Times New Roman"/>
          <w:color w:val="000000"/>
          <w:kern w:val="0"/>
          <w:sz w:val="24"/>
        </w:rPr>
        <w:t>类</w:t>
      </w:r>
      <w:r>
        <w:rPr>
          <w:rFonts w:hint="eastAsia"/>
          <w:sz w:val="24"/>
        </w:rPr>
        <w:t>基金份额的，认购费率均</w:t>
      </w:r>
      <w:r>
        <w:rPr>
          <w:rFonts w:hint="eastAsia" w:ascii="Times New Roman" w:hAnsi="Times New Roman"/>
          <w:sz w:val="24"/>
        </w:rPr>
        <w:t>为0</w:t>
      </w:r>
      <w:r>
        <w:rPr>
          <w:sz w:val="24"/>
        </w:rPr>
        <w:t>）</w:t>
      </w:r>
    </w:p>
    <w:p w14:paraId="1165B75C">
      <w:pPr>
        <w:widowControl/>
        <w:adjustRightInd w:val="0"/>
        <w:snapToGrid w:val="0"/>
        <w:spacing w:line="360" w:lineRule="auto"/>
        <w:ind w:firstLine="480" w:firstLineChars="200"/>
        <w:rPr>
          <w:sz w:val="24"/>
        </w:rPr>
      </w:pPr>
      <w:r>
        <w:rPr>
          <w:sz w:val="24"/>
        </w:rPr>
        <w:t>认购费用=认购总金额-净认购金额</w:t>
      </w:r>
    </w:p>
    <w:p w14:paraId="133A0B23">
      <w:pPr>
        <w:widowControl/>
        <w:adjustRightInd w:val="0"/>
        <w:snapToGrid w:val="0"/>
        <w:spacing w:line="360" w:lineRule="auto"/>
        <w:ind w:firstLine="480" w:firstLineChars="200"/>
        <w:rPr>
          <w:sz w:val="24"/>
        </w:rPr>
      </w:pPr>
      <w:r>
        <w:rPr>
          <w:sz w:val="24"/>
        </w:rPr>
        <w:t>（注：对于适用固定金额认购费用的认购，认购费用＝固定认购费用金额）</w:t>
      </w:r>
    </w:p>
    <w:p w14:paraId="3B23CED6">
      <w:pPr>
        <w:widowControl/>
        <w:adjustRightInd w:val="0"/>
        <w:snapToGrid w:val="0"/>
        <w:spacing w:line="360" w:lineRule="auto"/>
        <w:ind w:firstLine="480" w:firstLineChars="200"/>
        <w:rPr>
          <w:sz w:val="24"/>
        </w:rPr>
      </w:pPr>
      <w:r>
        <w:rPr>
          <w:sz w:val="24"/>
        </w:rPr>
        <w:t>认购份额=净认购金额/基金份额初始面值+认购</w:t>
      </w:r>
      <w:r>
        <w:rPr>
          <w:rFonts w:hint="eastAsia"/>
          <w:sz w:val="24"/>
          <w:lang w:val="en-US" w:eastAsia="zh-CN"/>
        </w:rPr>
        <w:t>资金</w:t>
      </w:r>
      <w:r>
        <w:rPr>
          <w:sz w:val="24"/>
        </w:rPr>
        <w:t>利息/基金份额初始面值</w:t>
      </w:r>
    </w:p>
    <w:p w14:paraId="7C5B4DA9">
      <w:pPr>
        <w:widowControl/>
        <w:adjustRightInd w:val="0"/>
        <w:snapToGrid w:val="0"/>
        <w:spacing w:line="360" w:lineRule="auto"/>
        <w:ind w:firstLine="480" w:firstLineChars="200"/>
        <w:rPr>
          <w:sz w:val="24"/>
        </w:rPr>
      </w:pPr>
      <w:r>
        <w:rPr>
          <w:sz w:val="24"/>
        </w:rPr>
        <w:t>认购份额的计算</w:t>
      </w:r>
      <w:r>
        <w:rPr>
          <w:rFonts w:hint="eastAsia"/>
          <w:sz w:val="24"/>
        </w:rPr>
        <w:t>结果</w:t>
      </w:r>
      <w:r>
        <w:rPr>
          <w:sz w:val="24"/>
        </w:rPr>
        <w:t>保留到小数点后2位，小数点2位以后的部分四舍五入，由此误差产生的收益或损失由基金财产承担。</w:t>
      </w:r>
    </w:p>
    <w:p w14:paraId="6EB6BD5E">
      <w:pPr>
        <w:widowControl/>
        <w:adjustRightInd w:val="0"/>
        <w:snapToGrid w:val="0"/>
        <w:spacing w:line="360" w:lineRule="auto"/>
        <w:ind w:firstLine="480" w:firstLineChars="200"/>
        <w:rPr>
          <w:rFonts w:hint="eastAsia"/>
          <w:sz w:val="24"/>
        </w:rPr>
      </w:pPr>
      <w:r>
        <w:rPr>
          <w:rFonts w:hint="eastAsia"/>
          <w:sz w:val="24"/>
        </w:rPr>
        <w:t>例一：某投资者通过直销机构</w:t>
      </w:r>
      <w:r>
        <w:rPr>
          <w:rFonts w:hint="eastAsia"/>
          <w:sz w:val="24"/>
          <w:lang w:val="en-US" w:eastAsia="zh-CN"/>
        </w:rPr>
        <w:t>投资</w:t>
      </w:r>
      <w:r>
        <w:rPr>
          <w:rFonts w:hint="eastAsia"/>
          <w:sz w:val="24"/>
        </w:rPr>
        <w:t>100,000.00元认购本基金A类基金份额，且该认购申请被全额确认，假定该笔认购金额产生的利息为10.00元，认购费率为0，则可认购基金份额为：</w:t>
      </w:r>
    </w:p>
    <w:p w14:paraId="05AE3536">
      <w:pPr>
        <w:widowControl/>
        <w:adjustRightInd w:val="0"/>
        <w:snapToGrid w:val="0"/>
        <w:spacing w:line="360" w:lineRule="auto"/>
        <w:ind w:firstLine="480" w:firstLineChars="200"/>
        <w:rPr>
          <w:rFonts w:hint="eastAsia"/>
          <w:sz w:val="24"/>
        </w:rPr>
      </w:pPr>
      <w:r>
        <w:rPr>
          <w:rFonts w:hint="eastAsia"/>
          <w:sz w:val="24"/>
        </w:rPr>
        <w:t>认购总金额=100,000.00元</w:t>
      </w:r>
    </w:p>
    <w:p w14:paraId="31740ABE">
      <w:pPr>
        <w:widowControl/>
        <w:adjustRightInd w:val="0"/>
        <w:snapToGrid w:val="0"/>
        <w:spacing w:line="360" w:lineRule="auto"/>
        <w:ind w:firstLine="480" w:firstLineChars="200"/>
        <w:rPr>
          <w:rFonts w:hint="eastAsia"/>
          <w:sz w:val="24"/>
        </w:rPr>
      </w:pPr>
      <w:r>
        <w:rPr>
          <w:rFonts w:hint="eastAsia"/>
          <w:sz w:val="24"/>
        </w:rPr>
        <w:t>净认购金额＝100,000.00/（1＋0）＝100,000.00元</w:t>
      </w:r>
    </w:p>
    <w:p w14:paraId="5504B940">
      <w:pPr>
        <w:widowControl/>
        <w:adjustRightInd w:val="0"/>
        <w:snapToGrid w:val="0"/>
        <w:spacing w:line="360" w:lineRule="auto"/>
        <w:ind w:firstLine="480" w:firstLineChars="200"/>
        <w:rPr>
          <w:rFonts w:hint="eastAsia"/>
          <w:sz w:val="24"/>
        </w:rPr>
      </w:pPr>
      <w:r>
        <w:rPr>
          <w:rFonts w:hint="eastAsia"/>
          <w:sz w:val="24"/>
        </w:rPr>
        <w:t>认购费用＝100,000.00-100,000.00=0.00元</w:t>
      </w:r>
    </w:p>
    <w:p w14:paraId="3BC37DAF">
      <w:pPr>
        <w:widowControl/>
        <w:adjustRightInd w:val="0"/>
        <w:snapToGrid w:val="0"/>
        <w:spacing w:line="360" w:lineRule="auto"/>
        <w:ind w:firstLine="480" w:firstLineChars="200"/>
        <w:rPr>
          <w:rFonts w:hint="eastAsia"/>
          <w:sz w:val="24"/>
        </w:rPr>
      </w:pPr>
      <w:r>
        <w:rPr>
          <w:rFonts w:hint="eastAsia"/>
          <w:sz w:val="24"/>
        </w:rPr>
        <w:t>认购份额＝100,000.00/1.00＋10.00/1.00＝100,010.00份</w:t>
      </w:r>
    </w:p>
    <w:p w14:paraId="0CB6B080">
      <w:pPr>
        <w:widowControl/>
        <w:adjustRightInd w:val="0"/>
        <w:snapToGrid w:val="0"/>
        <w:spacing w:line="360" w:lineRule="auto"/>
        <w:ind w:firstLine="480" w:firstLineChars="200"/>
        <w:rPr>
          <w:rFonts w:hint="eastAsia"/>
          <w:sz w:val="24"/>
        </w:rPr>
      </w:pPr>
      <w:r>
        <w:rPr>
          <w:rFonts w:hint="eastAsia"/>
          <w:sz w:val="24"/>
        </w:rPr>
        <w:t>即：若该投资者通过直销机构</w:t>
      </w:r>
      <w:r>
        <w:rPr>
          <w:rFonts w:hint="eastAsia"/>
          <w:sz w:val="24"/>
          <w:lang w:val="en-US" w:eastAsia="zh-CN"/>
        </w:rPr>
        <w:t>投资</w:t>
      </w:r>
      <w:r>
        <w:rPr>
          <w:rFonts w:hint="eastAsia"/>
          <w:sz w:val="24"/>
        </w:rPr>
        <w:t>100,000.00元认购本基金A类基金份额，且该认购申请被全额确认，假定该笔认购金额产生的利息为10.00元，则可得到100,010.00份A类基金份额。</w:t>
      </w:r>
    </w:p>
    <w:p w14:paraId="35741F0C">
      <w:pPr>
        <w:widowControl/>
        <w:adjustRightInd w:val="0"/>
        <w:snapToGrid w:val="0"/>
        <w:spacing w:line="360" w:lineRule="auto"/>
        <w:ind w:firstLine="480" w:firstLineChars="200"/>
        <w:rPr>
          <w:rFonts w:hint="eastAsia"/>
          <w:sz w:val="24"/>
        </w:rPr>
      </w:pPr>
      <w:r>
        <w:rPr>
          <w:rFonts w:hint="eastAsia"/>
          <w:sz w:val="24"/>
        </w:rPr>
        <w:t>例二：某投资者通过其他销售机构投资100,000.00元认购本基金A类基金份额，且该认购申请被全额确认，所对应的认购费率为0.3%。假定该笔认购金额产生利息50.00元。则认购份额为：</w:t>
      </w:r>
    </w:p>
    <w:p w14:paraId="0DDE79D8">
      <w:pPr>
        <w:widowControl/>
        <w:adjustRightInd w:val="0"/>
        <w:snapToGrid w:val="0"/>
        <w:spacing w:line="360" w:lineRule="auto"/>
        <w:ind w:firstLine="480" w:firstLineChars="200"/>
        <w:rPr>
          <w:rFonts w:hint="eastAsia"/>
          <w:sz w:val="24"/>
        </w:rPr>
      </w:pPr>
      <w:r>
        <w:rPr>
          <w:rFonts w:hint="eastAsia"/>
          <w:sz w:val="24"/>
        </w:rPr>
        <w:t>认购总金额＝100,000.00元</w:t>
      </w:r>
    </w:p>
    <w:p w14:paraId="14883C92">
      <w:pPr>
        <w:widowControl/>
        <w:adjustRightInd w:val="0"/>
        <w:snapToGrid w:val="0"/>
        <w:spacing w:line="360" w:lineRule="auto"/>
        <w:ind w:firstLine="480" w:firstLineChars="200"/>
        <w:rPr>
          <w:rFonts w:hint="eastAsia"/>
          <w:sz w:val="24"/>
        </w:rPr>
      </w:pPr>
      <w:r>
        <w:rPr>
          <w:rFonts w:hint="eastAsia"/>
          <w:sz w:val="24"/>
        </w:rPr>
        <w:t>净认购金额＝100,000.00/（1＋0.3%）＝99,700.90元</w:t>
      </w:r>
    </w:p>
    <w:p w14:paraId="04AD67DE">
      <w:pPr>
        <w:widowControl/>
        <w:adjustRightInd w:val="0"/>
        <w:snapToGrid w:val="0"/>
        <w:spacing w:line="360" w:lineRule="auto"/>
        <w:ind w:firstLine="480" w:firstLineChars="200"/>
        <w:rPr>
          <w:rFonts w:hint="eastAsia"/>
          <w:sz w:val="24"/>
        </w:rPr>
      </w:pPr>
      <w:r>
        <w:rPr>
          <w:rFonts w:hint="eastAsia"/>
          <w:sz w:val="24"/>
        </w:rPr>
        <w:t>认购费用＝100,000.00－99,700.90＝299.10元</w:t>
      </w:r>
    </w:p>
    <w:p w14:paraId="36B232F4">
      <w:pPr>
        <w:widowControl/>
        <w:adjustRightInd w:val="0"/>
        <w:snapToGrid w:val="0"/>
        <w:spacing w:line="360" w:lineRule="auto"/>
        <w:ind w:firstLine="480" w:firstLineChars="200"/>
        <w:rPr>
          <w:rFonts w:hint="eastAsia"/>
          <w:sz w:val="24"/>
        </w:rPr>
      </w:pPr>
      <w:r>
        <w:rPr>
          <w:rFonts w:hint="eastAsia"/>
          <w:sz w:val="24"/>
        </w:rPr>
        <w:t>认购份额＝99,700.90/1.00＋50.00/1.00＝99,750.90份</w:t>
      </w:r>
    </w:p>
    <w:p w14:paraId="47EC3DCC">
      <w:pPr>
        <w:widowControl/>
        <w:adjustRightInd w:val="0"/>
        <w:snapToGrid w:val="0"/>
        <w:spacing w:line="360" w:lineRule="auto"/>
        <w:ind w:firstLine="480" w:firstLineChars="200"/>
        <w:rPr>
          <w:sz w:val="24"/>
        </w:rPr>
      </w:pPr>
      <w:r>
        <w:rPr>
          <w:rFonts w:hint="eastAsia"/>
          <w:sz w:val="24"/>
        </w:rPr>
        <w:t>即：若该投资者通过其他销售机构投资100,000.00元认购本基金A类基金份额，且该认购申请被全额确认，假定该笔认购金额产生利息50.00元，可得到99,750.90份A类基金份额。</w:t>
      </w:r>
    </w:p>
    <w:p w14:paraId="3E718A52">
      <w:pPr>
        <w:widowControl/>
        <w:adjustRightInd w:val="0"/>
        <w:snapToGrid w:val="0"/>
        <w:spacing w:line="360" w:lineRule="auto"/>
        <w:ind w:firstLine="480" w:firstLineChars="200"/>
        <w:rPr>
          <w:sz w:val="24"/>
        </w:rPr>
      </w:pPr>
      <w:r>
        <w:rPr>
          <w:rFonts w:hint="eastAsia"/>
          <w:sz w:val="24"/>
        </w:rPr>
        <w:t>2）C类基金份额的认购</w:t>
      </w:r>
    </w:p>
    <w:p w14:paraId="618882A6">
      <w:pPr>
        <w:widowControl/>
        <w:adjustRightInd w:val="0"/>
        <w:snapToGrid w:val="0"/>
        <w:spacing w:line="360" w:lineRule="auto"/>
        <w:ind w:firstLine="480" w:firstLineChars="200"/>
        <w:rPr>
          <w:sz w:val="24"/>
        </w:rPr>
      </w:pPr>
      <w:r>
        <w:rPr>
          <w:rFonts w:hint="eastAsia"/>
          <w:sz w:val="24"/>
        </w:rPr>
        <w:t>如果投资者选择认购本基金的C类基金份额，则认购份额的计算方式如下：</w:t>
      </w:r>
    </w:p>
    <w:p w14:paraId="13A078DE">
      <w:pPr>
        <w:widowControl/>
        <w:adjustRightInd w:val="0"/>
        <w:snapToGrid w:val="0"/>
        <w:spacing w:line="360" w:lineRule="auto"/>
        <w:ind w:firstLine="480" w:firstLineChars="200"/>
        <w:rPr>
          <w:sz w:val="24"/>
        </w:rPr>
      </w:pPr>
      <w:r>
        <w:rPr>
          <w:rFonts w:hint="eastAsia"/>
          <w:sz w:val="24"/>
        </w:rPr>
        <w:t>认购总金额=申请总金额</w:t>
      </w:r>
    </w:p>
    <w:p w14:paraId="0D5E3994">
      <w:pPr>
        <w:widowControl/>
        <w:adjustRightInd w:val="0"/>
        <w:snapToGrid w:val="0"/>
        <w:spacing w:line="360" w:lineRule="auto"/>
        <w:ind w:firstLine="480" w:firstLineChars="200"/>
        <w:rPr>
          <w:sz w:val="24"/>
        </w:rPr>
      </w:pPr>
      <w:r>
        <w:rPr>
          <w:rFonts w:hint="eastAsia"/>
          <w:sz w:val="24"/>
        </w:rPr>
        <w:t>认购份额=认购总金额/基金份额初始面值＋认购</w:t>
      </w:r>
      <w:r>
        <w:rPr>
          <w:rFonts w:hint="eastAsia"/>
          <w:sz w:val="24"/>
          <w:lang w:val="en-US" w:eastAsia="zh-CN"/>
        </w:rPr>
        <w:t>资金</w:t>
      </w:r>
      <w:r>
        <w:rPr>
          <w:rFonts w:hint="eastAsia"/>
          <w:sz w:val="24"/>
        </w:rPr>
        <w:t>利息/基金份额初始面值</w:t>
      </w:r>
    </w:p>
    <w:p w14:paraId="37DF9C78">
      <w:pPr>
        <w:widowControl/>
        <w:adjustRightInd w:val="0"/>
        <w:snapToGrid w:val="0"/>
        <w:spacing w:line="360" w:lineRule="auto"/>
        <w:ind w:firstLine="480" w:firstLineChars="200"/>
        <w:rPr>
          <w:sz w:val="24"/>
        </w:rPr>
      </w:pPr>
      <w:r>
        <w:rPr>
          <w:rFonts w:hint="eastAsia"/>
          <w:sz w:val="24"/>
        </w:rPr>
        <w:t>认购份额的计算结果保留到小数点后2位，小数点2位以后的部分四舍五入，由此误差产生的收益或损失由基金财产承担。</w:t>
      </w:r>
    </w:p>
    <w:p w14:paraId="6FB0EA6C">
      <w:pPr>
        <w:widowControl/>
        <w:adjustRightInd w:val="0"/>
        <w:snapToGrid w:val="0"/>
        <w:spacing w:line="360" w:lineRule="auto"/>
        <w:ind w:firstLine="480" w:firstLineChars="200"/>
        <w:rPr>
          <w:sz w:val="24"/>
        </w:rPr>
      </w:pPr>
      <w:r>
        <w:rPr>
          <w:rFonts w:hint="eastAsia"/>
          <w:sz w:val="24"/>
        </w:rPr>
        <w:t>例三：某投资者</w:t>
      </w:r>
      <w:r>
        <w:rPr>
          <w:rFonts w:hint="eastAsia"/>
          <w:sz w:val="24"/>
          <w:lang w:val="en-US" w:eastAsia="zh-CN"/>
        </w:rPr>
        <w:t>投资</w:t>
      </w:r>
      <w:r>
        <w:rPr>
          <w:rFonts w:hint="eastAsia"/>
          <w:sz w:val="24"/>
        </w:rPr>
        <w:t>100,000.00元认购本基金C类基金份额，且该认购申请被全额确认。假定该笔认购金额产生利息50.00元。则认购份额为：</w:t>
      </w:r>
    </w:p>
    <w:p w14:paraId="52EB60D1">
      <w:pPr>
        <w:widowControl/>
        <w:adjustRightInd w:val="0"/>
        <w:snapToGrid w:val="0"/>
        <w:spacing w:line="360" w:lineRule="auto"/>
        <w:ind w:firstLine="480" w:firstLineChars="200"/>
        <w:rPr>
          <w:sz w:val="24"/>
        </w:rPr>
      </w:pPr>
      <w:r>
        <w:rPr>
          <w:rFonts w:hint="eastAsia"/>
          <w:sz w:val="24"/>
        </w:rPr>
        <w:t>认购总金额=100,000.00元</w:t>
      </w:r>
    </w:p>
    <w:p w14:paraId="619B185C">
      <w:pPr>
        <w:widowControl/>
        <w:adjustRightInd w:val="0"/>
        <w:snapToGrid w:val="0"/>
        <w:spacing w:line="360" w:lineRule="auto"/>
        <w:ind w:firstLine="480" w:firstLineChars="200"/>
        <w:rPr>
          <w:sz w:val="24"/>
        </w:rPr>
      </w:pPr>
      <w:r>
        <w:rPr>
          <w:rFonts w:hint="eastAsia"/>
          <w:sz w:val="24"/>
        </w:rPr>
        <w:t>认购份额＝100,000.00/1.00＋50.00/1.00＝100,050.00份</w:t>
      </w:r>
    </w:p>
    <w:p w14:paraId="760DD3D9">
      <w:pPr>
        <w:widowControl/>
        <w:adjustRightInd w:val="0"/>
        <w:snapToGrid w:val="0"/>
        <w:spacing w:line="360" w:lineRule="auto"/>
        <w:ind w:firstLine="480" w:firstLineChars="200"/>
        <w:rPr>
          <w:sz w:val="24"/>
        </w:rPr>
      </w:pPr>
      <w:r>
        <w:rPr>
          <w:rFonts w:hint="eastAsia"/>
          <w:sz w:val="24"/>
        </w:rPr>
        <w:t>即：若该投资者投资100,000.00元认购本基金C类基金份额，且该认购申请被全额确认。假定该笔认购金额产生利息50.00元，可得到100,050.00份C类基金份额。</w:t>
      </w:r>
    </w:p>
    <w:p w14:paraId="746F40FB">
      <w:pPr>
        <w:keepNext/>
        <w:keepLines/>
        <w:adjustRightInd w:val="0"/>
        <w:snapToGrid w:val="0"/>
        <w:spacing w:before="240" w:after="156" w:afterLines="50" w:line="360" w:lineRule="auto"/>
        <w:jc w:val="center"/>
        <w:outlineLvl w:val="0"/>
        <w:rPr>
          <w:b/>
          <w:sz w:val="24"/>
        </w:rPr>
      </w:pPr>
      <w:r>
        <w:rPr>
          <w:rFonts w:hint="eastAsia" w:ascii="宋体" w:hAnsi="宋体"/>
          <w:b/>
          <w:sz w:val="24"/>
        </w:rPr>
        <w:t>二</w:t>
      </w:r>
      <w:r>
        <w:rPr>
          <w:rFonts w:hint="eastAsia"/>
          <w:b/>
          <w:sz w:val="24"/>
        </w:rPr>
        <w:t>、募集方式及相关规定</w:t>
      </w:r>
    </w:p>
    <w:p w14:paraId="67D89421">
      <w:pPr>
        <w:adjustRightInd w:val="0"/>
        <w:snapToGrid w:val="0"/>
        <w:spacing w:line="360" w:lineRule="auto"/>
        <w:ind w:firstLine="480" w:firstLineChars="200"/>
        <w:rPr>
          <w:kern w:val="0"/>
          <w:sz w:val="24"/>
        </w:rPr>
      </w:pPr>
      <w:r>
        <w:rPr>
          <w:kern w:val="0"/>
          <w:sz w:val="24"/>
        </w:rPr>
        <w:t>1</w:t>
      </w:r>
      <w:r>
        <w:rPr>
          <w:rFonts w:hint="eastAsia"/>
          <w:kern w:val="0"/>
          <w:sz w:val="24"/>
        </w:rPr>
        <w:t>、本次基金的募集，在募集期内面向个人和机构客户同期发售。</w:t>
      </w:r>
    </w:p>
    <w:p w14:paraId="7DD6FFFE">
      <w:pPr>
        <w:adjustRightInd w:val="0"/>
        <w:snapToGrid w:val="0"/>
        <w:spacing w:line="360" w:lineRule="auto"/>
        <w:ind w:firstLine="480" w:firstLineChars="200"/>
        <w:rPr>
          <w:kern w:val="0"/>
          <w:sz w:val="24"/>
        </w:rPr>
      </w:pPr>
      <w:r>
        <w:rPr>
          <w:rFonts w:hint="eastAsia"/>
          <w:kern w:val="0"/>
          <w:sz w:val="24"/>
        </w:rPr>
        <w:t>2、直销</w:t>
      </w:r>
      <w:r>
        <w:rPr>
          <w:rFonts w:hint="eastAsia"/>
          <w:color w:val="000000"/>
          <w:kern w:val="0"/>
          <w:sz w:val="24"/>
        </w:rPr>
        <w:t>机构</w:t>
      </w:r>
      <w:r>
        <w:rPr>
          <w:rFonts w:hint="eastAsia"/>
          <w:kern w:val="0"/>
          <w:sz w:val="24"/>
        </w:rPr>
        <w:t>接受首次认购申请的最低金额为单笔</w:t>
      </w:r>
      <w:r>
        <w:rPr>
          <w:kern w:val="0"/>
          <w:sz w:val="24"/>
        </w:rPr>
        <w:t>100</w:t>
      </w:r>
      <w:r>
        <w:rPr>
          <w:rFonts w:hint="eastAsia"/>
          <w:kern w:val="0"/>
          <w:sz w:val="24"/>
        </w:rPr>
        <w:t>万元（含</w:t>
      </w:r>
      <w:r>
        <w:rPr>
          <w:kern w:val="0"/>
          <w:sz w:val="24"/>
        </w:rPr>
        <w:t>100</w:t>
      </w:r>
      <w:r>
        <w:rPr>
          <w:rFonts w:hint="eastAsia"/>
          <w:kern w:val="0"/>
          <w:sz w:val="24"/>
        </w:rPr>
        <w:t>万元），追加认购的最低金额为单笔</w:t>
      </w:r>
      <w:r>
        <w:rPr>
          <w:kern w:val="0"/>
          <w:sz w:val="24"/>
        </w:rPr>
        <w:t>10</w:t>
      </w:r>
      <w:r>
        <w:rPr>
          <w:rFonts w:hint="eastAsia"/>
          <w:kern w:val="0"/>
          <w:sz w:val="24"/>
        </w:rPr>
        <w:t>万元；已在直销</w:t>
      </w:r>
      <w:r>
        <w:rPr>
          <w:rFonts w:hint="eastAsia"/>
          <w:color w:val="000000"/>
          <w:kern w:val="0"/>
          <w:sz w:val="24"/>
        </w:rPr>
        <w:t>机构</w:t>
      </w:r>
      <w:r>
        <w:rPr>
          <w:rFonts w:hint="eastAsia"/>
          <w:kern w:val="0"/>
          <w:sz w:val="24"/>
        </w:rPr>
        <w:t>有认购或申购过本基金管理人管理的其他基金记录的投资人不受首次认购最低金额的限制。通过本公司网上直销交易平台办理本基金认购业务的不受直销</w:t>
      </w:r>
      <w:r>
        <w:rPr>
          <w:rFonts w:hint="eastAsia"/>
          <w:color w:val="000000"/>
          <w:kern w:val="0"/>
          <w:sz w:val="24"/>
        </w:rPr>
        <w:t>机构</w:t>
      </w:r>
      <w:r>
        <w:rPr>
          <w:rFonts w:hint="eastAsia"/>
          <w:kern w:val="0"/>
          <w:sz w:val="24"/>
        </w:rPr>
        <w:t>最低认购金额的限制，认购最低金额为单笔</w:t>
      </w:r>
      <w:r>
        <w:rPr>
          <w:kern w:val="0"/>
          <w:sz w:val="24"/>
        </w:rPr>
        <w:t>1</w:t>
      </w:r>
      <w:r>
        <w:rPr>
          <w:rFonts w:hint="eastAsia"/>
          <w:kern w:val="0"/>
          <w:sz w:val="24"/>
        </w:rPr>
        <w:t>元。本基金直销</w:t>
      </w:r>
      <w:r>
        <w:rPr>
          <w:rFonts w:hint="eastAsia"/>
          <w:color w:val="000000"/>
          <w:kern w:val="0"/>
          <w:sz w:val="24"/>
        </w:rPr>
        <w:t>机构</w:t>
      </w:r>
      <w:r>
        <w:rPr>
          <w:rFonts w:hint="eastAsia"/>
          <w:kern w:val="0"/>
          <w:sz w:val="24"/>
        </w:rPr>
        <w:t>单笔认购最低金额可由基金管理人酌情调整。</w:t>
      </w:r>
    </w:p>
    <w:p w14:paraId="211F661B">
      <w:pPr>
        <w:adjustRightInd w:val="0"/>
        <w:snapToGrid w:val="0"/>
        <w:spacing w:line="360" w:lineRule="auto"/>
        <w:ind w:firstLine="480" w:firstLineChars="200"/>
        <w:rPr>
          <w:kern w:val="0"/>
          <w:sz w:val="24"/>
        </w:rPr>
      </w:pPr>
      <w:r>
        <w:rPr>
          <w:kern w:val="0"/>
          <w:sz w:val="24"/>
        </w:rPr>
        <w:t>3</w:t>
      </w:r>
      <w:r>
        <w:rPr>
          <w:rFonts w:hint="eastAsia"/>
          <w:kern w:val="0"/>
          <w:sz w:val="24"/>
        </w:rPr>
        <w:t>、其他销售</w:t>
      </w:r>
      <w:r>
        <w:rPr>
          <w:rFonts w:hint="eastAsia"/>
          <w:color w:val="000000"/>
          <w:kern w:val="0"/>
          <w:sz w:val="24"/>
        </w:rPr>
        <w:t>机构</w:t>
      </w:r>
      <w:r>
        <w:rPr>
          <w:rFonts w:hint="eastAsia"/>
          <w:kern w:val="0"/>
          <w:sz w:val="24"/>
        </w:rPr>
        <w:t>接受认购申请的最低金额为单笔</w:t>
      </w:r>
      <w:r>
        <w:rPr>
          <w:kern w:val="0"/>
          <w:sz w:val="24"/>
        </w:rPr>
        <w:t>1</w:t>
      </w:r>
      <w:r>
        <w:rPr>
          <w:rFonts w:hint="eastAsia"/>
          <w:kern w:val="0"/>
          <w:sz w:val="24"/>
        </w:rPr>
        <w:t>元，如果销售机构业务规则规定的最低单笔认购金额高于</w:t>
      </w:r>
      <w:r>
        <w:rPr>
          <w:kern w:val="0"/>
          <w:sz w:val="24"/>
        </w:rPr>
        <w:t>1</w:t>
      </w:r>
      <w:r>
        <w:rPr>
          <w:rFonts w:hint="eastAsia"/>
          <w:kern w:val="0"/>
          <w:sz w:val="24"/>
        </w:rPr>
        <w:t>元，以该销售机构的规定为准。</w:t>
      </w:r>
    </w:p>
    <w:p w14:paraId="08AFF622">
      <w:pPr>
        <w:adjustRightInd w:val="0"/>
        <w:snapToGrid w:val="0"/>
        <w:spacing w:line="360" w:lineRule="auto"/>
        <w:ind w:firstLine="480" w:firstLineChars="200"/>
        <w:rPr>
          <w:rFonts w:hAnsi="宋体"/>
          <w:kern w:val="0"/>
          <w:sz w:val="24"/>
        </w:rPr>
      </w:pPr>
      <w:r>
        <w:rPr>
          <w:kern w:val="0"/>
          <w:sz w:val="24"/>
        </w:rPr>
        <w:t>4</w:t>
      </w:r>
      <w:r>
        <w:rPr>
          <w:rFonts w:hint="eastAsia"/>
          <w:kern w:val="0"/>
          <w:sz w:val="24"/>
        </w:rPr>
        <w:t>、</w:t>
      </w:r>
      <w:r>
        <w:rPr>
          <w:rFonts w:hint="eastAsia" w:hAnsi="宋体"/>
          <w:kern w:val="0"/>
          <w:sz w:val="24"/>
        </w:rPr>
        <w:t>投资人在募集期内可以多次认购基金份额，认购申请一经基金登记机构受理不得撤销</w:t>
      </w:r>
      <w:r>
        <w:rPr>
          <w:rFonts w:hAnsi="宋体"/>
          <w:kern w:val="0"/>
          <w:sz w:val="24"/>
        </w:rPr>
        <w:t>。</w:t>
      </w:r>
    </w:p>
    <w:p w14:paraId="756A6460">
      <w:pPr>
        <w:adjustRightInd w:val="0"/>
        <w:snapToGrid w:val="0"/>
        <w:spacing w:line="360" w:lineRule="auto"/>
        <w:ind w:firstLine="480" w:firstLineChars="200"/>
        <w:rPr>
          <w:rFonts w:hAnsi="宋体"/>
          <w:kern w:val="0"/>
          <w:sz w:val="24"/>
        </w:rPr>
      </w:pPr>
      <w:r>
        <w:rPr>
          <w:kern w:val="0"/>
          <w:sz w:val="24"/>
        </w:rPr>
        <w:t>5</w:t>
      </w:r>
      <w:r>
        <w:rPr>
          <w:rFonts w:hAnsi="宋体"/>
          <w:kern w:val="0"/>
          <w:sz w:val="24"/>
        </w:rPr>
        <w:t>、本基金销售渠道为基金管理人</w:t>
      </w:r>
      <w:r>
        <w:rPr>
          <w:rFonts w:hint="eastAsia" w:hAnsi="宋体"/>
          <w:kern w:val="0"/>
          <w:sz w:val="24"/>
        </w:rPr>
        <w:t>直销</w:t>
      </w:r>
      <w:r>
        <w:rPr>
          <w:rFonts w:hAnsi="宋体"/>
          <w:kern w:val="0"/>
          <w:sz w:val="24"/>
        </w:rPr>
        <w:t>柜台及其网上</w:t>
      </w:r>
      <w:r>
        <w:rPr>
          <w:rFonts w:hint="eastAsia" w:hAnsi="宋体"/>
          <w:kern w:val="0"/>
          <w:sz w:val="24"/>
        </w:rPr>
        <w:t>直销</w:t>
      </w:r>
      <w:r>
        <w:rPr>
          <w:rFonts w:hAnsi="宋体"/>
          <w:kern w:val="0"/>
          <w:sz w:val="24"/>
        </w:rPr>
        <w:t>交易平台和</w:t>
      </w:r>
      <w:r>
        <w:rPr>
          <w:rFonts w:hint="eastAsia" w:hAnsi="宋体"/>
          <w:kern w:val="0"/>
          <w:sz w:val="24"/>
        </w:rPr>
        <w:t>除基金管理人之外的其他</w:t>
      </w:r>
      <w:r>
        <w:rPr>
          <w:rFonts w:hAnsi="宋体"/>
          <w:kern w:val="0"/>
          <w:sz w:val="24"/>
        </w:rPr>
        <w:t>销售机构。</w:t>
      </w:r>
    </w:p>
    <w:p w14:paraId="50F3C80A">
      <w:pPr>
        <w:keepNext/>
        <w:keepLines/>
        <w:adjustRightInd w:val="0"/>
        <w:snapToGrid w:val="0"/>
        <w:spacing w:before="240" w:after="156" w:afterLines="50" w:line="360" w:lineRule="auto"/>
        <w:jc w:val="center"/>
        <w:outlineLvl w:val="0"/>
        <w:rPr>
          <w:b/>
          <w:sz w:val="24"/>
        </w:rPr>
      </w:pPr>
      <w:r>
        <w:rPr>
          <w:rFonts w:hint="eastAsia"/>
          <w:b/>
          <w:sz w:val="24"/>
        </w:rPr>
        <w:t>三、个人投资者的开户与认购程序</w:t>
      </w:r>
    </w:p>
    <w:p w14:paraId="360D0F6D">
      <w:pPr>
        <w:adjustRightInd w:val="0"/>
        <w:snapToGrid w:val="0"/>
        <w:spacing w:line="360" w:lineRule="auto"/>
        <w:ind w:firstLine="482" w:firstLineChars="200"/>
        <w:rPr>
          <w:rFonts w:hAnsi="宋体"/>
          <w:b/>
          <w:sz w:val="24"/>
        </w:rPr>
      </w:pPr>
      <w:r>
        <w:rPr>
          <w:rFonts w:hint="eastAsia" w:hAnsi="宋体"/>
          <w:b/>
          <w:sz w:val="24"/>
        </w:rPr>
        <w:t>（一）直销机构</w:t>
      </w:r>
    </w:p>
    <w:p w14:paraId="2181F8D8">
      <w:pPr>
        <w:adjustRightInd w:val="0"/>
        <w:snapToGrid w:val="0"/>
        <w:spacing w:line="360" w:lineRule="auto"/>
        <w:ind w:firstLine="482" w:firstLineChars="200"/>
        <w:rPr>
          <w:rFonts w:hAnsi="宋体"/>
          <w:b/>
          <w:sz w:val="24"/>
        </w:rPr>
      </w:pPr>
      <w:r>
        <w:rPr>
          <w:rFonts w:hAnsi="宋体"/>
          <w:b/>
          <w:sz w:val="24"/>
        </w:rPr>
        <w:t>1</w:t>
      </w:r>
      <w:r>
        <w:rPr>
          <w:rFonts w:hint="eastAsia" w:hAnsi="宋体"/>
          <w:b/>
          <w:sz w:val="24"/>
        </w:rPr>
        <w:t>、直销柜台</w:t>
      </w:r>
    </w:p>
    <w:p w14:paraId="1FB7D3CB">
      <w:pPr>
        <w:adjustRightInd w:val="0"/>
        <w:snapToGrid w:val="0"/>
        <w:spacing w:line="360" w:lineRule="auto"/>
        <w:ind w:firstLine="480" w:firstLineChars="200"/>
        <w:rPr>
          <w:rFonts w:hAnsi="宋体"/>
          <w:sz w:val="24"/>
        </w:rPr>
      </w:pPr>
      <w:r>
        <w:rPr>
          <w:rFonts w:hint="eastAsia" w:hAnsi="宋体"/>
          <w:sz w:val="24"/>
        </w:rPr>
        <w:t>如果个人投资者首次认购金额在</w:t>
      </w:r>
      <w:r>
        <w:rPr>
          <w:rFonts w:hAnsi="宋体"/>
          <w:sz w:val="24"/>
        </w:rPr>
        <w:t>100</w:t>
      </w:r>
      <w:r>
        <w:rPr>
          <w:rFonts w:hint="eastAsia" w:hAnsi="宋体"/>
          <w:sz w:val="24"/>
        </w:rPr>
        <w:t>万元（含</w:t>
      </w:r>
      <w:r>
        <w:rPr>
          <w:rFonts w:hAnsi="宋体"/>
          <w:sz w:val="24"/>
        </w:rPr>
        <w:t>100</w:t>
      </w:r>
      <w:r>
        <w:rPr>
          <w:rFonts w:hint="eastAsia" w:hAnsi="宋体"/>
          <w:sz w:val="24"/>
        </w:rPr>
        <w:t>万元）以上，可以选择到本公司直销柜台办理认购。</w:t>
      </w:r>
    </w:p>
    <w:p w14:paraId="1FD77E28">
      <w:pPr>
        <w:adjustRightInd w:val="0"/>
        <w:snapToGrid w:val="0"/>
        <w:spacing w:line="360" w:lineRule="auto"/>
        <w:ind w:firstLine="480" w:firstLineChars="200"/>
        <w:rPr>
          <w:rFonts w:hAnsi="宋体"/>
          <w:sz w:val="24"/>
        </w:rPr>
      </w:pPr>
      <w:r>
        <w:rPr>
          <w:rFonts w:hint="eastAsia" w:hAnsi="宋体"/>
          <w:sz w:val="24"/>
        </w:rPr>
        <w:t>（</w:t>
      </w:r>
      <w:r>
        <w:rPr>
          <w:rFonts w:hAnsi="宋体"/>
          <w:sz w:val="24"/>
        </w:rPr>
        <w:t>1</w:t>
      </w:r>
      <w:r>
        <w:rPr>
          <w:rFonts w:hint="eastAsia" w:hAnsi="宋体"/>
          <w:sz w:val="24"/>
        </w:rPr>
        <w:t>）业务办理时间：基金募集期每日的</w:t>
      </w:r>
      <w:r>
        <w:rPr>
          <w:rFonts w:hAnsi="宋体"/>
          <w:sz w:val="24"/>
        </w:rPr>
        <w:t>9:00-16:00</w:t>
      </w:r>
      <w:r>
        <w:rPr>
          <w:rFonts w:hint="eastAsia" w:hAnsi="宋体"/>
          <w:sz w:val="24"/>
        </w:rPr>
        <w:t>（周六、周日及法定节假日不受理）。</w:t>
      </w:r>
    </w:p>
    <w:p w14:paraId="4592C85D">
      <w:pPr>
        <w:adjustRightInd w:val="0"/>
        <w:snapToGrid w:val="0"/>
        <w:spacing w:line="360" w:lineRule="auto"/>
        <w:ind w:firstLine="480" w:firstLineChars="200"/>
        <w:rPr>
          <w:rFonts w:hAnsi="宋体"/>
          <w:sz w:val="24"/>
        </w:rPr>
      </w:pPr>
      <w:r>
        <w:rPr>
          <w:rFonts w:hint="eastAsia" w:hAnsi="宋体"/>
          <w:sz w:val="24"/>
        </w:rPr>
        <w:t>（</w:t>
      </w:r>
      <w:r>
        <w:rPr>
          <w:rFonts w:hAnsi="宋体"/>
          <w:sz w:val="24"/>
        </w:rPr>
        <w:t>2</w:t>
      </w:r>
      <w:r>
        <w:rPr>
          <w:rFonts w:hint="eastAsia" w:hAnsi="宋体"/>
          <w:sz w:val="24"/>
        </w:rPr>
        <w:t>）个人投资者办理开户和认购申请需本人亲自到直销网点并提供下列资料：</w:t>
      </w:r>
    </w:p>
    <w:p w14:paraId="24B1C714">
      <w:pPr>
        <w:adjustRightInd w:val="0"/>
        <w:snapToGrid w:val="0"/>
        <w:spacing w:line="360" w:lineRule="auto"/>
        <w:ind w:firstLine="480" w:firstLineChars="200"/>
        <w:rPr>
          <w:rFonts w:hAnsi="宋体"/>
          <w:sz w:val="24"/>
        </w:rPr>
      </w:pPr>
      <w:r>
        <w:rPr>
          <w:rFonts w:hAnsi="宋体"/>
          <w:sz w:val="24"/>
        </w:rPr>
        <w:t>1</w:t>
      </w:r>
      <w:r>
        <w:rPr>
          <w:rFonts w:hint="eastAsia" w:hAnsi="宋体"/>
          <w:sz w:val="24"/>
        </w:rPr>
        <w:t>）基金</w:t>
      </w:r>
      <w:r>
        <w:rPr>
          <w:rFonts w:hAnsi="宋体"/>
          <w:sz w:val="24"/>
        </w:rPr>
        <w:t>投资者风险测评问卷</w:t>
      </w:r>
      <w:r>
        <w:rPr>
          <w:rFonts w:hint="eastAsia" w:hAnsi="宋体"/>
          <w:sz w:val="24"/>
        </w:rPr>
        <w:t>（</w:t>
      </w:r>
      <w:r>
        <w:rPr>
          <w:rFonts w:hAnsi="宋体"/>
          <w:sz w:val="24"/>
        </w:rPr>
        <w:t>个人）</w:t>
      </w:r>
      <w:r>
        <w:rPr>
          <w:rFonts w:hint="eastAsia" w:hAnsi="宋体"/>
          <w:sz w:val="24"/>
        </w:rPr>
        <w:t>；</w:t>
      </w:r>
    </w:p>
    <w:p w14:paraId="58A08C8E">
      <w:pPr>
        <w:adjustRightInd w:val="0"/>
        <w:snapToGrid w:val="0"/>
        <w:spacing w:line="360" w:lineRule="auto"/>
        <w:ind w:firstLine="480" w:firstLineChars="200"/>
        <w:rPr>
          <w:rFonts w:hAnsi="宋体"/>
          <w:sz w:val="24"/>
        </w:rPr>
      </w:pPr>
      <w:r>
        <w:rPr>
          <w:rFonts w:hAnsi="宋体"/>
          <w:sz w:val="24"/>
        </w:rPr>
        <w:t>2</w:t>
      </w:r>
      <w:r>
        <w:rPr>
          <w:rFonts w:hint="eastAsia" w:hAnsi="宋体"/>
          <w:sz w:val="24"/>
        </w:rPr>
        <w:t>）证券投资基金投资人权益须知；</w:t>
      </w:r>
    </w:p>
    <w:p w14:paraId="72D69EB0">
      <w:pPr>
        <w:adjustRightInd w:val="0"/>
        <w:snapToGrid w:val="0"/>
        <w:spacing w:line="360" w:lineRule="auto"/>
        <w:ind w:firstLine="480" w:firstLineChars="200"/>
        <w:rPr>
          <w:rFonts w:hAnsi="宋体"/>
          <w:sz w:val="24"/>
        </w:rPr>
      </w:pPr>
      <w:r>
        <w:rPr>
          <w:rFonts w:hAnsi="宋体"/>
          <w:sz w:val="24"/>
        </w:rPr>
        <w:t>3</w:t>
      </w:r>
      <w:r>
        <w:rPr>
          <w:rFonts w:hint="eastAsia" w:hAnsi="宋体"/>
          <w:sz w:val="24"/>
        </w:rPr>
        <w:t>）上海</w:t>
      </w:r>
      <w:r>
        <w:rPr>
          <w:rFonts w:hAnsi="宋体"/>
          <w:sz w:val="24"/>
        </w:rPr>
        <w:t>A</w:t>
      </w:r>
      <w:r>
        <w:rPr>
          <w:rFonts w:hint="eastAsia" w:hAnsi="宋体"/>
          <w:sz w:val="24"/>
        </w:rPr>
        <w:t>股股东代码卡或证券投资基金账户代码卡复印件（如有）；</w:t>
      </w:r>
    </w:p>
    <w:p w14:paraId="794E18B9">
      <w:pPr>
        <w:adjustRightInd w:val="0"/>
        <w:snapToGrid w:val="0"/>
        <w:spacing w:line="360" w:lineRule="auto"/>
        <w:ind w:firstLine="480" w:firstLineChars="200"/>
        <w:rPr>
          <w:rFonts w:hAnsi="宋体"/>
          <w:sz w:val="24"/>
        </w:rPr>
      </w:pPr>
      <w:r>
        <w:rPr>
          <w:rFonts w:hAnsi="宋体"/>
          <w:sz w:val="24"/>
        </w:rPr>
        <w:t>4</w:t>
      </w:r>
      <w:r>
        <w:rPr>
          <w:rFonts w:hint="eastAsia" w:hAnsi="宋体"/>
          <w:sz w:val="24"/>
        </w:rPr>
        <w:t>）有效身份证件的复印件正反面；</w:t>
      </w:r>
    </w:p>
    <w:p w14:paraId="624BDA9E">
      <w:pPr>
        <w:adjustRightInd w:val="0"/>
        <w:snapToGrid w:val="0"/>
        <w:spacing w:line="360" w:lineRule="auto"/>
        <w:ind w:firstLine="480" w:firstLineChars="200"/>
        <w:rPr>
          <w:rFonts w:hAnsi="宋体"/>
          <w:sz w:val="24"/>
        </w:rPr>
      </w:pPr>
      <w:r>
        <w:rPr>
          <w:rFonts w:hAnsi="宋体"/>
          <w:sz w:val="24"/>
        </w:rPr>
        <w:t>5</w:t>
      </w:r>
      <w:r>
        <w:rPr>
          <w:rFonts w:hint="eastAsia" w:hAnsi="宋体"/>
          <w:sz w:val="24"/>
        </w:rPr>
        <w:t>）同名的银行卡复印件（银行卡复印件需要正反面签字，反面签名栏需有签字）；</w:t>
      </w:r>
    </w:p>
    <w:p w14:paraId="075EFD75">
      <w:pPr>
        <w:adjustRightInd w:val="0"/>
        <w:snapToGrid w:val="0"/>
        <w:spacing w:line="360" w:lineRule="auto"/>
        <w:ind w:firstLine="480" w:firstLineChars="200"/>
        <w:rPr>
          <w:rFonts w:hAnsi="宋体"/>
          <w:sz w:val="24"/>
        </w:rPr>
      </w:pPr>
      <w:r>
        <w:rPr>
          <w:rFonts w:hAnsi="宋体"/>
          <w:sz w:val="24"/>
        </w:rPr>
        <w:t>6</w:t>
      </w:r>
      <w:r>
        <w:rPr>
          <w:rFonts w:hint="eastAsia" w:hAnsi="宋体"/>
          <w:sz w:val="24"/>
        </w:rPr>
        <w:t>）填妥的《开放式基金账户业务申请表》两份；</w:t>
      </w:r>
    </w:p>
    <w:p w14:paraId="6108C4B4">
      <w:pPr>
        <w:adjustRightInd w:val="0"/>
        <w:snapToGrid w:val="0"/>
        <w:spacing w:line="360" w:lineRule="auto"/>
        <w:ind w:firstLine="480" w:firstLineChars="200"/>
        <w:rPr>
          <w:rFonts w:hAnsi="宋体"/>
          <w:sz w:val="24"/>
        </w:rPr>
      </w:pPr>
      <w:r>
        <w:rPr>
          <w:rFonts w:hAnsi="宋体"/>
          <w:sz w:val="24"/>
        </w:rPr>
        <w:t>7</w:t>
      </w:r>
      <w:r>
        <w:rPr>
          <w:rFonts w:hint="eastAsia" w:hAnsi="宋体"/>
          <w:sz w:val="24"/>
        </w:rPr>
        <w:t>）填妥的《传真委托协议书》两份（如需开通）；</w:t>
      </w:r>
    </w:p>
    <w:p w14:paraId="146C6939">
      <w:pPr>
        <w:adjustRightInd w:val="0"/>
        <w:snapToGrid w:val="0"/>
        <w:spacing w:line="360" w:lineRule="auto"/>
        <w:ind w:firstLine="480" w:firstLineChars="200"/>
        <w:rPr>
          <w:rFonts w:hAnsi="宋体"/>
          <w:sz w:val="24"/>
        </w:rPr>
      </w:pPr>
      <w:r>
        <w:rPr>
          <w:rFonts w:hAnsi="宋体"/>
          <w:sz w:val="24"/>
        </w:rPr>
        <w:t>8</w:t>
      </w:r>
      <w:r>
        <w:rPr>
          <w:rFonts w:hint="eastAsia" w:hAnsi="宋体"/>
          <w:sz w:val="24"/>
        </w:rPr>
        <w:t>）填妥的《开放式基金电话交易协议书》两份（如需开通）；</w:t>
      </w:r>
    </w:p>
    <w:p w14:paraId="08F0C649">
      <w:pPr>
        <w:adjustRightInd w:val="0"/>
        <w:snapToGrid w:val="0"/>
        <w:spacing w:line="360" w:lineRule="auto"/>
        <w:ind w:firstLine="480" w:firstLineChars="200"/>
        <w:rPr>
          <w:rFonts w:hAnsi="宋体"/>
          <w:sz w:val="24"/>
        </w:rPr>
      </w:pPr>
      <w:r>
        <w:rPr>
          <w:rFonts w:hAnsi="宋体"/>
          <w:sz w:val="24"/>
        </w:rPr>
        <w:t>9</w:t>
      </w:r>
      <w:r>
        <w:rPr>
          <w:rFonts w:hint="eastAsia" w:hAnsi="宋体"/>
          <w:sz w:val="24"/>
        </w:rPr>
        <w:t>）填妥</w:t>
      </w:r>
      <w:r>
        <w:rPr>
          <w:rFonts w:hAnsi="宋体"/>
          <w:sz w:val="24"/>
        </w:rPr>
        <w:t>的《</w:t>
      </w:r>
      <w:r>
        <w:rPr>
          <w:rFonts w:hint="eastAsia" w:hAnsi="宋体"/>
          <w:sz w:val="24"/>
        </w:rPr>
        <w:t>CRS个人税收</w:t>
      </w:r>
      <w:r>
        <w:rPr>
          <w:rFonts w:hAnsi="宋体"/>
          <w:sz w:val="24"/>
        </w:rPr>
        <w:t>居民身份声明文件》</w:t>
      </w:r>
      <w:r>
        <w:rPr>
          <w:rFonts w:hint="eastAsia" w:hAnsi="宋体"/>
          <w:sz w:val="24"/>
        </w:rPr>
        <w:t>；</w:t>
      </w:r>
    </w:p>
    <w:p w14:paraId="16594D34">
      <w:pPr>
        <w:adjustRightInd w:val="0"/>
        <w:snapToGrid w:val="0"/>
        <w:spacing w:line="360" w:lineRule="auto"/>
        <w:ind w:firstLine="480" w:firstLineChars="200"/>
        <w:rPr>
          <w:rFonts w:hAnsi="宋体"/>
          <w:sz w:val="24"/>
        </w:rPr>
      </w:pPr>
      <w:r>
        <w:rPr>
          <w:rFonts w:hAnsi="宋体"/>
          <w:sz w:val="24"/>
        </w:rPr>
        <w:t>10</w:t>
      </w:r>
      <w:r>
        <w:rPr>
          <w:rFonts w:hint="eastAsia" w:hAnsi="宋体"/>
          <w:sz w:val="24"/>
        </w:rPr>
        <w:t>）填妥</w:t>
      </w:r>
      <w:r>
        <w:rPr>
          <w:rFonts w:hAnsi="宋体"/>
          <w:sz w:val="24"/>
        </w:rPr>
        <w:t>的《</w:t>
      </w:r>
      <w:r>
        <w:rPr>
          <w:rFonts w:hint="eastAsia" w:hAnsi="宋体"/>
          <w:sz w:val="24"/>
        </w:rPr>
        <w:t>受益人</w:t>
      </w:r>
      <w:r>
        <w:rPr>
          <w:rFonts w:hAnsi="宋体"/>
          <w:sz w:val="24"/>
        </w:rPr>
        <w:t>非美国个人身份声明</w:t>
      </w:r>
      <w:r>
        <w:rPr>
          <w:rFonts w:hint="eastAsia" w:hAnsi="宋体"/>
          <w:sz w:val="24"/>
        </w:rPr>
        <w:t>》；</w:t>
      </w:r>
    </w:p>
    <w:p w14:paraId="6E020560">
      <w:pPr>
        <w:adjustRightInd w:val="0"/>
        <w:snapToGrid w:val="0"/>
        <w:spacing w:line="360" w:lineRule="auto"/>
        <w:ind w:firstLine="480" w:firstLineChars="200"/>
        <w:rPr>
          <w:rFonts w:hAnsi="宋体"/>
          <w:sz w:val="24"/>
        </w:rPr>
      </w:pPr>
      <w:r>
        <w:rPr>
          <w:rFonts w:hAnsi="宋体"/>
          <w:sz w:val="24"/>
        </w:rPr>
        <w:t>11</w:t>
      </w:r>
      <w:r>
        <w:rPr>
          <w:rFonts w:hint="eastAsia" w:hAnsi="宋体"/>
          <w:sz w:val="24"/>
        </w:rPr>
        <w:t>）如非本人亲自办理，则还须提供代理人身份证件原件及复印件（签名）和本人的授权委托书；</w:t>
      </w:r>
    </w:p>
    <w:p w14:paraId="26121E73">
      <w:pPr>
        <w:adjustRightInd w:val="0"/>
        <w:snapToGrid w:val="0"/>
        <w:spacing w:line="360" w:lineRule="auto"/>
        <w:ind w:firstLine="480" w:firstLineChars="200"/>
        <w:rPr>
          <w:rFonts w:hAnsi="宋体"/>
          <w:sz w:val="24"/>
        </w:rPr>
      </w:pPr>
      <w:r>
        <w:rPr>
          <w:rFonts w:hAnsi="宋体"/>
          <w:sz w:val="24"/>
        </w:rPr>
        <w:t>12</w:t>
      </w:r>
      <w:r>
        <w:rPr>
          <w:rFonts w:hint="eastAsia" w:hAnsi="宋体"/>
          <w:sz w:val="24"/>
        </w:rPr>
        <w:t>）以上表格复印有效，但需客户本人亲笔签名。</w:t>
      </w:r>
    </w:p>
    <w:p w14:paraId="1E8C99EE">
      <w:pPr>
        <w:adjustRightInd w:val="0"/>
        <w:snapToGrid w:val="0"/>
        <w:spacing w:line="360" w:lineRule="auto"/>
        <w:ind w:firstLine="480" w:firstLineChars="200"/>
        <w:rPr>
          <w:rFonts w:hAnsi="宋体"/>
          <w:sz w:val="24"/>
        </w:rPr>
      </w:pPr>
      <w:r>
        <w:rPr>
          <w:rFonts w:hint="eastAsia" w:hAnsi="宋体"/>
          <w:sz w:val="24"/>
        </w:rPr>
        <w:t>（</w:t>
      </w:r>
      <w:r>
        <w:rPr>
          <w:rFonts w:hAnsi="宋体"/>
          <w:sz w:val="24"/>
        </w:rPr>
        <w:t>3</w:t>
      </w:r>
      <w:r>
        <w:rPr>
          <w:rFonts w:hint="eastAsia" w:hAnsi="宋体"/>
          <w:sz w:val="24"/>
        </w:rPr>
        <w:t>）认购资金的划拨程序：</w:t>
      </w:r>
    </w:p>
    <w:p w14:paraId="2D755D9C">
      <w:pPr>
        <w:adjustRightInd w:val="0"/>
        <w:snapToGrid w:val="0"/>
        <w:spacing w:line="360" w:lineRule="auto"/>
        <w:ind w:firstLine="480" w:firstLineChars="200"/>
        <w:rPr>
          <w:rFonts w:hAnsi="宋体"/>
          <w:sz w:val="24"/>
        </w:rPr>
      </w:pPr>
      <w:r>
        <w:rPr>
          <w:rFonts w:hAnsi="宋体"/>
          <w:sz w:val="24"/>
        </w:rPr>
        <w:t>1</w:t>
      </w:r>
      <w:r>
        <w:rPr>
          <w:rFonts w:hint="eastAsia" w:hAnsi="宋体"/>
          <w:sz w:val="24"/>
        </w:rPr>
        <w:t>）个人投资者开户后，在办理认购手续前，应将足额资金通过银行系统汇入本公司指定的下列银行账户，并确保交易日下午</w:t>
      </w:r>
      <w:r>
        <w:rPr>
          <w:rFonts w:hAnsi="宋体"/>
          <w:sz w:val="24"/>
        </w:rPr>
        <w:t>16:00</w:t>
      </w:r>
      <w:r>
        <w:rPr>
          <w:rFonts w:hint="eastAsia" w:hAnsi="宋体"/>
          <w:sz w:val="24"/>
        </w:rPr>
        <w:t>之前到账：</w:t>
      </w:r>
    </w:p>
    <w:p w14:paraId="3E5325E3">
      <w:pPr>
        <w:adjustRightInd w:val="0"/>
        <w:snapToGrid w:val="0"/>
        <w:spacing w:line="360" w:lineRule="auto"/>
        <w:ind w:firstLine="480" w:firstLineChars="200"/>
        <w:rPr>
          <w:rFonts w:hAnsi="宋体"/>
          <w:sz w:val="24"/>
        </w:rPr>
      </w:pPr>
      <w:r>
        <w:rPr>
          <w:rFonts w:hint="eastAsia" w:hAnsi="宋体"/>
          <w:sz w:val="24"/>
        </w:rPr>
        <w:t>户名：交银施罗德基金管理有限公司直销专户</w:t>
      </w:r>
    </w:p>
    <w:p w14:paraId="16996016">
      <w:pPr>
        <w:adjustRightInd w:val="0"/>
        <w:snapToGrid w:val="0"/>
        <w:spacing w:line="360" w:lineRule="auto"/>
        <w:ind w:firstLine="480" w:firstLineChars="200"/>
        <w:rPr>
          <w:rFonts w:hAnsi="宋体"/>
          <w:sz w:val="24"/>
        </w:rPr>
      </w:pPr>
      <w:r>
        <w:rPr>
          <w:rFonts w:hint="eastAsia" w:hAnsi="宋体"/>
          <w:sz w:val="24"/>
        </w:rPr>
        <w:t>开户行：交通银行股份有限公司上海市分行交银大厦支行</w:t>
      </w:r>
    </w:p>
    <w:p w14:paraId="3E763AC6">
      <w:pPr>
        <w:adjustRightInd w:val="0"/>
        <w:snapToGrid w:val="0"/>
        <w:spacing w:line="360" w:lineRule="auto"/>
        <w:ind w:firstLine="480" w:firstLineChars="200"/>
        <w:rPr>
          <w:rFonts w:hAnsi="宋体"/>
          <w:sz w:val="24"/>
        </w:rPr>
      </w:pPr>
      <w:r>
        <w:rPr>
          <w:rFonts w:hint="eastAsia" w:hAnsi="宋体"/>
          <w:sz w:val="24"/>
        </w:rPr>
        <w:t>账号：</w:t>
      </w:r>
      <w:r>
        <w:rPr>
          <w:rFonts w:hAnsi="宋体"/>
          <w:sz w:val="24"/>
        </w:rPr>
        <w:t>310066577018150012847</w:t>
      </w:r>
    </w:p>
    <w:p w14:paraId="07584F3D">
      <w:pPr>
        <w:adjustRightInd w:val="0"/>
        <w:snapToGrid w:val="0"/>
        <w:spacing w:line="360" w:lineRule="auto"/>
        <w:ind w:firstLine="480" w:firstLineChars="200"/>
        <w:rPr>
          <w:rFonts w:hAnsi="宋体"/>
          <w:sz w:val="24"/>
        </w:rPr>
      </w:pPr>
      <w:r>
        <w:rPr>
          <w:rFonts w:hint="eastAsia" w:hAnsi="宋体"/>
          <w:sz w:val="24"/>
        </w:rPr>
        <w:t>或者：</w:t>
      </w:r>
    </w:p>
    <w:p w14:paraId="6FD7BE20">
      <w:pPr>
        <w:adjustRightInd w:val="0"/>
        <w:snapToGrid w:val="0"/>
        <w:spacing w:line="360" w:lineRule="auto"/>
        <w:ind w:firstLine="480" w:firstLineChars="200"/>
        <w:rPr>
          <w:rFonts w:hAnsi="宋体"/>
          <w:sz w:val="24"/>
        </w:rPr>
      </w:pPr>
      <w:r>
        <w:rPr>
          <w:rFonts w:hint="eastAsia" w:hAnsi="宋体"/>
          <w:sz w:val="24"/>
        </w:rPr>
        <w:t>户名：交银施罗德基金管理有限公司直销专户</w:t>
      </w:r>
    </w:p>
    <w:p w14:paraId="2B3841DA">
      <w:pPr>
        <w:adjustRightInd w:val="0"/>
        <w:snapToGrid w:val="0"/>
        <w:spacing w:line="360" w:lineRule="auto"/>
        <w:ind w:firstLine="480" w:firstLineChars="200"/>
        <w:rPr>
          <w:rFonts w:hAnsi="宋体"/>
          <w:sz w:val="24"/>
        </w:rPr>
      </w:pPr>
      <w:r>
        <w:rPr>
          <w:rFonts w:hint="eastAsia" w:hAnsi="宋体"/>
          <w:sz w:val="24"/>
        </w:rPr>
        <w:t>开户行：中国工商银行股份有限公司上海市分行营业部</w:t>
      </w:r>
    </w:p>
    <w:p w14:paraId="1E99ACD2">
      <w:pPr>
        <w:adjustRightInd w:val="0"/>
        <w:snapToGrid w:val="0"/>
        <w:spacing w:line="360" w:lineRule="auto"/>
        <w:ind w:firstLine="480" w:firstLineChars="200"/>
        <w:rPr>
          <w:rFonts w:hAnsi="宋体"/>
          <w:sz w:val="24"/>
        </w:rPr>
      </w:pPr>
      <w:r>
        <w:rPr>
          <w:rFonts w:hint="eastAsia" w:hAnsi="宋体"/>
          <w:sz w:val="24"/>
        </w:rPr>
        <w:t>账号：</w:t>
      </w:r>
      <w:r>
        <w:rPr>
          <w:rFonts w:hAnsi="宋体"/>
          <w:sz w:val="24"/>
        </w:rPr>
        <w:t>1001202919025740042</w:t>
      </w:r>
    </w:p>
    <w:p w14:paraId="3DE47976">
      <w:pPr>
        <w:adjustRightInd w:val="0"/>
        <w:snapToGrid w:val="0"/>
        <w:spacing w:line="360" w:lineRule="auto"/>
        <w:ind w:firstLine="480" w:firstLineChars="200"/>
        <w:rPr>
          <w:rFonts w:hAnsi="宋体"/>
          <w:sz w:val="24"/>
        </w:rPr>
      </w:pPr>
      <w:r>
        <w:rPr>
          <w:rFonts w:hint="eastAsia" w:hAnsi="宋体"/>
          <w:sz w:val="24"/>
        </w:rPr>
        <w:t>或者：</w:t>
      </w:r>
    </w:p>
    <w:p w14:paraId="32516EFD">
      <w:pPr>
        <w:adjustRightInd w:val="0"/>
        <w:snapToGrid w:val="0"/>
        <w:spacing w:line="360" w:lineRule="auto"/>
        <w:ind w:firstLine="480" w:firstLineChars="200"/>
        <w:rPr>
          <w:rFonts w:hAnsi="宋体"/>
          <w:sz w:val="24"/>
        </w:rPr>
      </w:pPr>
      <w:r>
        <w:rPr>
          <w:rFonts w:hint="eastAsia" w:hAnsi="宋体"/>
          <w:sz w:val="24"/>
        </w:rPr>
        <w:t>户名：交银施罗德基金管理有限公司直销专户</w:t>
      </w:r>
    </w:p>
    <w:p w14:paraId="1EA8D636">
      <w:pPr>
        <w:adjustRightInd w:val="0"/>
        <w:snapToGrid w:val="0"/>
        <w:spacing w:line="360" w:lineRule="auto"/>
        <w:ind w:firstLine="480" w:firstLineChars="200"/>
        <w:rPr>
          <w:rFonts w:hAnsi="宋体"/>
          <w:sz w:val="24"/>
        </w:rPr>
      </w:pPr>
      <w:r>
        <w:rPr>
          <w:rFonts w:hint="eastAsia" w:hAnsi="宋体"/>
          <w:sz w:val="24"/>
        </w:rPr>
        <w:t>开户行：中国建设银行股份有限公司上海浦东分行</w:t>
      </w:r>
    </w:p>
    <w:p w14:paraId="704A3ED5">
      <w:pPr>
        <w:adjustRightInd w:val="0"/>
        <w:snapToGrid w:val="0"/>
        <w:spacing w:line="360" w:lineRule="auto"/>
        <w:ind w:firstLine="480" w:firstLineChars="200"/>
        <w:rPr>
          <w:sz w:val="24"/>
        </w:rPr>
      </w:pPr>
      <w:r>
        <w:rPr>
          <w:rFonts w:hint="eastAsia"/>
          <w:sz w:val="24"/>
        </w:rPr>
        <w:t>账号：</w:t>
      </w:r>
      <w:r>
        <w:rPr>
          <w:sz w:val="24"/>
        </w:rPr>
        <w:t>31001520313050007558</w:t>
      </w:r>
    </w:p>
    <w:p w14:paraId="0582DEB6">
      <w:pPr>
        <w:adjustRightInd w:val="0"/>
        <w:snapToGrid w:val="0"/>
        <w:spacing w:line="360" w:lineRule="auto"/>
        <w:ind w:firstLine="480" w:firstLineChars="200"/>
        <w:rPr>
          <w:sz w:val="24"/>
        </w:rPr>
      </w:pPr>
      <w:r>
        <w:rPr>
          <w:rFonts w:hint="eastAsia"/>
          <w:sz w:val="24"/>
        </w:rPr>
        <w:t>或者：</w:t>
      </w:r>
    </w:p>
    <w:p w14:paraId="41084772">
      <w:pPr>
        <w:adjustRightInd w:val="0"/>
        <w:snapToGrid w:val="0"/>
        <w:spacing w:line="360" w:lineRule="auto"/>
        <w:ind w:firstLine="480" w:firstLineChars="200"/>
        <w:rPr>
          <w:sz w:val="24"/>
        </w:rPr>
      </w:pPr>
      <w:r>
        <w:rPr>
          <w:rFonts w:hint="eastAsia"/>
          <w:sz w:val="24"/>
        </w:rPr>
        <w:t>户名：交银施罗德基金管理有限公司直销专户</w:t>
      </w:r>
    </w:p>
    <w:p w14:paraId="184387FE">
      <w:pPr>
        <w:adjustRightInd w:val="0"/>
        <w:snapToGrid w:val="0"/>
        <w:spacing w:line="360" w:lineRule="auto"/>
        <w:ind w:firstLine="480" w:firstLineChars="200"/>
        <w:rPr>
          <w:sz w:val="24"/>
        </w:rPr>
      </w:pPr>
      <w:r>
        <w:rPr>
          <w:rFonts w:hint="eastAsia"/>
          <w:sz w:val="24"/>
        </w:rPr>
        <w:t>开户行：中国农业银行股份有限公司上海卢湾支行</w:t>
      </w:r>
    </w:p>
    <w:p w14:paraId="6E869829">
      <w:pPr>
        <w:adjustRightInd w:val="0"/>
        <w:snapToGrid w:val="0"/>
        <w:spacing w:line="360" w:lineRule="auto"/>
        <w:ind w:firstLine="480" w:firstLineChars="200"/>
        <w:rPr>
          <w:sz w:val="24"/>
        </w:rPr>
      </w:pPr>
      <w:r>
        <w:rPr>
          <w:rFonts w:hint="eastAsia"/>
          <w:sz w:val="24"/>
        </w:rPr>
        <w:t>账号：</w:t>
      </w:r>
      <w:r>
        <w:rPr>
          <w:sz w:val="24"/>
        </w:rPr>
        <w:t>03492300040004421</w:t>
      </w:r>
    </w:p>
    <w:p w14:paraId="36C566AA">
      <w:pPr>
        <w:adjustRightInd w:val="0"/>
        <w:snapToGrid w:val="0"/>
        <w:spacing w:line="360" w:lineRule="auto"/>
        <w:ind w:firstLine="480" w:firstLineChars="200"/>
        <w:rPr>
          <w:sz w:val="24"/>
        </w:rPr>
      </w:pPr>
      <w:r>
        <w:rPr>
          <w:sz w:val="24"/>
        </w:rPr>
        <w:t>2</w:t>
      </w:r>
      <w:r>
        <w:rPr>
          <w:rFonts w:hint="eastAsia"/>
          <w:sz w:val="24"/>
        </w:rPr>
        <w:t>）汇款时，投资者必须注意以下事项：</w:t>
      </w:r>
    </w:p>
    <w:p w14:paraId="487A756F">
      <w:pPr>
        <w:adjustRightInd w:val="0"/>
        <w:snapToGrid w:val="0"/>
        <w:spacing w:line="360" w:lineRule="auto"/>
        <w:ind w:firstLine="480" w:firstLineChars="200"/>
        <w:rPr>
          <w:sz w:val="24"/>
        </w:rPr>
      </w:pPr>
      <w:r>
        <w:rPr>
          <w:rFonts w:ascii="宋体" w:hAnsi="宋体"/>
          <w:sz w:val="24"/>
        </w:rPr>
        <w:t>①</w:t>
      </w:r>
      <w:r>
        <w:rPr>
          <w:sz w:val="24"/>
        </w:rPr>
        <w:t xml:space="preserve"> </w:t>
      </w:r>
      <w:r>
        <w:rPr>
          <w:rFonts w:hint="eastAsia"/>
          <w:sz w:val="24"/>
        </w:rPr>
        <w:t>投资者应在</w:t>
      </w:r>
      <w:r>
        <w:rPr>
          <w:sz w:val="24"/>
        </w:rPr>
        <w:t>“</w:t>
      </w:r>
      <w:r>
        <w:rPr>
          <w:rFonts w:hint="eastAsia"/>
          <w:sz w:val="24"/>
        </w:rPr>
        <w:t>汇款人</w:t>
      </w:r>
      <w:r>
        <w:rPr>
          <w:sz w:val="24"/>
        </w:rPr>
        <w:t>”</w:t>
      </w:r>
      <w:r>
        <w:rPr>
          <w:rFonts w:hint="eastAsia"/>
          <w:sz w:val="24"/>
        </w:rPr>
        <w:t>栏中填写其在交银施罗德直销系统开户时登记的名称；</w:t>
      </w:r>
    </w:p>
    <w:p w14:paraId="068BFDEB">
      <w:pPr>
        <w:adjustRightInd w:val="0"/>
        <w:snapToGrid w:val="0"/>
        <w:spacing w:line="360" w:lineRule="auto"/>
        <w:ind w:firstLine="480" w:firstLineChars="200"/>
        <w:rPr>
          <w:sz w:val="24"/>
        </w:rPr>
      </w:pPr>
      <w:r>
        <w:rPr>
          <w:rFonts w:ascii="宋体" w:hAnsi="宋体"/>
          <w:sz w:val="24"/>
        </w:rPr>
        <w:t>②</w:t>
      </w:r>
      <w:r>
        <w:rPr>
          <w:sz w:val="24"/>
        </w:rPr>
        <w:t xml:space="preserve"> </w:t>
      </w:r>
      <w:r>
        <w:rPr>
          <w:rFonts w:hint="eastAsia"/>
          <w:sz w:val="24"/>
        </w:rPr>
        <w:t>投资者汇款时，可提示银行柜台人员务必准确完整地传递汇款信息，包括在用途栏内注明</w:t>
      </w:r>
      <w:r>
        <w:rPr>
          <w:sz w:val="24"/>
        </w:rPr>
        <w:t>“</w:t>
      </w:r>
      <w:r>
        <w:rPr>
          <w:rFonts w:hint="eastAsia"/>
          <w:sz w:val="24"/>
        </w:rPr>
        <w:t>用于认购</w:t>
      </w:r>
      <w:r>
        <w:rPr>
          <w:rFonts w:hint="eastAsia" w:hAnsi="宋体"/>
          <w:sz w:val="24"/>
          <w:lang w:eastAsia="zh-CN"/>
        </w:rPr>
        <w:t>交银</w:t>
      </w:r>
      <w:r>
        <w:rPr>
          <w:rFonts w:hint="eastAsia" w:hAnsi="宋体"/>
          <w:sz w:val="24"/>
          <w:lang w:val="en-US" w:eastAsia="zh-CN"/>
        </w:rPr>
        <w:t>佳盛</w:t>
      </w:r>
      <w:r>
        <w:rPr>
          <w:rFonts w:hint="eastAsia" w:hAnsi="宋体"/>
          <w:sz w:val="24"/>
          <w:lang w:eastAsia="zh-CN"/>
        </w:rPr>
        <w:t>债券</w:t>
      </w:r>
      <w:r>
        <w:rPr>
          <w:sz w:val="24"/>
        </w:rPr>
        <w:t>”</w:t>
      </w:r>
      <w:r>
        <w:rPr>
          <w:rFonts w:hint="eastAsia"/>
          <w:sz w:val="24"/>
        </w:rPr>
        <w:t>；</w:t>
      </w:r>
    </w:p>
    <w:p w14:paraId="246B7AF4">
      <w:pPr>
        <w:adjustRightInd w:val="0"/>
        <w:snapToGrid w:val="0"/>
        <w:spacing w:line="360" w:lineRule="auto"/>
        <w:ind w:firstLine="480" w:firstLineChars="200"/>
        <w:rPr>
          <w:sz w:val="24"/>
        </w:rPr>
      </w:pPr>
      <w:r>
        <w:rPr>
          <w:rFonts w:ascii="宋体" w:hAnsi="宋体"/>
          <w:sz w:val="24"/>
        </w:rPr>
        <w:t>③</w:t>
      </w:r>
      <w:r>
        <w:rPr>
          <w:sz w:val="24"/>
        </w:rPr>
        <w:t xml:space="preserve"> </w:t>
      </w:r>
      <w:r>
        <w:rPr>
          <w:rFonts w:hint="eastAsia"/>
          <w:sz w:val="24"/>
        </w:rPr>
        <w:t>为了确保投资者资金及时准确的入账，建议投资者将加盖银行业务受理章的汇款单据传真至交银施罗德直销柜台。传真号码：（</w:t>
      </w:r>
      <w:r>
        <w:rPr>
          <w:sz w:val="24"/>
        </w:rPr>
        <w:t>021</w:t>
      </w:r>
      <w:r>
        <w:rPr>
          <w:rFonts w:hint="eastAsia"/>
          <w:sz w:val="24"/>
        </w:rPr>
        <w:t>）</w:t>
      </w:r>
      <w:r>
        <w:rPr>
          <w:sz w:val="24"/>
        </w:rPr>
        <w:t>61055054</w:t>
      </w:r>
      <w:r>
        <w:rPr>
          <w:rFonts w:hint="eastAsia"/>
          <w:sz w:val="24"/>
        </w:rPr>
        <w:t>。</w:t>
      </w:r>
    </w:p>
    <w:p w14:paraId="011FBC36">
      <w:pPr>
        <w:adjustRightInd w:val="0"/>
        <w:snapToGrid w:val="0"/>
        <w:spacing w:line="360" w:lineRule="auto"/>
        <w:ind w:firstLine="482" w:firstLineChars="200"/>
        <w:rPr>
          <w:rFonts w:hAnsi="宋体"/>
          <w:b/>
          <w:sz w:val="24"/>
        </w:rPr>
      </w:pPr>
      <w:r>
        <w:rPr>
          <w:rFonts w:hAnsi="宋体"/>
          <w:b/>
          <w:sz w:val="24"/>
        </w:rPr>
        <w:t>2</w:t>
      </w:r>
      <w:r>
        <w:rPr>
          <w:rFonts w:hint="eastAsia" w:hAnsi="宋体"/>
          <w:b/>
          <w:sz w:val="24"/>
        </w:rPr>
        <w:t>、网上直销交易平台</w:t>
      </w:r>
    </w:p>
    <w:p w14:paraId="5C9902A9">
      <w:pPr>
        <w:adjustRightInd w:val="0"/>
        <w:snapToGrid w:val="0"/>
        <w:spacing w:line="360" w:lineRule="auto"/>
        <w:ind w:firstLine="480" w:firstLineChars="200"/>
        <w:rPr>
          <w:sz w:val="24"/>
          <w:szCs w:val="24"/>
        </w:rPr>
      </w:pPr>
      <w:r>
        <w:rPr>
          <w:rFonts w:hint="eastAsia" w:hAnsi="宋体"/>
          <w:sz w:val="24"/>
          <w:szCs w:val="24"/>
        </w:rPr>
        <w:t>个人投资者可以通过本基金管理人网上直销交易平台办理开户和本基金认购业务，具体交易细则请参阅本公司网站。本公司基金网上直销业务已开通的银行卡及各银行卡认购金额限额请参阅本公司网站。本公司网站</w:t>
      </w:r>
      <w:r>
        <w:rPr>
          <w:rFonts w:hint="eastAsia"/>
          <w:sz w:val="24"/>
          <w:szCs w:val="24"/>
        </w:rPr>
        <w:t>：</w:t>
      </w:r>
      <w:r>
        <w:fldChar w:fldCharType="begin"/>
      </w:r>
      <w:r>
        <w:instrText xml:space="preserve"> HYPERLINK "http://www.fund001.com，www.bocomschroder.com" </w:instrText>
      </w:r>
      <w:r>
        <w:fldChar w:fldCharType="separate"/>
      </w:r>
      <w:r>
        <w:rPr>
          <w:rFonts w:hAnsi="宋体"/>
        </w:rPr>
        <w:t>www.fund001.com</w:t>
      </w:r>
      <w:r>
        <w:rPr>
          <w:rFonts w:hAnsi="宋体"/>
        </w:rPr>
        <w:fldChar w:fldCharType="end"/>
      </w:r>
      <w:r>
        <w:rPr>
          <w:rFonts w:hint="eastAsia"/>
          <w:sz w:val="24"/>
          <w:szCs w:val="24"/>
        </w:rPr>
        <w:t>。</w:t>
      </w:r>
    </w:p>
    <w:p w14:paraId="201F48B0">
      <w:pPr>
        <w:adjustRightInd w:val="0"/>
        <w:snapToGrid w:val="0"/>
        <w:spacing w:line="360" w:lineRule="auto"/>
        <w:ind w:firstLine="482" w:firstLineChars="200"/>
        <w:rPr>
          <w:rFonts w:hAnsi="宋体"/>
          <w:b/>
          <w:sz w:val="24"/>
        </w:rPr>
      </w:pPr>
      <w:r>
        <w:rPr>
          <w:rFonts w:hint="eastAsia" w:hAnsi="宋体"/>
          <w:b/>
          <w:sz w:val="24"/>
        </w:rPr>
        <w:t>（二）各销售银行</w:t>
      </w:r>
    </w:p>
    <w:p w14:paraId="668C4474">
      <w:pPr>
        <w:autoSpaceDE w:val="0"/>
        <w:autoSpaceDN w:val="0"/>
        <w:adjustRightInd w:val="0"/>
        <w:snapToGrid w:val="0"/>
        <w:spacing w:line="360" w:lineRule="auto"/>
        <w:ind w:firstLine="480" w:firstLineChars="200"/>
        <w:rPr>
          <w:sz w:val="24"/>
        </w:rPr>
      </w:pPr>
      <w:r>
        <w:rPr>
          <w:rFonts w:hint="eastAsia"/>
          <w:sz w:val="24"/>
        </w:rPr>
        <w:t>各销售银行开户和认购的相关程序以该银行相关规定为准。</w:t>
      </w:r>
    </w:p>
    <w:p w14:paraId="3A94C940">
      <w:pPr>
        <w:adjustRightInd w:val="0"/>
        <w:snapToGrid w:val="0"/>
        <w:spacing w:line="360" w:lineRule="auto"/>
        <w:ind w:firstLine="482" w:firstLineChars="200"/>
        <w:rPr>
          <w:rFonts w:hAnsi="宋体"/>
          <w:b/>
          <w:sz w:val="24"/>
        </w:rPr>
      </w:pPr>
      <w:r>
        <w:rPr>
          <w:rFonts w:hint="eastAsia" w:hAnsi="宋体"/>
          <w:b/>
          <w:sz w:val="24"/>
        </w:rPr>
        <w:t>（三）各销售券商</w:t>
      </w:r>
    </w:p>
    <w:p w14:paraId="2E108251">
      <w:pPr>
        <w:autoSpaceDE w:val="0"/>
        <w:autoSpaceDN w:val="0"/>
        <w:adjustRightInd w:val="0"/>
        <w:snapToGrid w:val="0"/>
        <w:spacing w:line="360" w:lineRule="auto"/>
        <w:ind w:firstLine="480" w:firstLineChars="200"/>
        <w:rPr>
          <w:sz w:val="24"/>
        </w:rPr>
      </w:pPr>
      <w:r>
        <w:rPr>
          <w:rFonts w:hint="eastAsia"/>
          <w:sz w:val="24"/>
        </w:rPr>
        <w:t>各销售券商开户和认购的相关程序以该券商相关规定为准。</w:t>
      </w:r>
    </w:p>
    <w:p w14:paraId="05D4C69B">
      <w:pPr>
        <w:adjustRightInd w:val="0"/>
        <w:snapToGrid w:val="0"/>
        <w:spacing w:line="360" w:lineRule="auto"/>
        <w:ind w:firstLine="482" w:firstLineChars="200"/>
        <w:rPr>
          <w:rFonts w:hAnsi="宋体"/>
          <w:b/>
          <w:sz w:val="24"/>
        </w:rPr>
      </w:pPr>
      <w:r>
        <w:rPr>
          <w:rFonts w:hint="eastAsia" w:hAnsi="宋体"/>
          <w:b/>
          <w:sz w:val="24"/>
        </w:rPr>
        <w:t>（四）各独立基金销售机构</w:t>
      </w:r>
    </w:p>
    <w:p w14:paraId="0A1A35D1">
      <w:pPr>
        <w:pStyle w:val="4"/>
        <w:adjustRightInd w:val="0"/>
        <w:snapToGrid w:val="0"/>
      </w:pPr>
      <w:r>
        <w:rPr>
          <w:rFonts w:hint="eastAsia"/>
        </w:rPr>
        <w:t>各独立基金销售机构开户和认购的相关程序以该机构相关规定为准。</w:t>
      </w:r>
    </w:p>
    <w:p w14:paraId="44A2B714">
      <w:pPr>
        <w:keepNext/>
        <w:keepLines/>
        <w:adjustRightInd w:val="0"/>
        <w:snapToGrid w:val="0"/>
        <w:spacing w:before="240" w:after="156" w:afterLines="50" w:line="360" w:lineRule="auto"/>
        <w:jc w:val="center"/>
        <w:outlineLvl w:val="0"/>
        <w:rPr>
          <w:b/>
          <w:sz w:val="24"/>
        </w:rPr>
      </w:pPr>
      <w:r>
        <w:rPr>
          <w:rFonts w:hint="eastAsia"/>
          <w:b/>
          <w:sz w:val="24"/>
        </w:rPr>
        <w:t>四、机构投资者的开户与认购程序</w:t>
      </w:r>
    </w:p>
    <w:p w14:paraId="53653B34">
      <w:pPr>
        <w:adjustRightInd w:val="0"/>
        <w:snapToGrid w:val="0"/>
        <w:spacing w:line="360" w:lineRule="auto"/>
        <w:ind w:firstLine="482" w:firstLineChars="200"/>
        <w:rPr>
          <w:rFonts w:hAnsi="宋体"/>
          <w:b/>
          <w:sz w:val="24"/>
        </w:rPr>
      </w:pPr>
      <w:r>
        <w:rPr>
          <w:rFonts w:hint="eastAsia" w:hAnsi="宋体"/>
          <w:b/>
          <w:sz w:val="24"/>
        </w:rPr>
        <w:t>（一）直销柜台</w:t>
      </w:r>
    </w:p>
    <w:p w14:paraId="4B907CD0">
      <w:pPr>
        <w:adjustRightInd w:val="0"/>
        <w:snapToGrid w:val="0"/>
        <w:spacing w:line="360" w:lineRule="auto"/>
        <w:ind w:firstLine="480" w:firstLineChars="200"/>
        <w:rPr>
          <w:sz w:val="24"/>
        </w:rPr>
      </w:pPr>
      <w:r>
        <w:rPr>
          <w:rFonts w:hint="eastAsia"/>
          <w:sz w:val="24"/>
        </w:rPr>
        <w:t>如果机构投资者认购金额在</w:t>
      </w:r>
      <w:r>
        <w:rPr>
          <w:sz w:val="24"/>
        </w:rPr>
        <w:t>100</w:t>
      </w:r>
      <w:r>
        <w:rPr>
          <w:rFonts w:hint="eastAsia"/>
          <w:sz w:val="24"/>
        </w:rPr>
        <w:t>万元（含</w:t>
      </w:r>
      <w:r>
        <w:rPr>
          <w:sz w:val="24"/>
        </w:rPr>
        <w:t>100</w:t>
      </w:r>
      <w:r>
        <w:rPr>
          <w:rFonts w:hint="eastAsia"/>
          <w:sz w:val="24"/>
        </w:rPr>
        <w:t>万元）以上，可以选择到本公司直销柜台办理。</w:t>
      </w:r>
    </w:p>
    <w:p w14:paraId="22BB736F">
      <w:pPr>
        <w:adjustRightInd w:val="0"/>
        <w:snapToGrid w:val="0"/>
        <w:spacing w:line="360" w:lineRule="auto"/>
        <w:ind w:firstLine="480" w:firstLineChars="200"/>
        <w:rPr>
          <w:sz w:val="24"/>
        </w:rPr>
      </w:pPr>
      <w:r>
        <w:rPr>
          <w:sz w:val="24"/>
        </w:rPr>
        <w:t>1</w:t>
      </w:r>
      <w:r>
        <w:rPr>
          <w:rFonts w:hint="eastAsia"/>
          <w:sz w:val="24"/>
        </w:rPr>
        <w:t>、业务办理时间：基金募集期每日的</w:t>
      </w:r>
      <w:r>
        <w:rPr>
          <w:sz w:val="24"/>
        </w:rPr>
        <w:t>9:00-16:00</w:t>
      </w:r>
      <w:r>
        <w:rPr>
          <w:rFonts w:hint="eastAsia"/>
          <w:sz w:val="24"/>
        </w:rPr>
        <w:t>（周六、周日及法定节假日不受理）。</w:t>
      </w:r>
    </w:p>
    <w:p w14:paraId="3FE533FC">
      <w:pPr>
        <w:adjustRightInd w:val="0"/>
        <w:snapToGrid w:val="0"/>
        <w:spacing w:line="360" w:lineRule="auto"/>
        <w:ind w:firstLine="480" w:firstLineChars="200"/>
        <w:rPr>
          <w:sz w:val="24"/>
        </w:rPr>
      </w:pPr>
      <w:r>
        <w:rPr>
          <w:sz w:val="24"/>
        </w:rPr>
        <w:t>2</w:t>
      </w:r>
      <w:r>
        <w:rPr>
          <w:rFonts w:hint="eastAsia"/>
          <w:sz w:val="24"/>
        </w:rPr>
        <w:t>、一般机构投资者办理开户和认购申请时，应由指定经办人赴直销网点或寄送、传真并提供下列资料：</w:t>
      </w:r>
    </w:p>
    <w:p w14:paraId="07812392">
      <w:pPr>
        <w:adjustRightInd w:val="0"/>
        <w:snapToGrid w:val="0"/>
        <w:spacing w:line="360" w:lineRule="auto"/>
        <w:ind w:firstLine="480" w:firstLineChars="200"/>
        <w:rPr>
          <w:sz w:val="24"/>
        </w:rPr>
      </w:pPr>
      <w:r>
        <w:rPr>
          <w:rFonts w:hint="eastAsia"/>
          <w:sz w:val="24"/>
        </w:rPr>
        <w:t>1）加盖公章或者预留印鉴章、经办人签字的《基金投资者风险测评问卷（机构）》；</w:t>
      </w:r>
    </w:p>
    <w:p w14:paraId="03407909">
      <w:pPr>
        <w:adjustRightInd w:val="0"/>
        <w:snapToGrid w:val="0"/>
        <w:spacing w:line="360" w:lineRule="auto"/>
        <w:ind w:firstLine="480" w:firstLineChars="200"/>
        <w:rPr>
          <w:sz w:val="24"/>
        </w:rPr>
      </w:pPr>
      <w:r>
        <w:rPr>
          <w:rFonts w:hint="eastAsia"/>
          <w:sz w:val="24"/>
        </w:rPr>
        <w:t>2）加盖公章、经办人签字的《证券投资基金投资人权益须知》；</w:t>
      </w:r>
    </w:p>
    <w:p w14:paraId="0A52CF97">
      <w:pPr>
        <w:adjustRightInd w:val="0"/>
        <w:snapToGrid w:val="0"/>
        <w:spacing w:line="360" w:lineRule="auto"/>
        <w:ind w:firstLine="480" w:firstLineChars="200"/>
        <w:rPr>
          <w:sz w:val="24"/>
        </w:rPr>
      </w:pPr>
      <w:r>
        <w:rPr>
          <w:rFonts w:hint="eastAsia"/>
          <w:sz w:val="24"/>
        </w:rPr>
        <w:t>3）加盖公章的上海A股股东代码卡或证券投资基金账户代码卡复印件（如有）；</w:t>
      </w:r>
    </w:p>
    <w:p w14:paraId="14A98914">
      <w:pPr>
        <w:adjustRightInd w:val="0"/>
        <w:snapToGrid w:val="0"/>
        <w:spacing w:line="360" w:lineRule="auto"/>
        <w:ind w:firstLine="480" w:firstLineChars="200"/>
        <w:rPr>
          <w:sz w:val="24"/>
        </w:rPr>
      </w:pPr>
      <w:r>
        <w:rPr>
          <w:rFonts w:hint="eastAsia"/>
          <w:sz w:val="24"/>
        </w:rPr>
        <w:t>4）加盖公章的企业法人营业执照复印件副本（三证合一版本）；事业法人、社会团体或其他组织请提供民政部门或主管部门颁发的加盖单位公章的注册登记证书复印件（需有最新的年检记录）；</w:t>
      </w:r>
    </w:p>
    <w:p w14:paraId="2228E2F3">
      <w:pPr>
        <w:adjustRightInd w:val="0"/>
        <w:snapToGrid w:val="0"/>
        <w:spacing w:line="360" w:lineRule="auto"/>
        <w:ind w:firstLine="480" w:firstLineChars="200"/>
        <w:rPr>
          <w:sz w:val="24"/>
        </w:rPr>
      </w:pPr>
      <w:r>
        <w:rPr>
          <w:rFonts w:hint="eastAsia"/>
          <w:sz w:val="24"/>
        </w:rPr>
        <w:t>5）加盖公章、法人章、经办人签字的《CRS机构税收居民身份声明文件》（如机构类型为消极非金融机构，需要额外提供加盖公章、法人章、经办人签字的《CRS机构控制人税收居民身份声明文件》）；</w:t>
      </w:r>
    </w:p>
    <w:p w14:paraId="6C644FE9">
      <w:pPr>
        <w:adjustRightInd w:val="0"/>
        <w:snapToGrid w:val="0"/>
        <w:spacing w:line="360" w:lineRule="auto"/>
        <w:ind w:firstLine="480" w:firstLineChars="200"/>
        <w:rPr>
          <w:sz w:val="24"/>
        </w:rPr>
      </w:pPr>
      <w:r>
        <w:rPr>
          <w:rFonts w:hint="eastAsia"/>
          <w:sz w:val="24"/>
        </w:rPr>
        <w:t>6）加盖公章、法人章、经办人签字的《机构客户纳税身份声明文件》；</w:t>
      </w:r>
    </w:p>
    <w:p w14:paraId="73D33609">
      <w:pPr>
        <w:adjustRightInd w:val="0"/>
        <w:snapToGrid w:val="0"/>
        <w:spacing w:line="360" w:lineRule="auto"/>
        <w:ind w:firstLine="480" w:firstLineChars="200"/>
        <w:rPr>
          <w:sz w:val="24"/>
        </w:rPr>
      </w:pPr>
      <w:r>
        <w:rPr>
          <w:rFonts w:hint="eastAsia"/>
          <w:sz w:val="24"/>
        </w:rPr>
        <w:t>7）加盖公章、法人章、经办人签字的《交银施罗德基金业务授权委托书》；</w:t>
      </w:r>
    </w:p>
    <w:p w14:paraId="17A91295">
      <w:pPr>
        <w:adjustRightInd w:val="0"/>
        <w:snapToGrid w:val="0"/>
        <w:spacing w:line="360" w:lineRule="auto"/>
        <w:ind w:firstLine="480" w:firstLineChars="200"/>
        <w:rPr>
          <w:sz w:val="24"/>
        </w:rPr>
      </w:pPr>
      <w:r>
        <w:rPr>
          <w:rFonts w:hint="eastAsia"/>
          <w:sz w:val="24"/>
        </w:rPr>
        <w:t>8）加盖公章的经办人、法定代表人有效身份证件复印件（正反面）；</w:t>
      </w:r>
    </w:p>
    <w:p w14:paraId="29F0F979">
      <w:pPr>
        <w:adjustRightInd w:val="0"/>
        <w:snapToGrid w:val="0"/>
        <w:spacing w:line="360" w:lineRule="auto"/>
        <w:ind w:firstLine="480" w:firstLineChars="200"/>
        <w:rPr>
          <w:sz w:val="24"/>
        </w:rPr>
      </w:pPr>
      <w:r>
        <w:rPr>
          <w:rFonts w:hint="eastAsia"/>
          <w:sz w:val="24"/>
        </w:rPr>
        <w:t>9）印鉴卡一式两份（一份机构留存，一份本直销柜台留存，预留印鉴盖章人的盖公章证件需要提供）；</w:t>
      </w:r>
    </w:p>
    <w:p w14:paraId="4ED52AF3">
      <w:pPr>
        <w:adjustRightInd w:val="0"/>
        <w:snapToGrid w:val="0"/>
        <w:spacing w:line="360" w:lineRule="auto"/>
        <w:ind w:firstLine="480" w:firstLineChars="200"/>
        <w:rPr>
          <w:sz w:val="24"/>
        </w:rPr>
      </w:pPr>
      <w:r>
        <w:rPr>
          <w:rFonts w:hint="eastAsia"/>
          <w:sz w:val="24"/>
        </w:rPr>
        <w:t>10）指定银行账户的银行《开户许可证》或《开立银行账户申请表》复印件（或指定银行出具的开户证明），需清楚显示开户银行、账户名、账号并加盖公章；机构投资者并需提供有效的账户凭证，以证明所提交的有效身份证件与其开立该指定银行账户时登记的证件一致；</w:t>
      </w:r>
    </w:p>
    <w:p w14:paraId="0A1D52D5">
      <w:pPr>
        <w:adjustRightInd w:val="0"/>
        <w:snapToGrid w:val="0"/>
        <w:spacing w:line="360" w:lineRule="auto"/>
        <w:ind w:firstLine="480" w:firstLineChars="200"/>
        <w:rPr>
          <w:sz w:val="24"/>
        </w:rPr>
      </w:pPr>
      <w:r>
        <w:rPr>
          <w:rFonts w:hint="eastAsia"/>
          <w:sz w:val="24"/>
        </w:rPr>
        <w:t>11）加盖公章、法人章、经办人签字并填妥的《开放式基金账户业务申请表》两份；</w:t>
      </w:r>
    </w:p>
    <w:p w14:paraId="65247B6A">
      <w:pPr>
        <w:adjustRightInd w:val="0"/>
        <w:snapToGrid w:val="0"/>
        <w:spacing w:line="360" w:lineRule="auto"/>
        <w:ind w:firstLine="480" w:firstLineChars="200"/>
        <w:rPr>
          <w:sz w:val="24"/>
        </w:rPr>
      </w:pPr>
      <w:r>
        <w:rPr>
          <w:rFonts w:hint="eastAsia"/>
          <w:sz w:val="24"/>
        </w:rPr>
        <w:t>12）加盖公章并填妥的《传真委托协议书》两份并加盖公章（如需开通）。</w:t>
      </w:r>
    </w:p>
    <w:p w14:paraId="15A90E04">
      <w:pPr>
        <w:adjustRightInd w:val="0"/>
        <w:snapToGrid w:val="0"/>
        <w:spacing w:line="360" w:lineRule="auto"/>
        <w:ind w:firstLine="480" w:firstLineChars="200"/>
        <w:rPr>
          <w:sz w:val="24"/>
        </w:rPr>
      </w:pPr>
      <w:r>
        <w:rPr>
          <w:rFonts w:hint="eastAsia"/>
          <w:sz w:val="24"/>
        </w:rPr>
        <w:t>13）加盖公章的公司股权架构信息、高管信息的文件</w:t>
      </w:r>
    </w:p>
    <w:p w14:paraId="385F76DE">
      <w:pPr>
        <w:adjustRightInd w:val="0"/>
        <w:snapToGrid w:val="0"/>
        <w:spacing w:line="360" w:lineRule="auto"/>
        <w:ind w:firstLine="480" w:firstLineChars="200"/>
        <w:rPr>
          <w:sz w:val="24"/>
        </w:rPr>
      </w:pPr>
      <w:r>
        <w:rPr>
          <w:rFonts w:hint="eastAsia"/>
          <w:sz w:val="24"/>
        </w:rPr>
        <w:t>14）加盖公章的公司金融许可证/业务许可证等证明</w:t>
      </w:r>
    </w:p>
    <w:p w14:paraId="3F1C5ADB">
      <w:pPr>
        <w:adjustRightInd w:val="0"/>
        <w:snapToGrid w:val="0"/>
        <w:spacing w:line="360" w:lineRule="auto"/>
        <w:ind w:firstLine="480" w:firstLineChars="200"/>
        <w:rPr>
          <w:sz w:val="24"/>
        </w:rPr>
      </w:pPr>
      <w:r>
        <w:rPr>
          <w:rFonts w:hint="eastAsia"/>
          <w:sz w:val="24"/>
        </w:rPr>
        <w:t>15）加盖公章的受益所有人信息登记表，并更具表单填写内容提供相关人员加盖公章的身份证正反面复印件及说明文件</w:t>
      </w:r>
    </w:p>
    <w:p w14:paraId="5DB352F3">
      <w:pPr>
        <w:adjustRightInd w:val="0"/>
        <w:snapToGrid w:val="0"/>
        <w:spacing w:line="360" w:lineRule="auto"/>
        <w:ind w:firstLine="480" w:firstLineChars="200"/>
        <w:rPr>
          <w:sz w:val="24"/>
        </w:rPr>
      </w:pPr>
      <w:r>
        <w:rPr>
          <w:rFonts w:hint="eastAsia"/>
          <w:sz w:val="24"/>
        </w:rPr>
        <w:t>注：“指定银行账户”是指：在本直销网点认购基金的投资者需指定一银行账户作为投资者赎回、分红等资金结算汇入账户。此账户可为投资者在任一商业银行的存款账户。</w:t>
      </w:r>
    </w:p>
    <w:p w14:paraId="3B2ED06F">
      <w:pPr>
        <w:adjustRightInd w:val="0"/>
        <w:snapToGrid w:val="0"/>
        <w:spacing w:line="360" w:lineRule="auto"/>
        <w:ind w:left="420" w:leftChars="200"/>
        <w:rPr>
          <w:sz w:val="24"/>
        </w:rPr>
      </w:pPr>
      <w:r>
        <w:rPr>
          <w:rFonts w:hint="eastAsia"/>
          <w:sz w:val="24"/>
        </w:rPr>
        <w:t>其他年金账户、信托账户等开户所需材料，具体请见《直销业务办理指南》。</w:t>
      </w:r>
      <w:r>
        <w:rPr>
          <w:sz w:val="24"/>
        </w:rPr>
        <w:t>3</w:t>
      </w:r>
      <w:r>
        <w:rPr>
          <w:rFonts w:hint="eastAsia"/>
          <w:sz w:val="24"/>
        </w:rPr>
        <w:t>、认购资金的划拨程序：</w:t>
      </w:r>
    </w:p>
    <w:p w14:paraId="248D2286">
      <w:pPr>
        <w:adjustRightInd w:val="0"/>
        <w:snapToGrid w:val="0"/>
        <w:spacing w:line="360" w:lineRule="auto"/>
        <w:ind w:firstLine="480" w:firstLineChars="200"/>
        <w:rPr>
          <w:sz w:val="24"/>
        </w:rPr>
      </w:pPr>
      <w:r>
        <w:rPr>
          <w:rFonts w:hint="eastAsia"/>
          <w:sz w:val="24"/>
        </w:rPr>
        <w:t>（</w:t>
      </w:r>
      <w:r>
        <w:rPr>
          <w:sz w:val="24"/>
        </w:rPr>
        <w:t>1</w:t>
      </w:r>
      <w:r>
        <w:rPr>
          <w:rFonts w:hint="eastAsia"/>
          <w:sz w:val="24"/>
        </w:rPr>
        <w:t>）机构投资者开户后，在办理认购手续前，应将足额资金通过银行系统汇入本公司指定的下列银行账户，并确保资金于交易日下午</w:t>
      </w:r>
      <w:r>
        <w:rPr>
          <w:sz w:val="24"/>
        </w:rPr>
        <w:t>16:00</w:t>
      </w:r>
      <w:r>
        <w:rPr>
          <w:rFonts w:hint="eastAsia"/>
          <w:sz w:val="24"/>
        </w:rPr>
        <w:t>之前已经划出：</w:t>
      </w:r>
    </w:p>
    <w:p w14:paraId="098E9AEA">
      <w:pPr>
        <w:adjustRightInd w:val="0"/>
        <w:snapToGrid w:val="0"/>
        <w:spacing w:line="360" w:lineRule="auto"/>
        <w:ind w:firstLine="480" w:firstLineChars="200"/>
        <w:rPr>
          <w:sz w:val="24"/>
        </w:rPr>
      </w:pPr>
      <w:r>
        <w:rPr>
          <w:rFonts w:hint="eastAsia"/>
          <w:sz w:val="24"/>
        </w:rPr>
        <w:t>户名：交银施罗德基金管理有限公司直销专户</w:t>
      </w:r>
    </w:p>
    <w:p w14:paraId="429C61BE">
      <w:pPr>
        <w:adjustRightInd w:val="0"/>
        <w:snapToGrid w:val="0"/>
        <w:spacing w:line="360" w:lineRule="auto"/>
        <w:ind w:firstLine="480" w:firstLineChars="200"/>
        <w:rPr>
          <w:sz w:val="24"/>
        </w:rPr>
      </w:pPr>
      <w:r>
        <w:rPr>
          <w:rFonts w:hint="eastAsia"/>
          <w:sz w:val="24"/>
        </w:rPr>
        <w:t>开户行：交通银行股份有限公司上海市分行交银大厦支行</w:t>
      </w:r>
    </w:p>
    <w:p w14:paraId="14FAA2DA">
      <w:pPr>
        <w:adjustRightInd w:val="0"/>
        <w:snapToGrid w:val="0"/>
        <w:spacing w:line="360" w:lineRule="auto"/>
        <w:ind w:firstLine="480" w:firstLineChars="200"/>
        <w:rPr>
          <w:sz w:val="24"/>
        </w:rPr>
      </w:pPr>
      <w:r>
        <w:rPr>
          <w:rFonts w:hint="eastAsia"/>
          <w:sz w:val="24"/>
        </w:rPr>
        <w:t>账号：</w:t>
      </w:r>
      <w:r>
        <w:rPr>
          <w:sz w:val="24"/>
        </w:rPr>
        <w:t>310066577018150012847</w:t>
      </w:r>
    </w:p>
    <w:p w14:paraId="75B8AC78">
      <w:pPr>
        <w:adjustRightInd w:val="0"/>
        <w:snapToGrid w:val="0"/>
        <w:spacing w:line="360" w:lineRule="auto"/>
        <w:ind w:firstLine="480" w:firstLineChars="200"/>
        <w:rPr>
          <w:sz w:val="24"/>
        </w:rPr>
      </w:pPr>
      <w:r>
        <w:rPr>
          <w:rFonts w:hint="eastAsia"/>
          <w:sz w:val="24"/>
        </w:rPr>
        <w:t>或者：</w:t>
      </w:r>
    </w:p>
    <w:p w14:paraId="1D469794">
      <w:pPr>
        <w:adjustRightInd w:val="0"/>
        <w:snapToGrid w:val="0"/>
        <w:spacing w:line="360" w:lineRule="auto"/>
        <w:ind w:firstLine="480" w:firstLineChars="200"/>
        <w:rPr>
          <w:sz w:val="24"/>
        </w:rPr>
      </w:pPr>
      <w:r>
        <w:rPr>
          <w:rFonts w:hint="eastAsia"/>
          <w:sz w:val="24"/>
        </w:rPr>
        <w:t>户名：交银施罗德基金管理有限公司直销专户</w:t>
      </w:r>
    </w:p>
    <w:p w14:paraId="103F31DA">
      <w:pPr>
        <w:adjustRightInd w:val="0"/>
        <w:snapToGrid w:val="0"/>
        <w:spacing w:line="360" w:lineRule="auto"/>
        <w:ind w:firstLine="480" w:firstLineChars="200"/>
        <w:rPr>
          <w:sz w:val="24"/>
        </w:rPr>
      </w:pPr>
      <w:r>
        <w:rPr>
          <w:rFonts w:hint="eastAsia"/>
          <w:sz w:val="24"/>
        </w:rPr>
        <w:t>开户行：中国工商银行股份有限公司上海市分行营业部</w:t>
      </w:r>
    </w:p>
    <w:p w14:paraId="7A742967">
      <w:pPr>
        <w:adjustRightInd w:val="0"/>
        <w:snapToGrid w:val="0"/>
        <w:spacing w:line="360" w:lineRule="auto"/>
        <w:ind w:firstLine="480" w:firstLineChars="200"/>
        <w:rPr>
          <w:sz w:val="24"/>
        </w:rPr>
      </w:pPr>
      <w:r>
        <w:rPr>
          <w:rFonts w:hint="eastAsia"/>
          <w:sz w:val="24"/>
        </w:rPr>
        <w:t>账号：</w:t>
      </w:r>
      <w:r>
        <w:rPr>
          <w:sz w:val="24"/>
        </w:rPr>
        <w:t>1001202919025740042</w:t>
      </w:r>
    </w:p>
    <w:p w14:paraId="7FBFDC7B">
      <w:pPr>
        <w:adjustRightInd w:val="0"/>
        <w:snapToGrid w:val="0"/>
        <w:spacing w:line="360" w:lineRule="auto"/>
        <w:ind w:firstLine="480" w:firstLineChars="200"/>
        <w:rPr>
          <w:sz w:val="24"/>
        </w:rPr>
      </w:pPr>
      <w:r>
        <w:rPr>
          <w:rFonts w:hint="eastAsia"/>
          <w:sz w:val="24"/>
        </w:rPr>
        <w:t>或者：</w:t>
      </w:r>
    </w:p>
    <w:p w14:paraId="30D21885">
      <w:pPr>
        <w:adjustRightInd w:val="0"/>
        <w:snapToGrid w:val="0"/>
        <w:spacing w:line="360" w:lineRule="auto"/>
        <w:ind w:firstLine="480" w:firstLineChars="200"/>
        <w:rPr>
          <w:sz w:val="24"/>
        </w:rPr>
      </w:pPr>
      <w:r>
        <w:rPr>
          <w:rFonts w:hint="eastAsia"/>
          <w:sz w:val="24"/>
        </w:rPr>
        <w:t>户名：交银施罗德基金管理有限公司直销专户</w:t>
      </w:r>
    </w:p>
    <w:p w14:paraId="4CAE201E">
      <w:pPr>
        <w:adjustRightInd w:val="0"/>
        <w:snapToGrid w:val="0"/>
        <w:spacing w:line="360" w:lineRule="auto"/>
        <w:ind w:firstLine="480" w:firstLineChars="200"/>
        <w:rPr>
          <w:sz w:val="24"/>
        </w:rPr>
      </w:pPr>
      <w:r>
        <w:rPr>
          <w:rFonts w:hint="eastAsia"/>
          <w:sz w:val="24"/>
        </w:rPr>
        <w:t>开户行：中国建设银行股份有限公司上海浦东分行</w:t>
      </w:r>
    </w:p>
    <w:p w14:paraId="14FA7945">
      <w:pPr>
        <w:adjustRightInd w:val="0"/>
        <w:snapToGrid w:val="0"/>
        <w:spacing w:line="360" w:lineRule="auto"/>
        <w:ind w:firstLine="480" w:firstLineChars="200"/>
        <w:rPr>
          <w:sz w:val="24"/>
        </w:rPr>
      </w:pPr>
      <w:r>
        <w:rPr>
          <w:rFonts w:hint="eastAsia"/>
          <w:sz w:val="24"/>
        </w:rPr>
        <w:t>账号：</w:t>
      </w:r>
      <w:r>
        <w:rPr>
          <w:sz w:val="24"/>
        </w:rPr>
        <w:t>31001520313050007558</w:t>
      </w:r>
    </w:p>
    <w:p w14:paraId="3981919F">
      <w:pPr>
        <w:adjustRightInd w:val="0"/>
        <w:snapToGrid w:val="0"/>
        <w:spacing w:line="360" w:lineRule="auto"/>
        <w:ind w:firstLine="480" w:firstLineChars="200"/>
        <w:rPr>
          <w:sz w:val="24"/>
        </w:rPr>
      </w:pPr>
      <w:r>
        <w:rPr>
          <w:rFonts w:hint="eastAsia"/>
          <w:sz w:val="24"/>
        </w:rPr>
        <w:t>或者：</w:t>
      </w:r>
    </w:p>
    <w:p w14:paraId="74E26844">
      <w:pPr>
        <w:adjustRightInd w:val="0"/>
        <w:snapToGrid w:val="0"/>
        <w:spacing w:line="360" w:lineRule="auto"/>
        <w:ind w:firstLine="480" w:firstLineChars="200"/>
        <w:rPr>
          <w:sz w:val="24"/>
        </w:rPr>
      </w:pPr>
      <w:r>
        <w:rPr>
          <w:rFonts w:hint="eastAsia"/>
          <w:sz w:val="24"/>
        </w:rPr>
        <w:t>户名：交银施罗德基金管理有限公司直销专户</w:t>
      </w:r>
    </w:p>
    <w:p w14:paraId="431070AE">
      <w:pPr>
        <w:adjustRightInd w:val="0"/>
        <w:snapToGrid w:val="0"/>
        <w:spacing w:line="360" w:lineRule="auto"/>
        <w:ind w:firstLine="480" w:firstLineChars="200"/>
        <w:rPr>
          <w:sz w:val="24"/>
        </w:rPr>
      </w:pPr>
      <w:r>
        <w:rPr>
          <w:rFonts w:hint="eastAsia"/>
          <w:sz w:val="24"/>
        </w:rPr>
        <w:t>开户行：中国农业银行股份有限公司上海卢湾支行</w:t>
      </w:r>
    </w:p>
    <w:p w14:paraId="58B20ACB">
      <w:pPr>
        <w:adjustRightInd w:val="0"/>
        <w:snapToGrid w:val="0"/>
        <w:spacing w:line="360" w:lineRule="auto"/>
        <w:ind w:firstLine="480" w:firstLineChars="200"/>
        <w:rPr>
          <w:sz w:val="24"/>
        </w:rPr>
      </w:pPr>
      <w:r>
        <w:rPr>
          <w:rFonts w:hint="eastAsia"/>
          <w:sz w:val="24"/>
        </w:rPr>
        <w:t>账号：</w:t>
      </w:r>
      <w:r>
        <w:rPr>
          <w:sz w:val="24"/>
        </w:rPr>
        <w:t>03492300040004421</w:t>
      </w:r>
    </w:p>
    <w:p w14:paraId="0D2EFDAA">
      <w:pPr>
        <w:tabs>
          <w:tab w:val="left" w:pos="6804"/>
        </w:tabs>
        <w:adjustRightInd w:val="0"/>
        <w:snapToGrid w:val="0"/>
        <w:spacing w:line="360" w:lineRule="auto"/>
        <w:ind w:firstLine="480" w:firstLineChars="200"/>
        <w:rPr>
          <w:sz w:val="24"/>
        </w:rPr>
      </w:pPr>
      <w:r>
        <w:rPr>
          <w:rFonts w:hint="eastAsia"/>
          <w:sz w:val="24"/>
        </w:rPr>
        <w:t>（</w:t>
      </w:r>
      <w:r>
        <w:rPr>
          <w:sz w:val="24"/>
        </w:rPr>
        <w:t>2</w:t>
      </w:r>
      <w:r>
        <w:rPr>
          <w:rFonts w:hint="eastAsia"/>
          <w:sz w:val="24"/>
        </w:rPr>
        <w:t>）汇款时，投资者必须注意以下事项：</w:t>
      </w:r>
    </w:p>
    <w:p w14:paraId="1C6F1662">
      <w:pPr>
        <w:adjustRightInd w:val="0"/>
        <w:snapToGrid w:val="0"/>
        <w:spacing w:line="360" w:lineRule="auto"/>
        <w:ind w:firstLine="480" w:firstLineChars="200"/>
        <w:rPr>
          <w:sz w:val="24"/>
        </w:rPr>
      </w:pPr>
      <w:r>
        <w:rPr>
          <w:rFonts w:hAnsi="宋体"/>
          <w:sz w:val="24"/>
        </w:rPr>
        <w:t>①</w:t>
      </w:r>
      <w:r>
        <w:rPr>
          <w:sz w:val="24"/>
        </w:rPr>
        <w:t xml:space="preserve"> </w:t>
      </w:r>
      <w:r>
        <w:rPr>
          <w:rFonts w:hint="eastAsia"/>
          <w:sz w:val="24"/>
        </w:rPr>
        <w:t>投资者应在</w:t>
      </w:r>
      <w:r>
        <w:rPr>
          <w:sz w:val="24"/>
        </w:rPr>
        <w:t>“</w:t>
      </w:r>
      <w:r>
        <w:rPr>
          <w:rFonts w:hint="eastAsia"/>
          <w:sz w:val="24"/>
        </w:rPr>
        <w:t>汇款人</w:t>
      </w:r>
      <w:r>
        <w:rPr>
          <w:sz w:val="24"/>
        </w:rPr>
        <w:t>”</w:t>
      </w:r>
      <w:r>
        <w:rPr>
          <w:rFonts w:hint="eastAsia"/>
          <w:sz w:val="24"/>
        </w:rPr>
        <w:t>栏中填写其在交银施罗德直销系统开户时登记的名称；</w:t>
      </w:r>
    </w:p>
    <w:p w14:paraId="15B8CFA5">
      <w:pPr>
        <w:adjustRightInd w:val="0"/>
        <w:snapToGrid w:val="0"/>
        <w:spacing w:line="360" w:lineRule="auto"/>
        <w:ind w:firstLine="480" w:firstLineChars="200"/>
        <w:rPr>
          <w:sz w:val="24"/>
        </w:rPr>
      </w:pPr>
      <w:r>
        <w:rPr>
          <w:rFonts w:hAnsi="宋体"/>
          <w:sz w:val="24"/>
        </w:rPr>
        <w:t>②</w:t>
      </w:r>
      <w:r>
        <w:rPr>
          <w:sz w:val="24"/>
        </w:rPr>
        <w:t xml:space="preserve"> </w:t>
      </w:r>
      <w:r>
        <w:rPr>
          <w:rFonts w:hint="eastAsia"/>
          <w:sz w:val="24"/>
        </w:rPr>
        <w:t>投资者汇款时，可提示银行柜台人员务必准确完整地传递汇款信息，包括在用途栏注明</w:t>
      </w:r>
      <w:r>
        <w:rPr>
          <w:sz w:val="24"/>
        </w:rPr>
        <w:t>“</w:t>
      </w:r>
      <w:r>
        <w:rPr>
          <w:rFonts w:hint="eastAsia"/>
          <w:sz w:val="24"/>
        </w:rPr>
        <w:t>认购</w:t>
      </w:r>
      <w:r>
        <w:rPr>
          <w:rFonts w:hint="eastAsia" w:hAnsi="宋体"/>
          <w:sz w:val="24"/>
          <w:lang w:eastAsia="zh-CN"/>
        </w:rPr>
        <w:t>交银</w:t>
      </w:r>
      <w:r>
        <w:rPr>
          <w:rFonts w:hint="eastAsia" w:hAnsi="宋体"/>
          <w:sz w:val="24"/>
          <w:lang w:val="en-US" w:eastAsia="zh-CN"/>
        </w:rPr>
        <w:t>佳盛</w:t>
      </w:r>
      <w:r>
        <w:rPr>
          <w:rFonts w:hint="eastAsia" w:hAnsi="宋体"/>
          <w:sz w:val="24"/>
          <w:lang w:eastAsia="zh-CN"/>
        </w:rPr>
        <w:t>债券</w:t>
      </w:r>
      <w:r>
        <w:rPr>
          <w:sz w:val="24"/>
        </w:rPr>
        <w:t>”</w:t>
      </w:r>
      <w:r>
        <w:rPr>
          <w:rFonts w:hint="eastAsia"/>
          <w:sz w:val="24"/>
        </w:rPr>
        <w:t>；</w:t>
      </w:r>
    </w:p>
    <w:p w14:paraId="5ADCF7CE">
      <w:pPr>
        <w:adjustRightInd w:val="0"/>
        <w:snapToGrid w:val="0"/>
        <w:spacing w:line="360" w:lineRule="auto"/>
        <w:ind w:firstLine="480" w:firstLineChars="200"/>
        <w:rPr>
          <w:sz w:val="24"/>
        </w:rPr>
      </w:pPr>
      <w:r>
        <w:rPr>
          <w:rFonts w:hAnsi="宋体"/>
          <w:sz w:val="24"/>
        </w:rPr>
        <w:t>③</w:t>
      </w:r>
      <w:r>
        <w:rPr>
          <w:sz w:val="24"/>
        </w:rPr>
        <w:t xml:space="preserve"> </w:t>
      </w:r>
      <w:r>
        <w:rPr>
          <w:rFonts w:hint="eastAsia"/>
          <w:sz w:val="24"/>
        </w:rPr>
        <w:t>为了确保投资者资金及时准确的入账，建议投资者将加盖银行业务受理章的汇款单据传真至交银施罗德直销柜台。传真号码：（</w:t>
      </w:r>
      <w:r>
        <w:rPr>
          <w:sz w:val="24"/>
        </w:rPr>
        <w:t>021</w:t>
      </w:r>
      <w:r>
        <w:rPr>
          <w:rFonts w:hint="eastAsia"/>
          <w:sz w:val="24"/>
        </w:rPr>
        <w:t>）</w:t>
      </w:r>
      <w:r>
        <w:rPr>
          <w:sz w:val="24"/>
        </w:rPr>
        <w:t>61055054</w:t>
      </w:r>
      <w:r>
        <w:rPr>
          <w:rFonts w:hint="eastAsia"/>
          <w:sz w:val="24"/>
        </w:rPr>
        <w:t>。</w:t>
      </w:r>
    </w:p>
    <w:p w14:paraId="781AA85A">
      <w:pPr>
        <w:adjustRightInd w:val="0"/>
        <w:snapToGrid w:val="0"/>
        <w:spacing w:line="360" w:lineRule="auto"/>
        <w:ind w:firstLine="482" w:firstLineChars="200"/>
        <w:rPr>
          <w:rFonts w:hAnsi="宋体"/>
          <w:b/>
          <w:sz w:val="24"/>
        </w:rPr>
      </w:pPr>
      <w:r>
        <w:rPr>
          <w:rFonts w:hint="eastAsia" w:hAnsi="宋体"/>
          <w:b/>
          <w:sz w:val="24"/>
        </w:rPr>
        <w:t>（二）各销售银行</w:t>
      </w:r>
    </w:p>
    <w:p w14:paraId="71001750">
      <w:pPr>
        <w:autoSpaceDE w:val="0"/>
        <w:autoSpaceDN w:val="0"/>
        <w:adjustRightInd w:val="0"/>
        <w:snapToGrid w:val="0"/>
        <w:spacing w:line="360" w:lineRule="auto"/>
        <w:ind w:firstLine="480" w:firstLineChars="200"/>
        <w:rPr>
          <w:sz w:val="24"/>
        </w:rPr>
      </w:pPr>
      <w:r>
        <w:rPr>
          <w:rFonts w:hint="eastAsia"/>
          <w:sz w:val="24"/>
        </w:rPr>
        <w:t>各销售银行开户和认购的相关程序以该银行相关规定为准。</w:t>
      </w:r>
    </w:p>
    <w:p w14:paraId="2CCA3B29">
      <w:pPr>
        <w:adjustRightInd w:val="0"/>
        <w:snapToGrid w:val="0"/>
        <w:spacing w:line="360" w:lineRule="auto"/>
        <w:ind w:firstLine="482" w:firstLineChars="200"/>
        <w:rPr>
          <w:rFonts w:hAnsi="宋体"/>
          <w:b/>
          <w:sz w:val="24"/>
        </w:rPr>
      </w:pPr>
      <w:r>
        <w:rPr>
          <w:rFonts w:hint="eastAsia" w:hAnsi="宋体"/>
          <w:b/>
          <w:sz w:val="24"/>
        </w:rPr>
        <w:t>（三）各销售券商</w:t>
      </w:r>
    </w:p>
    <w:p w14:paraId="7C3FB8E1">
      <w:pPr>
        <w:autoSpaceDE w:val="0"/>
        <w:autoSpaceDN w:val="0"/>
        <w:adjustRightInd w:val="0"/>
        <w:snapToGrid w:val="0"/>
        <w:spacing w:line="360" w:lineRule="auto"/>
        <w:ind w:firstLine="480" w:firstLineChars="200"/>
        <w:rPr>
          <w:sz w:val="24"/>
        </w:rPr>
      </w:pPr>
      <w:r>
        <w:rPr>
          <w:rFonts w:hint="eastAsia"/>
          <w:sz w:val="24"/>
        </w:rPr>
        <w:t>各销售券商开户和认购的相关程序以该券商相关规定为准。</w:t>
      </w:r>
    </w:p>
    <w:p w14:paraId="5A2DD144">
      <w:pPr>
        <w:adjustRightInd w:val="0"/>
        <w:snapToGrid w:val="0"/>
        <w:spacing w:line="360" w:lineRule="auto"/>
        <w:ind w:firstLine="482" w:firstLineChars="200"/>
        <w:rPr>
          <w:rFonts w:hAnsi="宋体"/>
          <w:b/>
          <w:sz w:val="24"/>
        </w:rPr>
      </w:pPr>
      <w:r>
        <w:rPr>
          <w:rFonts w:hint="eastAsia" w:hAnsi="宋体"/>
          <w:b/>
          <w:sz w:val="24"/>
        </w:rPr>
        <w:t>（四）各独立基金销售机构</w:t>
      </w:r>
    </w:p>
    <w:p w14:paraId="7FE5324B">
      <w:pPr>
        <w:pStyle w:val="4"/>
        <w:adjustRightInd w:val="0"/>
        <w:snapToGrid w:val="0"/>
      </w:pPr>
      <w:r>
        <w:rPr>
          <w:rFonts w:hint="eastAsia"/>
        </w:rPr>
        <w:t>各独立基金销售机构开户和认购的相关程序以该机构相关规定为准。</w:t>
      </w:r>
    </w:p>
    <w:p w14:paraId="202B8C65">
      <w:pPr>
        <w:keepNext/>
        <w:keepLines/>
        <w:adjustRightInd w:val="0"/>
        <w:snapToGrid w:val="0"/>
        <w:spacing w:before="240" w:after="156" w:afterLines="50" w:line="360" w:lineRule="auto"/>
        <w:jc w:val="center"/>
        <w:outlineLvl w:val="0"/>
        <w:rPr>
          <w:b/>
          <w:sz w:val="24"/>
        </w:rPr>
      </w:pPr>
      <w:r>
        <w:rPr>
          <w:rFonts w:hint="eastAsia"/>
          <w:b/>
          <w:sz w:val="24"/>
        </w:rPr>
        <w:t>五、清算与交割</w:t>
      </w:r>
    </w:p>
    <w:p w14:paraId="50A1C8B1">
      <w:pPr>
        <w:adjustRightInd w:val="0"/>
        <w:snapToGrid w:val="0"/>
        <w:spacing w:line="360" w:lineRule="auto"/>
        <w:ind w:firstLine="480" w:firstLineChars="200"/>
        <w:rPr>
          <w:sz w:val="24"/>
        </w:rPr>
      </w:pPr>
      <w:r>
        <w:rPr>
          <w:sz w:val="24"/>
        </w:rPr>
        <w:t>1</w:t>
      </w:r>
      <w:r>
        <w:rPr>
          <w:rFonts w:hint="eastAsia"/>
          <w:sz w:val="24"/>
        </w:rPr>
        <w:t>、基金合同生效前，基金募集期间募集的资金只能存入专门账户，任何人不得动用。有效认购款项在基金募集期形成的利息在基金合同生效后将折算成基金份额，归基金份额持有人所有。有效认购资金的利息及利息转份额的具体数额以登记机构的记录为准。</w:t>
      </w:r>
    </w:p>
    <w:p w14:paraId="7A5BC1E3">
      <w:pPr>
        <w:adjustRightInd w:val="0"/>
        <w:snapToGrid w:val="0"/>
        <w:spacing w:line="360" w:lineRule="auto"/>
        <w:ind w:firstLine="480" w:firstLineChars="200"/>
        <w:rPr>
          <w:rFonts w:ascii="宋体" w:hAnsi="宋体"/>
          <w:sz w:val="24"/>
        </w:rPr>
      </w:pPr>
      <w:r>
        <w:rPr>
          <w:sz w:val="24"/>
        </w:rPr>
        <w:t>2</w:t>
      </w:r>
      <w:r>
        <w:rPr>
          <w:rFonts w:hint="eastAsia"/>
          <w:sz w:val="24"/>
        </w:rPr>
        <w:t>、本基金权益登记由本基金登记机构在募集期结束后完成。</w:t>
      </w:r>
    </w:p>
    <w:p w14:paraId="5C72E3FA">
      <w:pPr>
        <w:keepNext/>
        <w:keepLines/>
        <w:adjustRightInd w:val="0"/>
        <w:snapToGrid w:val="0"/>
        <w:spacing w:before="240" w:after="156" w:afterLines="50" w:line="360" w:lineRule="auto"/>
        <w:jc w:val="center"/>
        <w:outlineLvl w:val="0"/>
        <w:rPr>
          <w:b/>
          <w:sz w:val="24"/>
        </w:rPr>
      </w:pPr>
      <w:r>
        <w:rPr>
          <w:rFonts w:hint="eastAsia"/>
          <w:b/>
          <w:sz w:val="24"/>
        </w:rPr>
        <w:t>六、退款</w:t>
      </w:r>
    </w:p>
    <w:p w14:paraId="233D8EFF">
      <w:pPr>
        <w:adjustRightInd w:val="0"/>
        <w:snapToGrid w:val="0"/>
        <w:spacing w:line="360" w:lineRule="auto"/>
        <w:ind w:firstLine="480" w:firstLineChars="200"/>
        <w:rPr>
          <w:sz w:val="24"/>
        </w:rPr>
      </w:pPr>
      <w:r>
        <w:rPr>
          <w:sz w:val="24"/>
        </w:rPr>
        <w:t>1</w:t>
      </w:r>
      <w:r>
        <w:rPr>
          <w:rFonts w:hint="eastAsia"/>
          <w:sz w:val="24"/>
        </w:rPr>
        <w:t>、个人及机构投资者认购失败（指投资人的认购申请未得到登记机构的确认）时，其认购资金将于基金合同生效之日起</w:t>
      </w:r>
      <w:r>
        <w:rPr>
          <w:sz w:val="24"/>
        </w:rPr>
        <w:t>5</w:t>
      </w:r>
      <w:r>
        <w:rPr>
          <w:rFonts w:hint="eastAsia"/>
          <w:sz w:val="24"/>
        </w:rPr>
        <w:t>个工作日内向投资人指定银行账户划出。</w:t>
      </w:r>
    </w:p>
    <w:p w14:paraId="771F1C23">
      <w:pPr>
        <w:adjustRightInd w:val="0"/>
        <w:snapToGrid w:val="0"/>
        <w:spacing w:line="360" w:lineRule="auto"/>
        <w:ind w:firstLine="480" w:firstLineChars="200"/>
        <w:rPr>
          <w:rFonts w:ascii="宋体" w:hAnsi="宋体"/>
          <w:sz w:val="24"/>
        </w:rPr>
      </w:pPr>
      <w:r>
        <w:rPr>
          <w:sz w:val="24"/>
        </w:rPr>
        <w:t>2</w:t>
      </w:r>
      <w:r>
        <w:rPr>
          <w:rFonts w:hint="eastAsia"/>
          <w:sz w:val="24"/>
        </w:rPr>
        <w:t>、在募集期结束后，如果基金合同不能生效，</w:t>
      </w:r>
      <w:r>
        <w:rPr>
          <w:rFonts w:hint="eastAsia"/>
          <w:kern w:val="0"/>
          <w:sz w:val="24"/>
        </w:rPr>
        <w:t>基金管理人应以其固有财产承担因募集行为而产生的债务和费用，在基金募集期限届满后</w:t>
      </w:r>
      <w:r>
        <w:rPr>
          <w:kern w:val="0"/>
          <w:sz w:val="24"/>
        </w:rPr>
        <w:t>30</w:t>
      </w:r>
      <w:r>
        <w:rPr>
          <w:rFonts w:hint="eastAsia"/>
          <w:kern w:val="0"/>
          <w:sz w:val="24"/>
        </w:rPr>
        <w:t>日内返还投资人已缴纳的认购款项，并加计同期银行活期存款利息</w:t>
      </w:r>
      <w:r>
        <w:rPr>
          <w:rFonts w:hint="eastAsia"/>
          <w:sz w:val="24"/>
        </w:rPr>
        <w:t>。</w:t>
      </w:r>
    </w:p>
    <w:p w14:paraId="393552D9">
      <w:pPr>
        <w:keepNext/>
        <w:keepLines/>
        <w:adjustRightInd w:val="0"/>
        <w:snapToGrid w:val="0"/>
        <w:spacing w:before="240" w:after="156" w:afterLines="50" w:line="360" w:lineRule="auto"/>
        <w:jc w:val="center"/>
        <w:outlineLvl w:val="0"/>
        <w:rPr>
          <w:rFonts w:ascii="宋体" w:hAnsi="宋体"/>
          <w:b/>
          <w:sz w:val="24"/>
        </w:rPr>
      </w:pPr>
      <w:r>
        <w:rPr>
          <w:rFonts w:hint="eastAsia"/>
          <w:b/>
          <w:sz w:val="24"/>
        </w:rPr>
        <w:t>七、基金的验资与生效</w:t>
      </w:r>
    </w:p>
    <w:p w14:paraId="27731BD7">
      <w:pPr>
        <w:adjustRightInd w:val="0"/>
        <w:snapToGrid w:val="0"/>
        <w:spacing w:line="360" w:lineRule="auto"/>
        <w:ind w:firstLine="480" w:firstLineChars="200"/>
        <w:rPr>
          <w:sz w:val="24"/>
        </w:rPr>
      </w:pPr>
      <w:r>
        <w:rPr>
          <w:rFonts w:hint="eastAsia"/>
          <w:sz w:val="24"/>
        </w:rPr>
        <w:t>本基金募集期满，达到合同规定的条件，基金合同方可生效。</w:t>
      </w:r>
    </w:p>
    <w:p w14:paraId="3146D514">
      <w:pPr>
        <w:adjustRightInd w:val="0"/>
        <w:snapToGrid w:val="0"/>
        <w:spacing w:line="360" w:lineRule="auto"/>
        <w:ind w:firstLine="480" w:firstLineChars="200"/>
        <w:rPr>
          <w:sz w:val="24"/>
        </w:rPr>
      </w:pPr>
      <w:r>
        <w:rPr>
          <w:sz w:val="24"/>
        </w:rPr>
        <w:t>1</w:t>
      </w:r>
      <w:r>
        <w:rPr>
          <w:rFonts w:hint="eastAsia"/>
          <w:sz w:val="24"/>
        </w:rPr>
        <w:t>、募集期届满后，根据登记机构确认的认购数据，基金管理人将本基金的有效认购资金和认购资金在募集期所产生利息扣除认购费用后一并划入本基金存款账户。由登记机构出具认购户数证明，本基金存款账户开户行出具基金存款证明后，基金管理人委托具有资格的会计师事务所对基金财产进行验资并出具报告。</w:t>
      </w:r>
    </w:p>
    <w:p w14:paraId="4CF05C32">
      <w:pPr>
        <w:adjustRightInd w:val="0"/>
        <w:snapToGrid w:val="0"/>
        <w:spacing w:line="360" w:lineRule="auto"/>
        <w:ind w:firstLine="480" w:firstLineChars="200"/>
        <w:rPr>
          <w:sz w:val="24"/>
        </w:rPr>
      </w:pPr>
      <w:r>
        <w:rPr>
          <w:sz w:val="24"/>
        </w:rPr>
        <w:t>2</w:t>
      </w:r>
      <w:r>
        <w:rPr>
          <w:rFonts w:hint="eastAsia"/>
          <w:sz w:val="24"/>
        </w:rPr>
        <w:t>、本基金自基金份额发售之日起</w:t>
      </w:r>
      <w:r>
        <w:rPr>
          <w:sz w:val="24"/>
        </w:rPr>
        <w:t>3</w:t>
      </w:r>
      <w:r>
        <w:rPr>
          <w:rFonts w:hint="eastAsia"/>
          <w:sz w:val="24"/>
        </w:rPr>
        <w:t>个月内，若基金募集份额总额不少于</w:t>
      </w:r>
      <w:r>
        <w:rPr>
          <w:sz w:val="24"/>
        </w:rPr>
        <w:t>2</w:t>
      </w:r>
      <w:r>
        <w:rPr>
          <w:rFonts w:hint="eastAsia"/>
          <w:sz w:val="24"/>
        </w:rPr>
        <w:t>亿份，基金募集金额不少于</w:t>
      </w:r>
      <w:r>
        <w:rPr>
          <w:sz w:val="24"/>
        </w:rPr>
        <w:t>2</w:t>
      </w:r>
      <w:r>
        <w:rPr>
          <w:rFonts w:hint="eastAsia"/>
          <w:sz w:val="24"/>
        </w:rPr>
        <w:t>亿元人民币，基金认购人数不少于</w:t>
      </w:r>
      <w:r>
        <w:rPr>
          <w:sz w:val="24"/>
        </w:rPr>
        <w:t>200</w:t>
      </w:r>
      <w:r>
        <w:rPr>
          <w:rFonts w:hint="eastAsia"/>
          <w:sz w:val="24"/>
        </w:rPr>
        <w:t>人的，基金管理人依据法律法规及招募说明书的规定可以决定停止基金发售。基金管理人在募集期间达到上述基金备案条件，应当自基金募集期结束之日起</w:t>
      </w:r>
      <w:r>
        <w:rPr>
          <w:sz w:val="24"/>
        </w:rPr>
        <w:t>10</w:t>
      </w:r>
      <w:r>
        <w:rPr>
          <w:rFonts w:hint="eastAsia"/>
          <w:sz w:val="24"/>
        </w:rPr>
        <w:t>日内聘请法定验资机构验资，自收到验资报告之日起</w:t>
      </w:r>
      <w:r>
        <w:rPr>
          <w:sz w:val="24"/>
        </w:rPr>
        <w:t>10</w:t>
      </w:r>
      <w:r>
        <w:rPr>
          <w:rFonts w:hint="eastAsia"/>
          <w:sz w:val="24"/>
        </w:rPr>
        <w:t>日内，向中国证监会提交验资报告，办理基金备案手续。自中国证监会书面确认之日起，基金备案手续办理完毕，基金合同生效。</w:t>
      </w:r>
    </w:p>
    <w:p w14:paraId="374555E5">
      <w:pPr>
        <w:adjustRightInd w:val="0"/>
        <w:snapToGrid w:val="0"/>
        <w:spacing w:line="360" w:lineRule="auto"/>
        <w:ind w:firstLine="480" w:firstLineChars="200"/>
        <w:rPr>
          <w:sz w:val="24"/>
        </w:rPr>
      </w:pPr>
      <w:r>
        <w:rPr>
          <w:sz w:val="24"/>
        </w:rPr>
        <w:t>3</w:t>
      </w:r>
      <w:r>
        <w:rPr>
          <w:rFonts w:hint="eastAsia"/>
          <w:sz w:val="24"/>
        </w:rPr>
        <w:t>、基金管理人应当在收到中国证监会确认文件的次日对基金合同生效事宜予以公告。</w:t>
      </w:r>
    </w:p>
    <w:p w14:paraId="22212048">
      <w:pPr>
        <w:keepNext/>
        <w:keepLines/>
        <w:adjustRightInd w:val="0"/>
        <w:snapToGrid w:val="0"/>
        <w:spacing w:before="312" w:beforeLines="100" w:after="156" w:afterLines="50" w:line="360" w:lineRule="auto"/>
        <w:jc w:val="center"/>
        <w:outlineLvl w:val="0"/>
        <w:rPr>
          <w:b/>
          <w:sz w:val="24"/>
        </w:rPr>
      </w:pPr>
      <w:r>
        <w:rPr>
          <w:rFonts w:hint="eastAsia"/>
          <w:b/>
          <w:sz w:val="24"/>
        </w:rPr>
        <w:t>八、基金合同生效前的费用处理</w:t>
      </w:r>
    </w:p>
    <w:p w14:paraId="1D7B75B9">
      <w:pPr>
        <w:adjustRightInd w:val="0"/>
        <w:snapToGrid w:val="0"/>
        <w:spacing w:line="360" w:lineRule="auto"/>
        <w:ind w:firstLine="480" w:firstLineChars="200"/>
        <w:rPr>
          <w:rFonts w:ascii="宋体" w:hAnsi="宋体"/>
          <w:sz w:val="24"/>
        </w:rPr>
      </w:pPr>
      <w:r>
        <w:rPr>
          <w:rFonts w:hint="eastAsia" w:hAnsi="宋体"/>
          <w:sz w:val="24"/>
        </w:rPr>
        <w:t>基金合同生效前发生的与基金募集活动有关的费用，包括信息披露费、律师费、会计师费以及其他费用，不得从基金财产中列支。</w:t>
      </w:r>
    </w:p>
    <w:p w14:paraId="28F16AD1">
      <w:pPr>
        <w:keepNext/>
        <w:keepLines/>
        <w:adjustRightInd w:val="0"/>
        <w:snapToGrid w:val="0"/>
        <w:spacing w:before="312" w:beforeLines="100" w:after="156" w:afterLines="50" w:line="360" w:lineRule="auto"/>
        <w:jc w:val="center"/>
        <w:outlineLvl w:val="0"/>
        <w:rPr>
          <w:b/>
          <w:sz w:val="24"/>
        </w:rPr>
      </w:pPr>
      <w:r>
        <w:rPr>
          <w:rFonts w:hint="eastAsia"/>
          <w:b/>
          <w:sz w:val="24"/>
        </w:rPr>
        <w:t>九、本次募集当事人或中介机构</w:t>
      </w:r>
    </w:p>
    <w:p w14:paraId="4E7099FE">
      <w:pPr>
        <w:adjustRightInd w:val="0"/>
        <w:snapToGrid w:val="0"/>
        <w:spacing w:line="360" w:lineRule="auto"/>
        <w:ind w:firstLine="482" w:firstLineChars="200"/>
        <w:rPr>
          <w:rFonts w:hAnsi="宋体"/>
          <w:b/>
          <w:sz w:val="24"/>
        </w:rPr>
      </w:pPr>
      <w:r>
        <w:rPr>
          <w:rFonts w:hint="eastAsia" w:hAnsi="宋体"/>
          <w:b/>
          <w:sz w:val="24"/>
        </w:rPr>
        <w:t>（一）基金管理人</w:t>
      </w:r>
    </w:p>
    <w:p w14:paraId="2F60F095">
      <w:pPr>
        <w:adjustRightInd w:val="0"/>
        <w:snapToGrid w:val="0"/>
        <w:spacing w:line="360" w:lineRule="auto"/>
        <w:ind w:firstLine="480" w:firstLineChars="200"/>
        <w:rPr>
          <w:sz w:val="24"/>
        </w:rPr>
      </w:pPr>
      <w:r>
        <w:rPr>
          <w:rFonts w:hint="eastAsia"/>
          <w:sz w:val="24"/>
        </w:rPr>
        <w:t>名称：交银施罗德基金管理有限公司</w:t>
      </w:r>
    </w:p>
    <w:p w14:paraId="71A9349A">
      <w:pPr>
        <w:adjustRightInd w:val="0"/>
        <w:snapToGrid w:val="0"/>
        <w:spacing w:line="360" w:lineRule="auto"/>
        <w:ind w:firstLine="480" w:firstLineChars="200"/>
        <w:rPr>
          <w:sz w:val="24"/>
        </w:rPr>
      </w:pPr>
      <w:r>
        <w:rPr>
          <w:rFonts w:hint="eastAsia"/>
          <w:sz w:val="24"/>
        </w:rPr>
        <w:t>住所：中国（上海）自由贸易试验区银城中路</w:t>
      </w:r>
      <w:r>
        <w:rPr>
          <w:sz w:val="24"/>
        </w:rPr>
        <w:t>188</w:t>
      </w:r>
      <w:r>
        <w:rPr>
          <w:rFonts w:hint="eastAsia"/>
          <w:sz w:val="24"/>
        </w:rPr>
        <w:t>号交通银行大楼二层（裙）</w:t>
      </w:r>
    </w:p>
    <w:p w14:paraId="51E19FEB">
      <w:pPr>
        <w:widowControl/>
        <w:adjustRightInd w:val="0"/>
        <w:snapToGrid w:val="0"/>
        <w:spacing w:line="360" w:lineRule="auto"/>
        <w:ind w:firstLine="480" w:firstLineChars="200"/>
        <w:jc w:val="left"/>
        <w:rPr>
          <w:kern w:val="0"/>
          <w:sz w:val="24"/>
        </w:rPr>
      </w:pPr>
      <w:r>
        <w:rPr>
          <w:rFonts w:hint="eastAsia"/>
          <w:sz w:val="24"/>
        </w:rPr>
        <w:t>办公地址：</w:t>
      </w:r>
      <w:r>
        <w:rPr>
          <w:rFonts w:hAnsi="宋体"/>
          <w:kern w:val="0"/>
          <w:sz w:val="24"/>
        </w:rPr>
        <w:t>上海</w:t>
      </w:r>
      <w:r>
        <w:rPr>
          <w:rFonts w:hint="eastAsia" w:hAnsi="宋体"/>
          <w:kern w:val="0"/>
          <w:sz w:val="24"/>
        </w:rPr>
        <w:t>浦东新区世纪大道</w:t>
      </w:r>
      <w:r>
        <w:rPr>
          <w:rFonts w:hAnsi="宋体"/>
          <w:kern w:val="0"/>
          <w:sz w:val="24"/>
        </w:rPr>
        <w:t>8</w:t>
      </w:r>
      <w:r>
        <w:rPr>
          <w:rFonts w:hint="eastAsia" w:hAnsi="宋体"/>
          <w:kern w:val="0"/>
          <w:sz w:val="24"/>
        </w:rPr>
        <w:t>号国金中心二期</w:t>
      </w:r>
      <w:r>
        <w:rPr>
          <w:rFonts w:hAnsi="宋体"/>
          <w:kern w:val="0"/>
          <w:sz w:val="24"/>
        </w:rPr>
        <w:t>21-22</w:t>
      </w:r>
      <w:r>
        <w:rPr>
          <w:rFonts w:hint="eastAsia" w:hAnsi="宋体"/>
          <w:kern w:val="0"/>
          <w:sz w:val="24"/>
        </w:rPr>
        <w:t>楼</w:t>
      </w:r>
    </w:p>
    <w:p w14:paraId="19DF445B">
      <w:pPr>
        <w:adjustRightInd w:val="0"/>
        <w:snapToGrid w:val="0"/>
        <w:spacing w:line="360" w:lineRule="auto"/>
        <w:ind w:firstLine="480" w:firstLineChars="200"/>
        <w:rPr>
          <w:sz w:val="24"/>
        </w:rPr>
      </w:pPr>
      <w:r>
        <w:rPr>
          <w:rFonts w:hint="eastAsia"/>
          <w:sz w:val="24"/>
        </w:rPr>
        <w:t>邮政编码：</w:t>
      </w:r>
      <w:r>
        <w:rPr>
          <w:sz w:val="24"/>
        </w:rPr>
        <w:t>200120</w:t>
      </w:r>
    </w:p>
    <w:p w14:paraId="4ACF9154">
      <w:pPr>
        <w:adjustRightInd w:val="0"/>
        <w:snapToGrid w:val="0"/>
        <w:spacing w:line="360" w:lineRule="auto"/>
        <w:ind w:firstLine="480" w:firstLineChars="200"/>
        <w:rPr>
          <w:sz w:val="24"/>
        </w:rPr>
      </w:pPr>
      <w:r>
        <w:rPr>
          <w:rFonts w:hint="eastAsia"/>
          <w:sz w:val="24"/>
        </w:rPr>
        <w:t>法定代表人：</w:t>
      </w:r>
      <w:r>
        <w:rPr>
          <w:rFonts w:hint="eastAsia" w:hAnsi="宋体"/>
          <w:kern w:val="0"/>
          <w:sz w:val="24"/>
        </w:rPr>
        <w:t>袁庆伟（代任）</w:t>
      </w:r>
    </w:p>
    <w:p w14:paraId="2CE6192A">
      <w:pPr>
        <w:adjustRightInd w:val="0"/>
        <w:snapToGrid w:val="0"/>
        <w:spacing w:line="360" w:lineRule="auto"/>
        <w:ind w:firstLine="480" w:firstLineChars="200"/>
        <w:rPr>
          <w:sz w:val="24"/>
        </w:rPr>
      </w:pPr>
      <w:r>
        <w:rPr>
          <w:rFonts w:hint="eastAsia"/>
          <w:sz w:val="24"/>
        </w:rPr>
        <w:t>成立日期：</w:t>
      </w:r>
      <w:r>
        <w:rPr>
          <w:sz w:val="24"/>
        </w:rPr>
        <w:t>2005</w:t>
      </w:r>
      <w:r>
        <w:rPr>
          <w:rFonts w:hint="eastAsia"/>
          <w:sz w:val="24"/>
        </w:rPr>
        <w:t>年</w:t>
      </w:r>
      <w:r>
        <w:rPr>
          <w:sz w:val="24"/>
        </w:rPr>
        <w:t>8</w:t>
      </w:r>
      <w:r>
        <w:rPr>
          <w:rFonts w:hint="eastAsia"/>
          <w:sz w:val="24"/>
        </w:rPr>
        <w:t>月</w:t>
      </w:r>
      <w:r>
        <w:rPr>
          <w:sz w:val="24"/>
        </w:rPr>
        <w:t>4</w:t>
      </w:r>
      <w:r>
        <w:rPr>
          <w:rFonts w:hint="eastAsia"/>
          <w:sz w:val="24"/>
        </w:rPr>
        <w:t>日</w:t>
      </w:r>
    </w:p>
    <w:p w14:paraId="570CEE9F">
      <w:pPr>
        <w:adjustRightInd w:val="0"/>
        <w:snapToGrid w:val="0"/>
        <w:spacing w:line="360" w:lineRule="auto"/>
        <w:ind w:firstLine="480" w:firstLineChars="200"/>
        <w:rPr>
          <w:sz w:val="24"/>
        </w:rPr>
      </w:pPr>
      <w:r>
        <w:rPr>
          <w:rFonts w:hint="eastAsia"/>
          <w:sz w:val="24"/>
        </w:rPr>
        <w:t>电话：（</w:t>
      </w:r>
      <w:r>
        <w:rPr>
          <w:sz w:val="24"/>
        </w:rPr>
        <w:t>021</w:t>
      </w:r>
      <w:r>
        <w:rPr>
          <w:rFonts w:hint="eastAsia"/>
          <w:sz w:val="24"/>
        </w:rPr>
        <w:t>）</w:t>
      </w:r>
      <w:r>
        <w:rPr>
          <w:sz w:val="24"/>
        </w:rPr>
        <w:t>61055050</w:t>
      </w:r>
    </w:p>
    <w:p w14:paraId="29E182F3">
      <w:pPr>
        <w:adjustRightInd w:val="0"/>
        <w:snapToGrid w:val="0"/>
        <w:spacing w:line="360" w:lineRule="auto"/>
        <w:ind w:firstLine="480" w:firstLineChars="200"/>
        <w:rPr>
          <w:sz w:val="24"/>
        </w:rPr>
      </w:pPr>
      <w:r>
        <w:rPr>
          <w:rFonts w:hint="eastAsia"/>
          <w:sz w:val="24"/>
        </w:rPr>
        <w:t>传真：（</w:t>
      </w:r>
      <w:r>
        <w:rPr>
          <w:sz w:val="24"/>
        </w:rPr>
        <w:t>021</w:t>
      </w:r>
      <w:r>
        <w:rPr>
          <w:rFonts w:hint="eastAsia"/>
          <w:sz w:val="24"/>
        </w:rPr>
        <w:t>）</w:t>
      </w:r>
      <w:r>
        <w:rPr>
          <w:sz w:val="24"/>
        </w:rPr>
        <w:t>61055034</w:t>
      </w:r>
    </w:p>
    <w:p w14:paraId="542E4E9C">
      <w:pPr>
        <w:adjustRightInd w:val="0"/>
        <w:snapToGrid w:val="0"/>
        <w:spacing w:line="360" w:lineRule="auto"/>
        <w:ind w:firstLine="480" w:firstLineChars="200"/>
        <w:rPr>
          <w:sz w:val="24"/>
        </w:rPr>
      </w:pPr>
      <w:r>
        <w:rPr>
          <w:rFonts w:hint="eastAsia"/>
          <w:sz w:val="24"/>
        </w:rPr>
        <w:t>联系人：何佳妮</w:t>
      </w:r>
    </w:p>
    <w:p w14:paraId="48C0BD50">
      <w:pPr>
        <w:adjustRightInd w:val="0"/>
        <w:snapToGrid w:val="0"/>
        <w:spacing w:line="360" w:lineRule="auto"/>
        <w:ind w:firstLine="482" w:firstLineChars="200"/>
        <w:rPr>
          <w:rFonts w:hAnsi="宋体"/>
          <w:b/>
          <w:sz w:val="24"/>
        </w:rPr>
      </w:pPr>
      <w:r>
        <w:rPr>
          <w:rFonts w:hint="eastAsia" w:hAnsi="宋体"/>
          <w:b/>
          <w:sz w:val="24"/>
        </w:rPr>
        <w:t>（二）基金托管人</w:t>
      </w:r>
    </w:p>
    <w:p w14:paraId="48E29DF0">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名称：上海浦东发展银行股份有限公司</w:t>
      </w:r>
    </w:p>
    <w:p w14:paraId="38D1E4E4">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注册地址：上海市中山东一路12 号</w:t>
      </w:r>
    </w:p>
    <w:p w14:paraId="6746DD76">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办公地址：上海市博成路1388号浦银中心A栋</w:t>
      </w:r>
    </w:p>
    <w:p w14:paraId="24AAE185">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法定代表人：张为忠</w:t>
      </w:r>
    </w:p>
    <w:p w14:paraId="4A9A6323">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成立时间： 1992 年10 月19 日</w:t>
      </w:r>
    </w:p>
    <w:p w14:paraId="1FDA1BEB">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组织形式： 股份有限公司（上市）</w:t>
      </w:r>
    </w:p>
    <w:p w14:paraId="0D6DD6EC">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注册资本： 293.52 亿元人民币</w:t>
      </w:r>
    </w:p>
    <w:p w14:paraId="49DAD953">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存续期间： 持续经营</w:t>
      </w:r>
    </w:p>
    <w:p w14:paraId="6BD02AD4">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基金托管资格批文及文号：中国证监会证监基金字[2003]105号</w:t>
      </w:r>
    </w:p>
    <w:p w14:paraId="2C07F383">
      <w:pPr>
        <w:autoSpaceDE w:val="0"/>
        <w:autoSpaceDN w:val="0"/>
        <w:adjustRightInd w:val="0"/>
        <w:snapToGrid w:val="0"/>
        <w:spacing w:line="360" w:lineRule="auto"/>
        <w:ind w:firstLine="480" w:firstLineChars="200"/>
        <w:jc w:val="left"/>
        <w:rPr>
          <w:rFonts w:ascii="宋体" w:hAnsi="宋体"/>
          <w:sz w:val="24"/>
        </w:rPr>
      </w:pPr>
      <w:r>
        <w:rPr>
          <w:rFonts w:hint="eastAsia" w:ascii="宋体" w:hAnsi="宋体"/>
          <w:sz w:val="24"/>
        </w:rPr>
        <w:t>联系人：朱萍</w:t>
      </w:r>
    </w:p>
    <w:p w14:paraId="44630487">
      <w:pPr>
        <w:adjustRightInd w:val="0"/>
        <w:snapToGrid w:val="0"/>
        <w:spacing w:line="360" w:lineRule="auto"/>
        <w:ind w:firstLine="480" w:firstLineChars="200"/>
        <w:rPr>
          <w:rFonts w:hint="eastAsia" w:hAnsi="宋体"/>
          <w:b/>
          <w:sz w:val="24"/>
        </w:rPr>
      </w:pPr>
      <w:r>
        <w:rPr>
          <w:rFonts w:hint="eastAsia" w:ascii="宋体" w:hAnsi="宋体"/>
          <w:sz w:val="24"/>
        </w:rPr>
        <w:t>联系电话：（021）31888888</w:t>
      </w:r>
    </w:p>
    <w:p w14:paraId="4FB4D636">
      <w:pPr>
        <w:adjustRightInd w:val="0"/>
        <w:snapToGrid w:val="0"/>
        <w:spacing w:line="360" w:lineRule="auto"/>
        <w:ind w:firstLine="482" w:firstLineChars="200"/>
        <w:rPr>
          <w:rFonts w:hAnsi="宋体"/>
          <w:b/>
          <w:sz w:val="24"/>
        </w:rPr>
      </w:pPr>
      <w:r>
        <w:rPr>
          <w:rFonts w:hint="eastAsia" w:hAnsi="宋体"/>
          <w:b/>
          <w:sz w:val="24"/>
        </w:rPr>
        <w:t>（三）销售机构</w:t>
      </w:r>
    </w:p>
    <w:p w14:paraId="48E27548">
      <w:pPr>
        <w:widowControl/>
        <w:adjustRightInd w:val="0"/>
        <w:snapToGrid w:val="0"/>
        <w:spacing w:line="360" w:lineRule="auto"/>
        <w:ind w:firstLine="480" w:firstLineChars="200"/>
        <w:rPr>
          <w:kern w:val="0"/>
          <w:sz w:val="24"/>
        </w:rPr>
      </w:pPr>
      <w:r>
        <w:rPr>
          <w:kern w:val="0"/>
          <w:sz w:val="24"/>
        </w:rPr>
        <w:t>1</w:t>
      </w:r>
      <w:r>
        <w:rPr>
          <w:rFonts w:hint="eastAsia"/>
          <w:kern w:val="0"/>
          <w:sz w:val="24"/>
        </w:rPr>
        <w:t>、直销机构</w:t>
      </w:r>
    </w:p>
    <w:p w14:paraId="5E9B153B">
      <w:pPr>
        <w:widowControl/>
        <w:adjustRightInd w:val="0"/>
        <w:snapToGrid w:val="0"/>
        <w:spacing w:line="360" w:lineRule="auto"/>
        <w:ind w:firstLine="480" w:firstLineChars="200"/>
        <w:rPr>
          <w:kern w:val="0"/>
          <w:sz w:val="24"/>
        </w:rPr>
      </w:pPr>
      <w:r>
        <w:rPr>
          <w:rFonts w:hint="eastAsia"/>
          <w:kern w:val="0"/>
          <w:sz w:val="24"/>
        </w:rPr>
        <w:t>本基金直销机构为本公司直销</w:t>
      </w:r>
      <w:r>
        <w:rPr>
          <w:kern w:val="0"/>
          <w:sz w:val="24"/>
        </w:rPr>
        <w:t>柜台</w:t>
      </w:r>
      <w:r>
        <w:rPr>
          <w:rFonts w:hint="eastAsia"/>
          <w:kern w:val="0"/>
          <w:sz w:val="24"/>
        </w:rPr>
        <w:t>以及本公司的网上直销交易平台。</w:t>
      </w:r>
    </w:p>
    <w:p w14:paraId="568B1F45">
      <w:pPr>
        <w:widowControl/>
        <w:adjustRightInd w:val="0"/>
        <w:snapToGrid w:val="0"/>
        <w:spacing w:line="360" w:lineRule="auto"/>
        <w:ind w:firstLine="480" w:firstLineChars="200"/>
        <w:rPr>
          <w:kern w:val="0"/>
          <w:sz w:val="24"/>
        </w:rPr>
      </w:pPr>
      <w:r>
        <w:rPr>
          <w:rFonts w:hint="eastAsia"/>
          <w:kern w:val="0"/>
          <w:sz w:val="24"/>
        </w:rPr>
        <w:t>名称：交银施罗德基金管理有限公司</w:t>
      </w:r>
    </w:p>
    <w:p w14:paraId="5A80498B">
      <w:pPr>
        <w:widowControl/>
        <w:adjustRightInd w:val="0"/>
        <w:snapToGrid w:val="0"/>
        <w:spacing w:line="360" w:lineRule="auto"/>
        <w:ind w:firstLine="480" w:firstLineChars="200"/>
        <w:rPr>
          <w:kern w:val="0"/>
          <w:sz w:val="24"/>
        </w:rPr>
      </w:pPr>
      <w:r>
        <w:rPr>
          <w:rFonts w:hint="eastAsia"/>
          <w:kern w:val="0"/>
          <w:sz w:val="24"/>
        </w:rPr>
        <w:t>住所：中国（上海）自由贸易试验区银城中路</w:t>
      </w:r>
      <w:r>
        <w:rPr>
          <w:kern w:val="0"/>
          <w:sz w:val="24"/>
        </w:rPr>
        <w:t>188</w:t>
      </w:r>
      <w:r>
        <w:rPr>
          <w:rFonts w:hint="eastAsia"/>
          <w:kern w:val="0"/>
          <w:sz w:val="24"/>
        </w:rPr>
        <w:t>号交通银行大楼二层（裙）</w:t>
      </w:r>
    </w:p>
    <w:p w14:paraId="0BA4146C">
      <w:pPr>
        <w:widowControl/>
        <w:adjustRightInd w:val="0"/>
        <w:snapToGrid w:val="0"/>
        <w:spacing w:line="360" w:lineRule="auto"/>
        <w:ind w:firstLine="480" w:firstLineChars="200"/>
        <w:rPr>
          <w:kern w:val="0"/>
          <w:sz w:val="24"/>
        </w:rPr>
      </w:pPr>
      <w:r>
        <w:rPr>
          <w:rFonts w:hint="eastAsia"/>
          <w:kern w:val="0"/>
          <w:sz w:val="24"/>
        </w:rPr>
        <w:t>办公地址：</w:t>
      </w:r>
      <w:r>
        <w:rPr>
          <w:rFonts w:hAnsi="宋体"/>
          <w:kern w:val="0"/>
          <w:sz w:val="24"/>
        </w:rPr>
        <w:t>上海</w:t>
      </w:r>
      <w:r>
        <w:rPr>
          <w:rFonts w:hint="eastAsia" w:hAnsi="宋体"/>
          <w:kern w:val="0"/>
          <w:sz w:val="24"/>
        </w:rPr>
        <w:t>市浦东新区世纪大道</w:t>
      </w:r>
      <w:r>
        <w:rPr>
          <w:rFonts w:hAnsi="宋体"/>
          <w:kern w:val="0"/>
          <w:sz w:val="24"/>
        </w:rPr>
        <w:t>8</w:t>
      </w:r>
      <w:r>
        <w:rPr>
          <w:rFonts w:hint="eastAsia" w:hAnsi="宋体"/>
          <w:kern w:val="0"/>
          <w:sz w:val="24"/>
        </w:rPr>
        <w:t>号国金中心二期</w:t>
      </w:r>
      <w:r>
        <w:rPr>
          <w:rFonts w:hAnsi="宋体"/>
          <w:kern w:val="0"/>
          <w:sz w:val="24"/>
        </w:rPr>
        <w:t>21-22</w:t>
      </w:r>
      <w:r>
        <w:rPr>
          <w:rFonts w:hint="eastAsia" w:hAnsi="宋体"/>
          <w:kern w:val="0"/>
          <w:sz w:val="24"/>
        </w:rPr>
        <w:t>楼</w:t>
      </w:r>
    </w:p>
    <w:p w14:paraId="42779973">
      <w:pPr>
        <w:adjustRightInd w:val="0"/>
        <w:snapToGrid w:val="0"/>
        <w:spacing w:line="360" w:lineRule="auto"/>
        <w:ind w:firstLine="480" w:firstLineChars="200"/>
        <w:rPr>
          <w:sz w:val="24"/>
        </w:rPr>
      </w:pPr>
      <w:r>
        <w:rPr>
          <w:rFonts w:hint="eastAsia"/>
          <w:kern w:val="0"/>
          <w:sz w:val="24"/>
        </w:rPr>
        <w:t>法定代表人：</w:t>
      </w:r>
      <w:r>
        <w:rPr>
          <w:rFonts w:hint="eastAsia" w:hAnsi="宋体"/>
          <w:kern w:val="0"/>
          <w:sz w:val="24"/>
        </w:rPr>
        <w:t>袁庆伟（代任）</w:t>
      </w:r>
    </w:p>
    <w:p w14:paraId="7A9B408B">
      <w:pPr>
        <w:widowControl/>
        <w:adjustRightInd w:val="0"/>
        <w:snapToGrid w:val="0"/>
        <w:spacing w:line="360" w:lineRule="auto"/>
        <w:ind w:firstLine="480" w:firstLineChars="200"/>
        <w:rPr>
          <w:kern w:val="0"/>
          <w:sz w:val="24"/>
        </w:rPr>
      </w:pPr>
      <w:r>
        <w:rPr>
          <w:rFonts w:hint="eastAsia"/>
          <w:kern w:val="0"/>
          <w:sz w:val="24"/>
        </w:rPr>
        <w:t>电话：（</w:t>
      </w:r>
      <w:r>
        <w:rPr>
          <w:kern w:val="0"/>
          <w:sz w:val="24"/>
        </w:rPr>
        <w:t>021</w:t>
      </w:r>
      <w:r>
        <w:rPr>
          <w:rFonts w:hint="eastAsia"/>
          <w:kern w:val="0"/>
          <w:sz w:val="24"/>
        </w:rPr>
        <w:t>）</w:t>
      </w:r>
      <w:r>
        <w:rPr>
          <w:kern w:val="0"/>
          <w:sz w:val="24"/>
        </w:rPr>
        <w:t>61055724</w:t>
      </w:r>
    </w:p>
    <w:p w14:paraId="547F4348">
      <w:pPr>
        <w:widowControl/>
        <w:adjustRightInd w:val="0"/>
        <w:snapToGrid w:val="0"/>
        <w:spacing w:line="360" w:lineRule="auto"/>
        <w:ind w:firstLine="480" w:firstLineChars="200"/>
        <w:rPr>
          <w:kern w:val="0"/>
          <w:sz w:val="24"/>
        </w:rPr>
      </w:pPr>
      <w:r>
        <w:rPr>
          <w:rFonts w:hint="eastAsia"/>
          <w:kern w:val="0"/>
          <w:sz w:val="24"/>
        </w:rPr>
        <w:t>传真：（</w:t>
      </w:r>
      <w:r>
        <w:rPr>
          <w:kern w:val="0"/>
          <w:sz w:val="24"/>
        </w:rPr>
        <w:t>021</w:t>
      </w:r>
      <w:r>
        <w:rPr>
          <w:rFonts w:hint="eastAsia"/>
          <w:kern w:val="0"/>
          <w:sz w:val="24"/>
        </w:rPr>
        <w:t>）</w:t>
      </w:r>
      <w:r>
        <w:rPr>
          <w:kern w:val="0"/>
          <w:sz w:val="24"/>
        </w:rPr>
        <w:t>61055054</w:t>
      </w:r>
    </w:p>
    <w:p w14:paraId="039A161F">
      <w:pPr>
        <w:widowControl/>
        <w:adjustRightInd w:val="0"/>
        <w:snapToGrid w:val="0"/>
        <w:spacing w:line="360" w:lineRule="auto"/>
        <w:ind w:firstLine="480" w:firstLineChars="200"/>
        <w:rPr>
          <w:kern w:val="0"/>
          <w:sz w:val="24"/>
        </w:rPr>
      </w:pPr>
      <w:r>
        <w:rPr>
          <w:rFonts w:hint="eastAsia"/>
          <w:kern w:val="0"/>
          <w:sz w:val="24"/>
        </w:rPr>
        <w:t>联系人：傅鲸</w:t>
      </w:r>
    </w:p>
    <w:p w14:paraId="66326F29">
      <w:pPr>
        <w:widowControl/>
        <w:adjustRightInd w:val="0"/>
        <w:snapToGrid w:val="0"/>
        <w:spacing w:line="360" w:lineRule="auto"/>
        <w:ind w:firstLine="480" w:firstLineChars="200"/>
        <w:rPr>
          <w:kern w:val="0"/>
          <w:sz w:val="24"/>
        </w:rPr>
      </w:pPr>
      <w:r>
        <w:rPr>
          <w:rFonts w:hint="eastAsia"/>
          <w:kern w:val="0"/>
          <w:sz w:val="24"/>
        </w:rPr>
        <w:t>客户服务电话：</w:t>
      </w:r>
      <w:r>
        <w:rPr>
          <w:kern w:val="0"/>
          <w:sz w:val="24"/>
        </w:rPr>
        <w:t>400-700-5000</w:t>
      </w:r>
      <w:r>
        <w:rPr>
          <w:rFonts w:hint="eastAsia"/>
          <w:kern w:val="0"/>
          <w:sz w:val="24"/>
        </w:rPr>
        <w:t>（免长途话费），（</w:t>
      </w:r>
      <w:r>
        <w:rPr>
          <w:kern w:val="0"/>
          <w:sz w:val="24"/>
        </w:rPr>
        <w:t>021</w:t>
      </w:r>
      <w:r>
        <w:rPr>
          <w:rFonts w:hint="eastAsia"/>
          <w:kern w:val="0"/>
          <w:sz w:val="24"/>
        </w:rPr>
        <w:t>）</w:t>
      </w:r>
      <w:r>
        <w:rPr>
          <w:kern w:val="0"/>
          <w:sz w:val="24"/>
        </w:rPr>
        <w:t>61055000</w:t>
      </w:r>
    </w:p>
    <w:p w14:paraId="076D1A07">
      <w:pPr>
        <w:widowControl/>
        <w:adjustRightInd w:val="0"/>
        <w:snapToGrid w:val="0"/>
        <w:spacing w:line="360" w:lineRule="auto"/>
        <w:ind w:firstLine="480" w:firstLineChars="200"/>
        <w:rPr>
          <w:color w:val="0000FF"/>
          <w:sz w:val="24"/>
          <w:u w:val="single"/>
        </w:rPr>
      </w:pPr>
      <w:r>
        <w:rPr>
          <w:rFonts w:hint="eastAsia"/>
          <w:kern w:val="0"/>
          <w:sz w:val="24"/>
        </w:rPr>
        <w:t>网址：</w:t>
      </w:r>
      <w:r>
        <w:rPr>
          <w:rStyle w:val="57"/>
          <w:color w:val="auto"/>
          <w:sz w:val="24"/>
          <w:szCs w:val="24"/>
          <w:u w:val="none"/>
        </w:rPr>
        <w:t>www.fund001.com</w:t>
      </w:r>
    </w:p>
    <w:p w14:paraId="33A757B2">
      <w:pPr>
        <w:widowControl/>
        <w:adjustRightInd w:val="0"/>
        <w:snapToGrid w:val="0"/>
        <w:spacing w:line="360" w:lineRule="auto"/>
        <w:ind w:firstLine="480" w:firstLineChars="200"/>
        <w:rPr>
          <w:kern w:val="0"/>
          <w:sz w:val="24"/>
        </w:rPr>
      </w:pPr>
      <w:r>
        <w:rPr>
          <w:rFonts w:hint="eastAsia"/>
          <w:kern w:val="0"/>
          <w:sz w:val="24"/>
        </w:rPr>
        <w:t>个人投资者可以通过本公司网上直销交易平台办理开户及本基金认购等业务，具体交易细则请参阅本公司网站。网上直销交易平台网址：</w:t>
      </w:r>
      <w:r>
        <w:rPr>
          <w:rStyle w:val="57"/>
          <w:color w:val="auto"/>
          <w:sz w:val="24"/>
          <w:szCs w:val="24"/>
          <w:u w:val="none"/>
        </w:rPr>
        <w:t>www.fund001.com</w:t>
      </w:r>
      <w:r>
        <w:rPr>
          <w:rFonts w:hint="eastAsia"/>
          <w:kern w:val="0"/>
          <w:sz w:val="24"/>
        </w:rPr>
        <w:t>。</w:t>
      </w:r>
    </w:p>
    <w:p w14:paraId="210D0CA6">
      <w:pPr>
        <w:widowControl/>
        <w:adjustRightInd w:val="0"/>
        <w:snapToGrid w:val="0"/>
        <w:spacing w:line="360" w:lineRule="auto"/>
        <w:ind w:firstLine="480" w:firstLineChars="200"/>
        <w:rPr>
          <w:rFonts w:hint="eastAsia" w:eastAsia="宋体"/>
          <w:kern w:val="0"/>
          <w:sz w:val="24"/>
          <w:highlight w:val="none"/>
          <w:lang w:val="en-US" w:eastAsia="zh-CN"/>
        </w:rPr>
      </w:pPr>
      <w:r>
        <w:rPr>
          <w:kern w:val="0"/>
          <w:sz w:val="24"/>
          <w:highlight w:val="none"/>
        </w:rPr>
        <w:t>2</w:t>
      </w:r>
      <w:r>
        <w:rPr>
          <w:rFonts w:hint="eastAsia"/>
          <w:kern w:val="0"/>
          <w:sz w:val="24"/>
          <w:highlight w:val="none"/>
        </w:rPr>
        <w:t>、除基金管理人之外的其他销售机构</w:t>
      </w:r>
      <w:r>
        <w:rPr>
          <w:rFonts w:hint="eastAsia"/>
          <w:kern w:val="0"/>
          <w:sz w:val="24"/>
          <w:highlight w:val="none"/>
          <w:lang w:val="en-US" w:eastAsia="zh-CN"/>
        </w:rPr>
        <w:tab/>
      </w:r>
    </w:p>
    <w:p w14:paraId="7ECBE35C">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（1）名称：上海浦东发展银行股份有限公司</w:t>
      </w:r>
    </w:p>
    <w:p w14:paraId="374317A1">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住所：上海市中山东一路12号</w:t>
      </w:r>
    </w:p>
    <w:p w14:paraId="3CA9FFD7">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办公地址：上海市博成路1388号浦银中心A栋</w:t>
      </w:r>
    </w:p>
    <w:p w14:paraId="3307826D">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法定代表人：张为忠</w:t>
      </w:r>
    </w:p>
    <w:p w14:paraId="4C5146A0">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电话：（021）61618888</w:t>
      </w:r>
    </w:p>
    <w:p w14:paraId="279F7500">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传真：（021）61618888</w:t>
      </w:r>
    </w:p>
    <w:p w14:paraId="15CF8FC6">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联系人：赵守良</w:t>
      </w:r>
    </w:p>
    <w:p w14:paraId="0714F967">
      <w:pPr>
        <w:widowControl/>
        <w:adjustRightInd w:val="0"/>
        <w:snapToGrid w:val="0"/>
        <w:spacing w:line="360" w:lineRule="auto"/>
        <w:ind w:firstLine="480" w:firstLineChars="200"/>
        <w:rPr>
          <w:rFonts w:hint="eastAsia" w:hAnsi="Times New Roman"/>
          <w:kern w:val="0"/>
          <w:sz w:val="24"/>
          <w:szCs w:val="21"/>
        </w:rPr>
      </w:pPr>
      <w:r>
        <w:rPr>
          <w:rFonts w:hint="eastAsia" w:hAnsi="Times New Roman"/>
          <w:kern w:val="0"/>
          <w:sz w:val="24"/>
          <w:szCs w:val="21"/>
        </w:rPr>
        <w:t>客户服务电话：95528</w:t>
      </w:r>
    </w:p>
    <w:p w14:paraId="6B12FC1C">
      <w:pPr>
        <w:widowControl/>
        <w:adjustRightInd w:val="0"/>
        <w:snapToGrid w:val="0"/>
        <w:spacing w:line="360" w:lineRule="auto"/>
        <w:ind w:firstLine="480" w:firstLineChars="200"/>
        <w:rPr>
          <w:rFonts w:hint="eastAsia"/>
          <w:kern w:val="0"/>
          <w:sz w:val="24"/>
        </w:rPr>
      </w:pPr>
      <w:r>
        <w:rPr>
          <w:rFonts w:hint="eastAsia" w:hAnsi="Times New Roman"/>
          <w:kern w:val="0"/>
          <w:sz w:val="24"/>
        </w:rPr>
        <w:t>网址：</w:t>
      </w:r>
      <w:r>
        <w:rPr>
          <w:rFonts w:hint="eastAsia"/>
          <w:kern w:val="0"/>
          <w:sz w:val="24"/>
        </w:rPr>
        <w:fldChar w:fldCharType="begin"/>
      </w:r>
      <w:r>
        <w:rPr>
          <w:rFonts w:hint="eastAsia"/>
          <w:kern w:val="0"/>
          <w:sz w:val="24"/>
        </w:rPr>
        <w:instrText xml:space="preserve"> HYPERLINK "http://www.spdb.com.cn" </w:instrText>
      </w:r>
      <w:r>
        <w:rPr>
          <w:rFonts w:hint="eastAsia"/>
          <w:kern w:val="0"/>
          <w:sz w:val="24"/>
        </w:rPr>
        <w:fldChar w:fldCharType="separate"/>
      </w:r>
      <w:r>
        <w:rPr>
          <w:rStyle w:val="53"/>
          <w:rFonts w:hint="eastAsia" w:hAnsi="Times New Roman"/>
          <w:kern w:val="0"/>
          <w:sz w:val="24"/>
        </w:rPr>
        <w:t>www.spdb.com.cn</w:t>
      </w:r>
      <w:r>
        <w:rPr>
          <w:rStyle w:val="53"/>
          <w:rFonts w:hint="eastAsia" w:hAnsi="Times New Roman"/>
          <w:kern w:val="0"/>
          <w:sz w:val="24"/>
        </w:rPr>
        <w:fldChar w:fldCharType="end"/>
      </w:r>
    </w:p>
    <w:p w14:paraId="3D015843">
      <w:pPr>
        <w:widowControl/>
        <w:adjustRightInd w:val="0"/>
        <w:snapToGrid w:val="0"/>
        <w:spacing w:line="360" w:lineRule="auto"/>
        <w:ind w:firstLine="480" w:firstLineChars="200"/>
        <w:rPr>
          <w:kern w:val="0"/>
          <w:sz w:val="24"/>
        </w:rPr>
      </w:pPr>
      <w:r>
        <w:rPr>
          <w:rFonts w:hint="eastAsia"/>
          <w:kern w:val="0"/>
          <w:sz w:val="24"/>
        </w:rPr>
        <w:t>（</w:t>
      </w:r>
      <w:r>
        <w:rPr>
          <w:rFonts w:hint="eastAsia"/>
          <w:kern w:val="0"/>
          <w:sz w:val="24"/>
          <w:lang w:val="en-US" w:eastAsia="zh-CN"/>
        </w:rPr>
        <w:t>2</w:t>
      </w:r>
      <w:r>
        <w:rPr>
          <w:rFonts w:hint="eastAsia"/>
          <w:kern w:val="0"/>
          <w:sz w:val="24"/>
        </w:rPr>
        <w:t>）名称：交通银行股份有限公司</w:t>
      </w:r>
    </w:p>
    <w:p w14:paraId="4A9F6481">
      <w:pPr>
        <w:widowControl/>
        <w:adjustRightInd w:val="0"/>
        <w:snapToGrid w:val="0"/>
        <w:spacing w:line="360" w:lineRule="auto"/>
        <w:ind w:firstLine="480" w:firstLineChars="200"/>
        <w:rPr>
          <w:kern w:val="0"/>
          <w:sz w:val="24"/>
        </w:rPr>
      </w:pPr>
      <w:r>
        <w:rPr>
          <w:rFonts w:hint="eastAsia"/>
          <w:kern w:val="0"/>
          <w:sz w:val="24"/>
        </w:rPr>
        <w:t>住所：上海市浦东新区银城中路188号</w:t>
      </w:r>
    </w:p>
    <w:p w14:paraId="366DF1D0">
      <w:pPr>
        <w:widowControl/>
        <w:adjustRightInd w:val="0"/>
        <w:snapToGrid w:val="0"/>
        <w:spacing w:line="360" w:lineRule="auto"/>
        <w:ind w:firstLine="480" w:firstLineChars="200"/>
        <w:rPr>
          <w:kern w:val="0"/>
          <w:sz w:val="24"/>
        </w:rPr>
      </w:pPr>
      <w:r>
        <w:rPr>
          <w:rFonts w:hint="eastAsia"/>
          <w:kern w:val="0"/>
          <w:sz w:val="24"/>
        </w:rPr>
        <w:t>办公地址：上海市浦东新区银城中路188号</w:t>
      </w:r>
    </w:p>
    <w:p w14:paraId="4EA247D5">
      <w:pPr>
        <w:widowControl/>
        <w:adjustRightInd w:val="0"/>
        <w:snapToGrid w:val="0"/>
        <w:spacing w:line="360" w:lineRule="auto"/>
        <w:ind w:firstLine="480" w:firstLineChars="200"/>
        <w:rPr>
          <w:kern w:val="0"/>
          <w:sz w:val="24"/>
        </w:rPr>
      </w:pPr>
      <w:r>
        <w:rPr>
          <w:rFonts w:hint="eastAsia"/>
          <w:kern w:val="0"/>
          <w:sz w:val="24"/>
        </w:rPr>
        <w:t>法定代表人：任德奇</w:t>
      </w:r>
    </w:p>
    <w:p w14:paraId="6205C212">
      <w:pPr>
        <w:widowControl/>
        <w:adjustRightInd w:val="0"/>
        <w:snapToGrid w:val="0"/>
        <w:spacing w:line="360" w:lineRule="auto"/>
        <w:ind w:firstLine="480" w:firstLineChars="200"/>
        <w:rPr>
          <w:kern w:val="0"/>
          <w:sz w:val="24"/>
        </w:rPr>
      </w:pPr>
      <w:r>
        <w:rPr>
          <w:rFonts w:hint="eastAsia"/>
          <w:kern w:val="0"/>
          <w:sz w:val="24"/>
        </w:rPr>
        <w:t>电话：（021）58781234</w:t>
      </w:r>
    </w:p>
    <w:p w14:paraId="478B4161">
      <w:pPr>
        <w:widowControl/>
        <w:adjustRightInd w:val="0"/>
        <w:snapToGrid w:val="0"/>
        <w:spacing w:line="360" w:lineRule="auto"/>
        <w:ind w:firstLine="480" w:firstLineChars="200"/>
        <w:rPr>
          <w:kern w:val="0"/>
          <w:sz w:val="24"/>
        </w:rPr>
      </w:pPr>
      <w:r>
        <w:rPr>
          <w:rFonts w:hint="eastAsia"/>
          <w:kern w:val="0"/>
          <w:sz w:val="24"/>
        </w:rPr>
        <w:t>传真：（021）58408483</w:t>
      </w:r>
    </w:p>
    <w:p w14:paraId="2E06529E">
      <w:pPr>
        <w:widowControl/>
        <w:adjustRightInd w:val="0"/>
        <w:snapToGrid w:val="0"/>
        <w:spacing w:line="360" w:lineRule="auto"/>
        <w:ind w:firstLine="480" w:firstLineChars="200"/>
        <w:rPr>
          <w:kern w:val="0"/>
          <w:sz w:val="24"/>
        </w:rPr>
      </w:pPr>
      <w:r>
        <w:rPr>
          <w:rFonts w:hint="eastAsia"/>
          <w:kern w:val="0"/>
          <w:sz w:val="24"/>
        </w:rPr>
        <w:t>联系人：范瑞波</w:t>
      </w:r>
    </w:p>
    <w:p w14:paraId="54A9E644">
      <w:pPr>
        <w:widowControl/>
        <w:adjustRightInd w:val="0"/>
        <w:snapToGrid w:val="0"/>
        <w:spacing w:line="360" w:lineRule="auto"/>
        <w:ind w:firstLine="480" w:firstLineChars="200"/>
        <w:rPr>
          <w:kern w:val="0"/>
          <w:sz w:val="24"/>
        </w:rPr>
      </w:pPr>
      <w:r>
        <w:rPr>
          <w:rFonts w:hint="eastAsia"/>
          <w:kern w:val="0"/>
          <w:sz w:val="24"/>
        </w:rPr>
        <w:t>客户服务电话：95559</w:t>
      </w:r>
    </w:p>
    <w:p w14:paraId="5289211B">
      <w:pPr>
        <w:adjustRightInd w:val="0"/>
        <w:snapToGrid w:val="0"/>
        <w:spacing w:line="360" w:lineRule="auto"/>
        <w:ind w:firstLine="480" w:firstLineChars="200"/>
        <w:rPr>
          <w:rFonts w:hint="eastAsia"/>
          <w:kern w:val="0"/>
          <w:sz w:val="24"/>
        </w:rPr>
      </w:pPr>
      <w:r>
        <w:rPr>
          <w:rFonts w:hint="eastAsia"/>
          <w:kern w:val="0"/>
          <w:sz w:val="24"/>
        </w:rPr>
        <w:t>网址：</w:t>
      </w:r>
      <w:r>
        <w:rPr>
          <w:rFonts w:hint="eastAsia"/>
          <w:kern w:val="0"/>
          <w:sz w:val="24"/>
        </w:rPr>
        <w:fldChar w:fldCharType="begin"/>
      </w:r>
      <w:r>
        <w:rPr>
          <w:rFonts w:hint="eastAsia"/>
          <w:kern w:val="0"/>
          <w:sz w:val="24"/>
        </w:rPr>
        <w:instrText xml:space="preserve"> HYPERLINK "http://www.bankcomm.com" </w:instrText>
      </w:r>
      <w:r>
        <w:rPr>
          <w:rFonts w:hint="eastAsia"/>
          <w:kern w:val="0"/>
          <w:sz w:val="24"/>
        </w:rPr>
        <w:fldChar w:fldCharType="separate"/>
      </w:r>
      <w:r>
        <w:rPr>
          <w:rStyle w:val="57"/>
          <w:rFonts w:hint="eastAsia"/>
          <w:kern w:val="0"/>
          <w:sz w:val="24"/>
        </w:rPr>
        <w:t>www.bankcomm.com</w:t>
      </w:r>
      <w:r>
        <w:rPr>
          <w:rFonts w:hint="eastAsia"/>
          <w:kern w:val="0"/>
          <w:sz w:val="24"/>
        </w:rPr>
        <w:fldChar w:fldCharType="end"/>
      </w:r>
    </w:p>
    <w:p w14:paraId="07110C54">
      <w:pPr>
        <w:adjustRightInd w:val="0"/>
        <w:snapToGrid w:val="0"/>
        <w:spacing w:line="360" w:lineRule="auto"/>
        <w:ind w:firstLine="480" w:firstLineChars="200"/>
        <w:rPr>
          <w:rFonts w:hAnsi="宋体"/>
          <w:kern w:val="0"/>
          <w:sz w:val="24"/>
        </w:rPr>
      </w:pPr>
      <w:r>
        <w:rPr>
          <w:rFonts w:hAnsi="宋体"/>
          <w:kern w:val="0"/>
          <w:sz w:val="24"/>
        </w:rPr>
        <w:t>基金管理人可根据有关法律法规的要求，选择其它符合要求的机构销售本基金，</w:t>
      </w:r>
      <w:r>
        <w:rPr>
          <w:rFonts w:hint="eastAsia" w:hAnsi="宋体"/>
          <w:kern w:val="0"/>
          <w:sz w:val="24"/>
        </w:rPr>
        <w:t>并在基金管理人网站公示</w:t>
      </w:r>
      <w:r>
        <w:rPr>
          <w:rFonts w:hAnsi="宋体"/>
          <w:kern w:val="0"/>
          <w:sz w:val="24"/>
        </w:rPr>
        <w:t>。</w:t>
      </w:r>
    </w:p>
    <w:p w14:paraId="05FB6AC7">
      <w:pPr>
        <w:widowControl/>
        <w:adjustRightInd w:val="0"/>
        <w:snapToGrid w:val="0"/>
        <w:spacing w:line="360" w:lineRule="auto"/>
        <w:ind w:firstLine="482" w:firstLineChars="200"/>
        <w:rPr>
          <w:b/>
          <w:kern w:val="0"/>
          <w:sz w:val="24"/>
        </w:rPr>
      </w:pPr>
      <w:r>
        <w:rPr>
          <w:rFonts w:hint="eastAsia"/>
          <w:b/>
          <w:kern w:val="0"/>
          <w:sz w:val="24"/>
        </w:rPr>
        <w:t>（四）登记机构</w:t>
      </w:r>
    </w:p>
    <w:p w14:paraId="6E3B3380">
      <w:pPr>
        <w:widowControl/>
        <w:adjustRightInd w:val="0"/>
        <w:snapToGrid w:val="0"/>
        <w:spacing w:line="360" w:lineRule="auto"/>
        <w:ind w:firstLine="480" w:firstLineChars="200"/>
        <w:rPr>
          <w:kern w:val="0"/>
          <w:sz w:val="24"/>
        </w:rPr>
      </w:pPr>
      <w:r>
        <w:rPr>
          <w:rFonts w:hint="eastAsia"/>
          <w:kern w:val="0"/>
          <w:sz w:val="24"/>
        </w:rPr>
        <w:t>名称：交银施罗德基金管理有限公司</w:t>
      </w:r>
    </w:p>
    <w:p w14:paraId="0D0A68DB">
      <w:pPr>
        <w:widowControl/>
        <w:adjustRightInd w:val="0"/>
        <w:snapToGrid w:val="0"/>
        <w:spacing w:line="360" w:lineRule="auto"/>
        <w:ind w:firstLine="480" w:firstLineChars="200"/>
        <w:rPr>
          <w:kern w:val="0"/>
          <w:sz w:val="24"/>
        </w:rPr>
      </w:pPr>
      <w:r>
        <w:rPr>
          <w:rFonts w:hint="eastAsia"/>
          <w:kern w:val="0"/>
          <w:sz w:val="24"/>
        </w:rPr>
        <w:t>住所：中国（上海）自由贸易试验区银城中路188号交通银行大楼二层（裙）</w:t>
      </w:r>
    </w:p>
    <w:p w14:paraId="730FD8D1">
      <w:pPr>
        <w:widowControl/>
        <w:adjustRightInd w:val="0"/>
        <w:snapToGrid w:val="0"/>
        <w:spacing w:line="360" w:lineRule="auto"/>
        <w:ind w:firstLine="480" w:firstLineChars="200"/>
        <w:rPr>
          <w:kern w:val="0"/>
          <w:sz w:val="24"/>
        </w:rPr>
      </w:pPr>
      <w:r>
        <w:rPr>
          <w:rFonts w:hint="eastAsia"/>
          <w:kern w:val="0"/>
          <w:sz w:val="24"/>
        </w:rPr>
        <w:t>办公地址：上海市浦东新区世纪大道8号国金中心二期21-22楼</w:t>
      </w:r>
    </w:p>
    <w:p w14:paraId="18FF0CED">
      <w:pPr>
        <w:widowControl/>
        <w:adjustRightInd w:val="0"/>
        <w:snapToGrid w:val="0"/>
        <w:spacing w:line="360" w:lineRule="auto"/>
        <w:ind w:firstLine="480" w:firstLineChars="200"/>
        <w:rPr>
          <w:kern w:val="0"/>
          <w:sz w:val="24"/>
        </w:rPr>
      </w:pPr>
      <w:r>
        <w:rPr>
          <w:rFonts w:hint="eastAsia"/>
          <w:kern w:val="0"/>
          <w:sz w:val="24"/>
        </w:rPr>
        <w:t>法定代表人：</w:t>
      </w:r>
      <w:r>
        <w:rPr>
          <w:rFonts w:hint="eastAsia" w:hAnsi="宋体"/>
          <w:kern w:val="0"/>
          <w:sz w:val="24"/>
        </w:rPr>
        <w:t>袁庆伟（代任）</w:t>
      </w:r>
    </w:p>
    <w:p w14:paraId="06164705">
      <w:pPr>
        <w:widowControl/>
        <w:adjustRightInd w:val="0"/>
        <w:snapToGrid w:val="0"/>
        <w:spacing w:line="360" w:lineRule="auto"/>
        <w:ind w:firstLine="480" w:firstLineChars="200"/>
        <w:rPr>
          <w:kern w:val="0"/>
          <w:sz w:val="24"/>
        </w:rPr>
      </w:pPr>
      <w:r>
        <w:rPr>
          <w:rFonts w:hint="eastAsia"/>
          <w:kern w:val="0"/>
          <w:sz w:val="24"/>
        </w:rPr>
        <w:t>电话：（021）61055461</w:t>
      </w:r>
    </w:p>
    <w:p w14:paraId="0D6FD9EB">
      <w:pPr>
        <w:widowControl/>
        <w:adjustRightInd w:val="0"/>
        <w:snapToGrid w:val="0"/>
        <w:spacing w:line="360" w:lineRule="auto"/>
        <w:ind w:firstLine="480" w:firstLineChars="200"/>
        <w:rPr>
          <w:kern w:val="0"/>
          <w:sz w:val="24"/>
        </w:rPr>
      </w:pPr>
      <w:r>
        <w:rPr>
          <w:rFonts w:hint="eastAsia"/>
          <w:kern w:val="0"/>
          <w:sz w:val="24"/>
        </w:rPr>
        <w:t>传真：（021）61055064</w:t>
      </w:r>
    </w:p>
    <w:p w14:paraId="258767BD">
      <w:pPr>
        <w:adjustRightInd w:val="0"/>
        <w:snapToGrid w:val="0"/>
        <w:spacing w:line="360" w:lineRule="auto"/>
        <w:ind w:firstLine="480" w:firstLineChars="200"/>
        <w:rPr>
          <w:kern w:val="0"/>
          <w:sz w:val="24"/>
        </w:rPr>
      </w:pPr>
      <w:r>
        <w:rPr>
          <w:rFonts w:hint="eastAsia"/>
          <w:kern w:val="0"/>
          <w:sz w:val="24"/>
        </w:rPr>
        <w:t>联系人：陈方强</w:t>
      </w:r>
    </w:p>
    <w:p w14:paraId="1CB8420C">
      <w:pPr>
        <w:widowControl/>
        <w:adjustRightInd w:val="0"/>
        <w:snapToGrid w:val="0"/>
        <w:spacing w:line="360" w:lineRule="auto"/>
        <w:ind w:firstLine="482" w:firstLineChars="200"/>
        <w:rPr>
          <w:b/>
          <w:kern w:val="0"/>
          <w:sz w:val="24"/>
        </w:rPr>
      </w:pPr>
      <w:r>
        <w:rPr>
          <w:rFonts w:hint="eastAsia"/>
          <w:b/>
          <w:kern w:val="0"/>
          <w:sz w:val="24"/>
        </w:rPr>
        <w:t>（五）律师事务所和经办律师</w:t>
      </w:r>
    </w:p>
    <w:p w14:paraId="42147D53">
      <w:pPr>
        <w:adjustRightInd w:val="0"/>
        <w:snapToGrid w:val="0"/>
        <w:spacing w:line="360" w:lineRule="auto"/>
        <w:ind w:firstLine="480" w:firstLineChars="200"/>
        <w:rPr>
          <w:kern w:val="0"/>
          <w:sz w:val="24"/>
        </w:rPr>
      </w:pPr>
      <w:r>
        <w:rPr>
          <w:rFonts w:hint="eastAsia"/>
          <w:kern w:val="0"/>
          <w:sz w:val="24"/>
        </w:rPr>
        <w:t>名称：上海市通力律师事务所</w:t>
      </w:r>
    </w:p>
    <w:p w14:paraId="21E33A97">
      <w:pPr>
        <w:adjustRightInd w:val="0"/>
        <w:snapToGrid w:val="0"/>
        <w:spacing w:line="360" w:lineRule="auto"/>
        <w:ind w:firstLine="480" w:firstLineChars="200"/>
        <w:rPr>
          <w:kern w:val="0"/>
          <w:sz w:val="24"/>
        </w:rPr>
      </w:pPr>
      <w:r>
        <w:rPr>
          <w:rFonts w:hint="eastAsia"/>
          <w:kern w:val="0"/>
          <w:sz w:val="24"/>
        </w:rPr>
        <w:t>住所：上海市银城中路</w:t>
      </w:r>
      <w:r>
        <w:rPr>
          <w:kern w:val="0"/>
          <w:sz w:val="24"/>
        </w:rPr>
        <w:t>68</w:t>
      </w:r>
      <w:r>
        <w:rPr>
          <w:rFonts w:hint="eastAsia"/>
          <w:kern w:val="0"/>
          <w:sz w:val="24"/>
        </w:rPr>
        <w:t>号时代金融中心</w:t>
      </w:r>
      <w:r>
        <w:rPr>
          <w:kern w:val="0"/>
          <w:sz w:val="24"/>
        </w:rPr>
        <w:t>19</w:t>
      </w:r>
      <w:r>
        <w:rPr>
          <w:rFonts w:hint="eastAsia"/>
          <w:kern w:val="0"/>
          <w:sz w:val="24"/>
        </w:rPr>
        <w:t>楼</w:t>
      </w:r>
    </w:p>
    <w:p w14:paraId="0290BED9">
      <w:pPr>
        <w:adjustRightInd w:val="0"/>
        <w:snapToGrid w:val="0"/>
        <w:spacing w:line="360" w:lineRule="auto"/>
        <w:ind w:firstLine="480" w:firstLineChars="200"/>
        <w:rPr>
          <w:kern w:val="0"/>
          <w:sz w:val="24"/>
        </w:rPr>
      </w:pPr>
      <w:r>
        <w:rPr>
          <w:rFonts w:hint="eastAsia"/>
          <w:kern w:val="0"/>
          <w:sz w:val="24"/>
        </w:rPr>
        <w:t>办公地址：上海市银城中路</w:t>
      </w:r>
      <w:r>
        <w:rPr>
          <w:kern w:val="0"/>
          <w:sz w:val="24"/>
        </w:rPr>
        <w:t>68</w:t>
      </w:r>
      <w:r>
        <w:rPr>
          <w:rFonts w:hint="eastAsia"/>
          <w:kern w:val="0"/>
          <w:sz w:val="24"/>
        </w:rPr>
        <w:t>号时代金融中心18-20楼</w:t>
      </w:r>
    </w:p>
    <w:p w14:paraId="680F8379">
      <w:pPr>
        <w:adjustRightInd w:val="0"/>
        <w:snapToGrid w:val="0"/>
        <w:spacing w:line="360" w:lineRule="auto"/>
        <w:ind w:firstLine="480" w:firstLineChars="200"/>
        <w:rPr>
          <w:rFonts w:hint="default" w:eastAsia="宋体"/>
          <w:kern w:val="0"/>
          <w:sz w:val="24"/>
          <w:lang w:val="en-US" w:eastAsia="zh-CN"/>
        </w:rPr>
      </w:pPr>
      <w:r>
        <w:rPr>
          <w:rFonts w:hint="eastAsia"/>
          <w:kern w:val="0"/>
          <w:sz w:val="24"/>
        </w:rPr>
        <w:t>负责人：</w:t>
      </w:r>
      <w:r>
        <w:rPr>
          <w:rFonts w:hint="eastAsia"/>
          <w:kern w:val="0"/>
          <w:sz w:val="24"/>
          <w:lang w:val="en-US" w:eastAsia="zh-CN"/>
        </w:rPr>
        <w:t>陈臻</w:t>
      </w:r>
    </w:p>
    <w:p w14:paraId="26CD69FA">
      <w:pPr>
        <w:adjustRightInd w:val="0"/>
        <w:snapToGrid w:val="0"/>
        <w:spacing w:line="360" w:lineRule="auto"/>
        <w:ind w:firstLine="480" w:firstLineChars="200"/>
        <w:rPr>
          <w:kern w:val="0"/>
          <w:sz w:val="24"/>
        </w:rPr>
      </w:pPr>
      <w:r>
        <w:rPr>
          <w:rFonts w:hint="eastAsia"/>
          <w:kern w:val="0"/>
          <w:sz w:val="24"/>
        </w:rPr>
        <w:t>电话：（</w:t>
      </w:r>
      <w:r>
        <w:rPr>
          <w:kern w:val="0"/>
          <w:sz w:val="24"/>
        </w:rPr>
        <w:t>021</w:t>
      </w:r>
      <w:r>
        <w:rPr>
          <w:rFonts w:hint="eastAsia"/>
          <w:kern w:val="0"/>
          <w:sz w:val="24"/>
        </w:rPr>
        <w:t>）</w:t>
      </w:r>
      <w:r>
        <w:rPr>
          <w:kern w:val="0"/>
          <w:sz w:val="24"/>
        </w:rPr>
        <w:t>31358666</w:t>
      </w:r>
    </w:p>
    <w:p w14:paraId="1A561635">
      <w:pPr>
        <w:adjustRightInd w:val="0"/>
        <w:snapToGrid w:val="0"/>
        <w:spacing w:line="360" w:lineRule="auto"/>
        <w:ind w:firstLine="480" w:firstLineChars="200"/>
        <w:rPr>
          <w:kern w:val="0"/>
          <w:sz w:val="24"/>
        </w:rPr>
      </w:pPr>
      <w:r>
        <w:rPr>
          <w:rFonts w:hint="eastAsia"/>
          <w:kern w:val="0"/>
          <w:sz w:val="24"/>
        </w:rPr>
        <w:t>传真：（</w:t>
      </w:r>
      <w:r>
        <w:rPr>
          <w:kern w:val="0"/>
          <w:sz w:val="24"/>
        </w:rPr>
        <w:t>021</w:t>
      </w:r>
      <w:r>
        <w:rPr>
          <w:rFonts w:hint="eastAsia"/>
          <w:kern w:val="0"/>
          <w:sz w:val="24"/>
        </w:rPr>
        <w:t>）</w:t>
      </w:r>
      <w:r>
        <w:rPr>
          <w:kern w:val="0"/>
          <w:sz w:val="24"/>
        </w:rPr>
        <w:t>31358600</w:t>
      </w:r>
    </w:p>
    <w:p w14:paraId="5E754A78">
      <w:pPr>
        <w:adjustRightInd w:val="0"/>
        <w:snapToGrid w:val="0"/>
        <w:spacing w:line="360" w:lineRule="auto"/>
        <w:ind w:firstLine="480" w:firstLineChars="200"/>
        <w:rPr>
          <w:kern w:val="0"/>
          <w:sz w:val="24"/>
        </w:rPr>
      </w:pPr>
      <w:r>
        <w:rPr>
          <w:rFonts w:hint="eastAsia"/>
          <w:kern w:val="0"/>
          <w:sz w:val="24"/>
        </w:rPr>
        <w:t>联系人：</w:t>
      </w:r>
      <w:r>
        <w:rPr>
          <w:rFonts w:hint="eastAsia" w:hAnsi="宋体"/>
          <w:kern w:val="0"/>
          <w:sz w:val="24"/>
        </w:rPr>
        <w:t>丁媛</w:t>
      </w:r>
    </w:p>
    <w:p w14:paraId="2F62C99C">
      <w:pPr>
        <w:adjustRightInd w:val="0"/>
        <w:snapToGrid w:val="0"/>
        <w:spacing w:line="360" w:lineRule="auto"/>
        <w:ind w:firstLine="480" w:firstLineChars="200"/>
        <w:rPr>
          <w:rFonts w:hAnsi="宋体"/>
          <w:kern w:val="0"/>
          <w:sz w:val="24"/>
        </w:rPr>
      </w:pPr>
      <w:bookmarkStart w:id="5" w:name="OLE_LINK4"/>
      <w:bookmarkStart w:id="6" w:name="OLE_LINK3"/>
      <w:r>
        <w:rPr>
          <w:rFonts w:hint="eastAsia"/>
          <w:kern w:val="0"/>
          <w:sz w:val="24"/>
        </w:rPr>
        <w:t>经办律师</w:t>
      </w:r>
      <w:bookmarkEnd w:id="5"/>
      <w:bookmarkEnd w:id="6"/>
      <w:r>
        <w:rPr>
          <w:rFonts w:hint="eastAsia"/>
          <w:kern w:val="0"/>
          <w:sz w:val="24"/>
        </w:rPr>
        <w:t>：</w:t>
      </w:r>
      <w:r>
        <w:rPr>
          <w:rFonts w:hint="eastAsia" w:hAnsi="宋体"/>
          <w:kern w:val="0"/>
          <w:sz w:val="24"/>
        </w:rPr>
        <w:t>丁媛、李晓露</w:t>
      </w:r>
    </w:p>
    <w:p w14:paraId="2078FBD2">
      <w:pPr>
        <w:widowControl/>
        <w:adjustRightInd w:val="0"/>
        <w:snapToGrid w:val="0"/>
        <w:spacing w:line="360" w:lineRule="auto"/>
        <w:ind w:firstLine="482" w:firstLineChars="200"/>
        <w:rPr>
          <w:b/>
          <w:kern w:val="0"/>
          <w:sz w:val="24"/>
        </w:rPr>
      </w:pPr>
      <w:r>
        <w:rPr>
          <w:rFonts w:hint="eastAsia"/>
          <w:b/>
          <w:kern w:val="0"/>
          <w:sz w:val="24"/>
        </w:rPr>
        <w:t>（六）会计师事务所和经办注册会计师</w:t>
      </w:r>
    </w:p>
    <w:p w14:paraId="65FB3E52">
      <w:pPr>
        <w:widowControl/>
        <w:adjustRightInd w:val="0"/>
        <w:snapToGrid w:val="0"/>
        <w:spacing w:line="360" w:lineRule="auto"/>
        <w:ind w:firstLine="480" w:firstLineChars="200"/>
        <w:rPr>
          <w:rFonts w:hAnsi="宋体"/>
          <w:kern w:val="0"/>
          <w:sz w:val="24"/>
        </w:rPr>
      </w:pPr>
      <w:r>
        <w:rPr>
          <w:rFonts w:hint="eastAsia" w:hAnsi="宋体"/>
          <w:kern w:val="0"/>
          <w:sz w:val="24"/>
        </w:rPr>
        <w:t>名称：容诚会计师事务所（特殊普通合伙）</w:t>
      </w:r>
    </w:p>
    <w:p w14:paraId="0862690B">
      <w:pPr>
        <w:widowControl/>
        <w:adjustRightInd w:val="0"/>
        <w:snapToGrid w:val="0"/>
        <w:spacing w:line="360" w:lineRule="auto"/>
        <w:ind w:firstLine="480" w:firstLineChars="200"/>
        <w:rPr>
          <w:rFonts w:hAnsi="宋体"/>
          <w:kern w:val="0"/>
          <w:sz w:val="24"/>
        </w:rPr>
      </w:pPr>
      <w:r>
        <w:rPr>
          <w:rFonts w:hint="eastAsia" w:hAnsi="宋体"/>
          <w:kern w:val="0"/>
          <w:sz w:val="24"/>
        </w:rPr>
        <w:t>注册地址：北京市西城区阜成门外大街22号1幢外经贸大厦901-22至901-26</w:t>
      </w:r>
    </w:p>
    <w:p w14:paraId="4249CE70">
      <w:pPr>
        <w:widowControl/>
        <w:adjustRightInd w:val="0"/>
        <w:snapToGrid w:val="0"/>
        <w:spacing w:line="360" w:lineRule="auto"/>
        <w:ind w:firstLine="480" w:firstLineChars="200"/>
        <w:rPr>
          <w:rFonts w:hAnsi="宋体"/>
          <w:kern w:val="0"/>
          <w:sz w:val="24"/>
        </w:rPr>
      </w:pPr>
      <w:r>
        <w:rPr>
          <w:rFonts w:hint="eastAsia" w:hAnsi="宋体"/>
          <w:kern w:val="0"/>
          <w:sz w:val="24"/>
        </w:rPr>
        <w:t>办公地址：北京市西城区阜成门外大街22号1幢外经贸大厦901-22至901-26</w:t>
      </w:r>
    </w:p>
    <w:p w14:paraId="63DEE04F">
      <w:pPr>
        <w:widowControl/>
        <w:adjustRightInd w:val="0"/>
        <w:snapToGrid w:val="0"/>
        <w:spacing w:line="360" w:lineRule="auto"/>
        <w:ind w:firstLine="480" w:firstLineChars="200"/>
        <w:rPr>
          <w:rFonts w:hAnsi="宋体"/>
          <w:kern w:val="0"/>
          <w:sz w:val="24"/>
        </w:rPr>
      </w:pPr>
      <w:r>
        <w:rPr>
          <w:rFonts w:hint="eastAsia" w:hAnsi="宋体"/>
          <w:kern w:val="0"/>
          <w:sz w:val="24"/>
        </w:rPr>
        <w:t>电话：010-66001391</w:t>
      </w:r>
    </w:p>
    <w:p w14:paraId="721A6F05">
      <w:pPr>
        <w:widowControl/>
        <w:adjustRightInd w:val="0"/>
        <w:snapToGrid w:val="0"/>
        <w:spacing w:line="360" w:lineRule="auto"/>
        <w:ind w:firstLine="480" w:firstLineChars="200"/>
        <w:rPr>
          <w:rFonts w:hAnsi="宋体"/>
          <w:kern w:val="0"/>
          <w:sz w:val="24"/>
        </w:rPr>
      </w:pPr>
      <w:r>
        <w:rPr>
          <w:rFonts w:hint="eastAsia" w:hAnsi="宋体"/>
          <w:kern w:val="0"/>
          <w:sz w:val="24"/>
        </w:rPr>
        <w:t>传真：010-66001391</w:t>
      </w:r>
    </w:p>
    <w:p w14:paraId="34CC42CA">
      <w:pPr>
        <w:widowControl/>
        <w:adjustRightInd w:val="0"/>
        <w:snapToGrid w:val="0"/>
        <w:spacing w:line="360" w:lineRule="auto"/>
        <w:ind w:firstLine="480" w:firstLineChars="200"/>
        <w:rPr>
          <w:rFonts w:hAnsi="宋体"/>
          <w:kern w:val="0"/>
          <w:sz w:val="24"/>
        </w:rPr>
      </w:pPr>
      <w:r>
        <w:rPr>
          <w:rFonts w:hint="eastAsia" w:hAnsi="宋体"/>
          <w:kern w:val="0"/>
          <w:sz w:val="24"/>
        </w:rPr>
        <w:t>执行事务合伙人：肖厚发、刘维</w:t>
      </w:r>
    </w:p>
    <w:p w14:paraId="1954893C">
      <w:pPr>
        <w:widowControl/>
        <w:adjustRightInd w:val="0"/>
        <w:snapToGrid w:val="0"/>
        <w:spacing w:line="360" w:lineRule="auto"/>
        <w:ind w:firstLine="480" w:firstLineChars="200"/>
        <w:rPr>
          <w:rFonts w:hAnsi="宋体"/>
          <w:kern w:val="0"/>
          <w:sz w:val="24"/>
        </w:rPr>
      </w:pPr>
      <w:r>
        <w:rPr>
          <w:rFonts w:hint="eastAsia" w:hAnsi="宋体"/>
          <w:kern w:val="0"/>
          <w:sz w:val="24"/>
        </w:rPr>
        <w:t>经办会计师：沈兆杰、李隐煜</w:t>
      </w:r>
    </w:p>
    <w:p w14:paraId="13C8ADC9">
      <w:pPr>
        <w:widowControl/>
        <w:adjustRightInd w:val="0"/>
        <w:snapToGrid w:val="0"/>
        <w:spacing w:line="360" w:lineRule="auto"/>
        <w:ind w:firstLine="480" w:firstLineChars="200"/>
        <w:rPr>
          <w:rFonts w:hAnsi="宋体"/>
          <w:kern w:val="0"/>
          <w:sz w:val="24"/>
        </w:rPr>
      </w:pPr>
      <w:r>
        <w:rPr>
          <w:rFonts w:hint="eastAsia" w:hAnsi="宋体"/>
          <w:kern w:val="0"/>
          <w:sz w:val="24"/>
        </w:rPr>
        <w:t>联系人：李隐煜</w:t>
      </w:r>
    </w:p>
    <w:p w14:paraId="7413A7C6">
      <w:pPr>
        <w:widowControl/>
        <w:adjustRightInd w:val="0"/>
        <w:snapToGrid w:val="0"/>
        <w:spacing w:line="360" w:lineRule="auto"/>
        <w:ind w:firstLine="480" w:firstLineChars="200"/>
        <w:rPr>
          <w:rFonts w:hAnsi="宋体"/>
          <w:kern w:val="0"/>
          <w:sz w:val="24"/>
        </w:rPr>
      </w:pPr>
    </w:p>
    <w:p w14:paraId="46196E4E">
      <w:pPr>
        <w:widowControl/>
        <w:adjustRightInd w:val="0"/>
        <w:snapToGrid w:val="0"/>
        <w:spacing w:line="360" w:lineRule="auto"/>
        <w:ind w:firstLine="480" w:firstLineChars="200"/>
        <w:rPr>
          <w:rFonts w:hint="eastAsia"/>
          <w:kern w:val="0"/>
          <w:sz w:val="24"/>
        </w:rPr>
      </w:pPr>
    </w:p>
    <w:p w14:paraId="0C79CCC9">
      <w:pPr>
        <w:widowControl/>
        <w:adjustRightInd w:val="0"/>
        <w:snapToGrid w:val="0"/>
        <w:spacing w:line="360" w:lineRule="auto"/>
        <w:ind w:firstLine="480" w:firstLineChars="200"/>
        <w:rPr>
          <w:rFonts w:hAnsi="宋体"/>
          <w:kern w:val="0"/>
          <w:sz w:val="24"/>
        </w:rPr>
      </w:pPr>
    </w:p>
    <w:p w14:paraId="6E275D43">
      <w:pPr>
        <w:widowControl/>
        <w:adjustRightInd w:val="0"/>
        <w:snapToGrid w:val="0"/>
        <w:spacing w:line="360" w:lineRule="auto"/>
        <w:ind w:firstLine="480" w:firstLineChars="200"/>
        <w:jc w:val="right"/>
        <w:rPr>
          <w:kern w:val="0"/>
          <w:sz w:val="24"/>
        </w:rPr>
      </w:pPr>
      <w:r>
        <w:rPr>
          <w:kern w:val="0"/>
          <w:sz w:val="24"/>
        </w:rPr>
        <w:t>交银施罗德基金管理有限公司</w:t>
      </w:r>
    </w:p>
    <w:p w14:paraId="65417301">
      <w:pPr>
        <w:widowControl/>
        <w:adjustRightInd w:val="0"/>
        <w:snapToGrid w:val="0"/>
        <w:spacing w:line="360" w:lineRule="auto"/>
        <w:ind w:firstLine="480" w:firstLineChars="200"/>
        <w:jc w:val="right"/>
        <w:rPr>
          <w:kern w:val="0"/>
          <w:sz w:val="24"/>
        </w:rPr>
      </w:pPr>
      <w:r>
        <w:rPr>
          <w:rFonts w:hint="eastAsia"/>
          <w:kern w:val="0"/>
          <w:sz w:val="24"/>
          <w:highlight w:val="none"/>
        </w:rPr>
        <w:t>二〇</w:t>
      </w:r>
      <w:r>
        <w:rPr>
          <w:rFonts w:hint="eastAsia"/>
          <w:kern w:val="0"/>
          <w:sz w:val="24"/>
          <w:highlight w:val="none"/>
        </w:rPr>
        <w:t>二</w:t>
      </w:r>
      <w:r>
        <w:rPr>
          <w:rFonts w:hint="eastAsia"/>
          <w:kern w:val="0"/>
          <w:sz w:val="24"/>
          <w:highlight w:val="none"/>
          <w:lang w:val="en-US" w:eastAsia="zh-CN"/>
        </w:rPr>
        <w:t>六</w:t>
      </w:r>
      <w:r>
        <w:rPr>
          <w:rFonts w:hint="eastAsia"/>
          <w:kern w:val="0"/>
          <w:sz w:val="24"/>
          <w:highlight w:val="none"/>
        </w:rPr>
        <w:t>年</w:t>
      </w:r>
      <w:r>
        <w:rPr>
          <w:rFonts w:hint="eastAsia"/>
          <w:kern w:val="0"/>
          <w:sz w:val="24"/>
          <w:highlight w:val="none"/>
          <w:lang w:val="en-US" w:eastAsia="zh-CN"/>
        </w:rPr>
        <w:t>十</w:t>
      </w:r>
      <w:r>
        <w:rPr>
          <w:rFonts w:hint="eastAsia"/>
          <w:kern w:val="0"/>
          <w:sz w:val="24"/>
          <w:highlight w:val="none"/>
        </w:rPr>
        <w:t>月</w:t>
      </w:r>
      <w:r>
        <w:rPr>
          <w:rFonts w:hint="eastAsia"/>
          <w:kern w:val="0"/>
          <w:sz w:val="24"/>
          <w:highlight w:val="none"/>
          <w:lang w:val="en-US" w:eastAsia="zh-CN"/>
        </w:rPr>
        <w:t>二十八</w:t>
      </w:r>
      <w:r>
        <w:rPr>
          <w:rFonts w:hint="eastAsia"/>
          <w:kern w:val="0"/>
          <w:sz w:val="24"/>
          <w:highlight w:val="none"/>
        </w:rPr>
        <w:t>日</w:t>
      </w:r>
    </w:p>
    <w:sectPr>
      <w:headerReference r:id="rId3" w:type="default"/>
      <w:footerReference r:id="rId4" w:type="default"/>
      <w:pgSz w:w="11906" w:h="16838"/>
      <w:pgMar w:top="1593" w:right="1800" w:bottom="124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等线"/>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LucidaSans">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84EBD">
    <w:pPr>
      <w:pStyle w:val="31"/>
      <w:jc w:val="center"/>
    </w:pPr>
    <w:r>
      <w:fldChar w:fldCharType="begin"/>
    </w:r>
    <w:r>
      <w:instrText xml:space="preserve"> PAGE   \* MERGEFORMAT </w:instrText>
    </w:r>
    <w:r>
      <w:fldChar w:fldCharType="separate"/>
    </w:r>
    <w:r>
      <w:rPr>
        <w:lang w:val="zh-CN"/>
      </w:rPr>
      <w:t>9</w:t>
    </w:r>
    <w:r>
      <w:rPr>
        <w:lang w:val="zh-CN"/>
      </w:rPr>
      <w:fldChar w:fldCharType="end"/>
    </w:r>
  </w:p>
  <w:p w14:paraId="578484F3">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4F71C">
    <w:pPr>
      <w:pStyle w:val="32"/>
      <w:pBdr>
        <w:bottom w:val="none" w:color="auto" w:sz="0" w:space="0"/>
      </w:pBdr>
      <w:tabs>
        <w:tab w:val="right" w:pos="8280"/>
      </w:tabs>
      <w:spacing w:line="160" w:lineRule="exact"/>
      <w:jc w:val="right"/>
    </w:pPr>
  </w:p>
  <w:p w14:paraId="2F2244F1">
    <w:pPr>
      <w:pStyle w:val="32"/>
      <w:pBdr>
        <w:bottom w:val="none" w:color="auto" w:sz="0" w:space="0"/>
      </w:pBdr>
      <w:tabs>
        <w:tab w:val="right" w:pos="8280"/>
      </w:tabs>
      <w:jc w:val="right"/>
      <w:rPr>
        <w:rFonts w:ascii="宋体"/>
      </w:rPr>
    </w:pPr>
    <w:r>
      <w:rPr>
        <w:rFonts w:hint="eastAsia" w:cs="宋体"/>
        <w:lang w:eastAsia="zh-CN"/>
      </w:rPr>
      <w:t>交银施罗德佳盛债券型证券投资基金</w:t>
    </w:r>
    <w:r>
      <w:rPr>
        <w:rFonts w:hint="eastAsia" w:cs="宋体"/>
      </w:rPr>
      <w:t>基金份额发售公告</w: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192405</wp:posOffset>
              </wp:positionV>
              <wp:extent cx="5257800" cy="0"/>
              <wp:effectExtent l="9525" t="11430" r="9525" b="762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ln>
                    </wps:spPr>
                    <wps:bodyPr/>
                  </wps:wsp>
                </a:graphicData>
              </a:graphic>
            </wp:anchor>
          </w:drawing>
        </mc:Choice>
        <mc:Fallback>
          <w:pict>
            <v:line id="Line 2" o:spid="_x0000_s1026" o:spt="20" style="position:absolute;left:0pt;margin-left:0pt;margin-top:15.15pt;height:0pt;width:414pt;z-index:251659264;mso-width-relative:page;mso-height-relative:page;" filled="f" stroked="t" coordsize="21600,21600" o:gfxdata="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Yx21LNMAAAAGAQAADwAAAAAAAAABACAAAAAiAAAAZHJzL2Rvd25yZXYu&#10;eG1sUEsBAhQAFAAAAAgAh07iQIsCeA3HAQAAnwMAAA4AAAAAAAAAAQAgAAAAIgEAAGRycy9lMm9E&#10;b2MueG1sUEsFBgAAAAAGAAYAWQEAAFsFA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B5EBD"/>
    <w:multiLevelType w:val="multilevel"/>
    <w:tmpl w:val="07AB5EBD"/>
    <w:lvl w:ilvl="0" w:tentative="0">
      <w:start w:val="1"/>
      <w:numFmt w:val="chineseCountingThousand"/>
      <w:suff w:val="nothing"/>
      <w:lvlText w:val="第 %1 章  "/>
      <w:lvlJc w:val="left"/>
      <w:pPr>
        <w:ind w:left="1532" w:hanging="1701"/>
      </w:pPr>
      <w:rPr>
        <w:rFonts w:hint="default" w:ascii="Arial" w:hAnsi="Arial"/>
        <w:b/>
        <w:i w:val="0"/>
        <w:sz w:val="28"/>
      </w:rPr>
    </w:lvl>
    <w:lvl w:ilvl="1" w:tentative="0">
      <w:start w:val="1"/>
      <w:numFmt w:val="chineseCountingThousand"/>
      <w:suff w:val="nothing"/>
      <w:lvlText w:val="第 %2 节  "/>
      <w:lvlJc w:val="left"/>
      <w:pPr>
        <w:ind w:left="1532" w:hanging="1701"/>
      </w:pPr>
      <w:rPr>
        <w:rFonts w:hint="default" w:ascii="Arial" w:hAnsi="Arial" w:eastAsia="宋体"/>
        <w:b/>
        <w:i w:val="0"/>
        <w:sz w:val="24"/>
        <w:szCs w:val="24"/>
      </w:rPr>
    </w:lvl>
    <w:lvl w:ilvl="2" w:tentative="0">
      <w:start w:val="1"/>
      <w:numFmt w:val="chineseCountingThousand"/>
      <w:suff w:val="nothing"/>
      <w:lvlText w:val="%3、  "/>
      <w:lvlJc w:val="left"/>
      <w:pPr>
        <w:ind w:left="-164" w:firstLine="562"/>
      </w:pPr>
      <w:rPr>
        <w:rFonts w:hint="eastAsia"/>
        <w:sz w:val="24"/>
      </w:rPr>
    </w:lvl>
    <w:lvl w:ilvl="3" w:tentative="0">
      <w:start w:val="1"/>
      <w:numFmt w:val="chineseCountingThousand"/>
      <w:suff w:val="nothing"/>
      <w:lvlText w:val="(%4)  "/>
      <w:lvlJc w:val="left"/>
      <w:pPr>
        <w:ind w:left="120" w:firstLine="562"/>
      </w:pPr>
      <w:rPr>
        <w:rFonts w:hint="default"/>
      </w:rPr>
    </w:lvl>
    <w:lvl w:ilvl="4" w:tentative="0">
      <w:start w:val="1"/>
      <w:numFmt w:val="decimal"/>
      <w:pStyle w:val="120"/>
      <w:suff w:val="nothing"/>
      <w:lvlText w:val="%5、  "/>
      <w:lvlJc w:val="left"/>
      <w:pPr>
        <w:ind w:left="878" w:firstLine="562"/>
      </w:pPr>
      <w:rPr>
        <w:rFonts w:hint="default"/>
      </w:rPr>
    </w:lvl>
    <w:lvl w:ilvl="5" w:tentative="0">
      <w:start w:val="1"/>
      <w:numFmt w:val="decimal"/>
      <w:pStyle w:val="121"/>
      <w:suff w:val="nothing"/>
      <w:lvlText w:val="(%6)  "/>
      <w:lvlJc w:val="left"/>
      <w:pPr>
        <w:ind w:left="1152" w:firstLine="562"/>
      </w:pPr>
      <w:rPr>
        <w:rFonts w:hint="default"/>
      </w:rPr>
    </w:lvl>
    <w:lvl w:ilvl="6" w:tentative="0">
      <w:start w:val="1"/>
      <w:numFmt w:val="decimal"/>
      <w:lvlText w:val="%1.%2.%3.%4.%5.%6.%7"/>
      <w:lvlJc w:val="left"/>
      <w:pPr>
        <w:tabs>
          <w:tab w:val="left" w:pos="2056"/>
        </w:tabs>
        <w:ind w:left="1532" w:hanging="1701"/>
      </w:pPr>
      <w:rPr>
        <w:rFonts w:hint="default"/>
      </w:rPr>
    </w:lvl>
    <w:lvl w:ilvl="7" w:tentative="0">
      <w:start w:val="1"/>
      <w:numFmt w:val="decimal"/>
      <w:lvlText w:val="%1.%2.%3.%4.%5.%6.%7.%8"/>
      <w:lvlJc w:val="left"/>
      <w:pPr>
        <w:tabs>
          <w:tab w:val="left" w:pos="1696"/>
        </w:tabs>
        <w:ind w:left="1696" w:hanging="1440"/>
      </w:pPr>
      <w:rPr>
        <w:rFonts w:hint="default"/>
      </w:rPr>
    </w:lvl>
    <w:lvl w:ilvl="8" w:tentative="0">
      <w:start w:val="1"/>
      <w:numFmt w:val="decimal"/>
      <w:lvlText w:val="%1.%2.%3.%4.%5.%6.%7.%8.%9"/>
      <w:lvlJc w:val="left"/>
      <w:pPr>
        <w:tabs>
          <w:tab w:val="left" w:pos="1840"/>
        </w:tabs>
        <w:ind w:left="1840" w:hanging="1584"/>
      </w:pPr>
      <w:rPr>
        <w:rFonts w:hint="default"/>
      </w:rPr>
    </w:lvl>
  </w:abstractNum>
  <w:abstractNum w:abstractNumId="1">
    <w:nsid w:val="43B2480C"/>
    <w:multiLevelType w:val="singleLevel"/>
    <w:tmpl w:val="43B2480C"/>
    <w:lvl w:ilvl="0" w:tentative="0">
      <w:start w:val="1"/>
      <w:numFmt w:val="bullet"/>
      <w:pStyle w:val="115"/>
      <w:lvlText w:val=""/>
      <w:lvlJc w:val="left"/>
      <w:pPr>
        <w:tabs>
          <w:tab w:val="left" w:pos="680"/>
        </w:tabs>
        <w:ind w:left="680" w:hanging="680"/>
      </w:pPr>
      <w:rPr>
        <w:rFonts w:hint="default" w:ascii="Symbol" w:hAnsi="Symbo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D8B"/>
    <w:rsid w:val="000030C3"/>
    <w:rsid w:val="00004239"/>
    <w:rsid w:val="00006222"/>
    <w:rsid w:val="000062C8"/>
    <w:rsid w:val="00007337"/>
    <w:rsid w:val="00011AC2"/>
    <w:rsid w:val="00012CCB"/>
    <w:rsid w:val="000135DE"/>
    <w:rsid w:val="00014946"/>
    <w:rsid w:val="00015066"/>
    <w:rsid w:val="000163D3"/>
    <w:rsid w:val="00016AB7"/>
    <w:rsid w:val="0001786B"/>
    <w:rsid w:val="00020471"/>
    <w:rsid w:val="00021B9C"/>
    <w:rsid w:val="0002209F"/>
    <w:rsid w:val="0002239D"/>
    <w:rsid w:val="00023652"/>
    <w:rsid w:val="0002385C"/>
    <w:rsid w:val="0002478D"/>
    <w:rsid w:val="000266A3"/>
    <w:rsid w:val="00026D4F"/>
    <w:rsid w:val="00027021"/>
    <w:rsid w:val="00027B7D"/>
    <w:rsid w:val="00030C4F"/>
    <w:rsid w:val="00031F47"/>
    <w:rsid w:val="00032473"/>
    <w:rsid w:val="00032E01"/>
    <w:rsid w:val="0003308E"/>
    <w:rsid w:val="00033BD5"/>
    <w:rsid w:val="00034A64"/>
    <w:rsid w:val="0003597F"/>
    <w:rsid w:val="000371F3"/>
    <w:rsid w:val="000371FB"/>
    <w:rsid w:val="00040C9D"/>
    <w:rsid w:val="0004329A"/>
    <w:rsid w:val="0004367B"/>
    <w:rsid w:val="00043A2B"/>
    <w:rsid w:val="00043C21"/>
    <w:rsid w:val="00044353"/>
    <w:rsid w:val="000448AD"/>
    <w:rsid w:val="00045253"/>
    <w:rsid w:val="00046BCB"/>
    <w:rsid w:val="00046DE0"/>
    <w:rsid w:val="00046F16"/>
    <w:rsid w:val="000530AF"/>
    <w:rsid w:val="000543DA"/>
    <w:rsid w:val="00054729"/>
    <w:rsid w:val="00056A64"/>
    <w:rsid w:val="00056EAB"/>
    <w:rsid w:val="00057391"/>
    <w:rsid w:val="00057871"/>
    <w:rsid w:val="000608AF"/>
    <w:rsid w:val="000613A0"/>
    <w:rsid w:val="00061407"/>
    <w:rsid w:val="000625B0"/>
    <w:rsid w:val="000629CB"/>
    <w:rsid w:val="000643A1"/>
    <w:rsid w:val="00064F3C"/>
    <w:rsid w:val="00066854"/>
    <w:rsid w:val="00066D73"/>
    <w:rsid w:val="00067D8D"/>
    <w:rsid w:val="00067FCA"/>
    <w:rsid w:val="00070C95"/>
    <w:rsid w:val="0007154E"/>
    <w:rsid w:val="00073141"/>
    <w:rsid w:val="00074376"/>
    <w:rsid w:val="00075B34"/>
    <w:rsid w:val="0007627C"/>
    <w:rsid w:val="00076FDA"/>
    <w:rsid w:val="00077EFA"/>
    <w:rsid w:val="00080661"/>
    <w:rsid w:val="000807AC"/>
    <w:rsid w:val="00080B8E"/>
    <w:rsid w:val="0008138C"/>
    <w:rsid w:val="00081518"/>
    <w:rsid w:val="00081D32"/>
    <w:rsid w:val="00081E36"/>
    <w:rsid w:val="0008248B"/>
    <w:rsid w:val="00082CEC"/>
    <w:rsid w:val="00083771"/>
    <w:rsid w:val="00083988"/>
    <w:rsid w:val="00083EFC"/>
    <w:rsid w:val="0008451D"/>
    <w:rsid w:val="000845A5"/>
    <w:rsid w:val="00084ED5"/>
    <w:rsid w:val="00084F82"/>
    <w:rsid w:val="0008538E"/>
    <w:rsid w:val="000855D4"/>
    <w:rsid w:val="0008646D"/>
    <w:rsid w:val="00087BC7"/>
    <w:rsid w:val="0009062F"/>
    <w:rsid w:val="00091FE1"/>
    <w:rsid w:val="0009228A"/>
    <w:rsid w:val="00093020"/>
    <w:rsid w:val="00093828"/>
    <w:rsid w:val="00094DCF"/>
    <w:rsid w:val="000952EA"/>
    <w:rsid w:val="0009613B"/>
    <w:rsid w:val="0009791D"/>
    <w:rsid w:val="000A08C7"/>
    <w:rsid w:val="000A0C30"/>
    <w:rsid w:val="000A0CF9"/>
    <w:rsid w:val="000A44BB"/>
    <w:rsid w:val="000A4A0F"/>
    <w:rsid w:val="000A4C7D"/>
    <w:rsid w:val="000A6153"/>
    <w:rsid w:val="000A6190"/>
    <w:rsid w:val="000A62A6"/>
    <w:rsid w:val="000A66FA"/>
    <w:rsid w:val="000B003C"/>
    <w:rsid w:val="000B140E"/>
    <w:rsid w:val="000B1756"/>
    <w:rsid w:val="000B1CA1"/>
    <w:rsid w:val="000B68BD"/>
    <w:rsid w:val="000B7E82"/>
    <w:rsid w:val="000B7F7F"/>
    <w:rsid w:val="000C182F"/>
    <w:rsid w:val="000C2593"/>
    <w:rsid w:val="000C2824"/>
    <w:rsid w:val="000C32C3"/>
    <w:rsid w:val="000C3722"/>
    <w:rsid w:val="000C374E"/>
    <w:rsid w:val="000C4067"/>
    <w:rsid w:val="000C4F12"/>
    <w:rsid w:val="000C4FD1"/>
    <w:rsid w:val="000C5031"/>
    <w:rsid w:val="000C57DC"/>
    <w:rsid w:val="000C5BB3"/>
    <w:rsid w:val="000C6708"/>
    <w:rsid w:val="000C6AA6"/>
    <w:rsid w:val="000C7496"/>
    <w:rsid w:val="000C769E"/>
    <w:rsid w:val="000C7ADD"/>
    <w:rsid w:val="000C7ECB"/>
    <w:rsid w:val="000D0479"/>
    <w:rsid w:val="000D0686"/>
    <w:rsid w:val="000D0F80"/>
    <w:rsid w:val="000D143C"/>
    <w:rsid w:val="000D33E0"/>
    <w:rsid w:val="000D5798"/>
    <w:rsid w:val="000D5C19"/>
    <w:rsid w:val="000E0B96"/>
    <w:rsid w:val="000E1118"/>
    <w:rsid w:val="000E12EF"/>
    <w:rsid w:val="000E22A5"/>
    <w:rsid w:val="000E266A"/>
    <w:rsid w:val="000E3549"/>
    <w:rsid w:val="000E5B07"/>
    <w:rsid w:val="000E74D7"/>
    <w:rsid w:val="000F0C1D"/>
    <w:rsid w:val="000F2255"/>
    <w:rsid w:val="000F2CCD"/>
    <w:rsid w:val="000F5A46"/>
    <w:rsid w:val="000F5C6D"/>
    <w:rsid w:val="000F5E92"/>
    <w:rsid w:val="000F69F8"/>
    <w:rsid w:val="000F7F90"/>
    <w:rsid w:val="00100478"/>
    <w:rsid w:val="0010123A"/>
    <w:rsid w:val="0010342F"/>
    <w:rsid w:val="00103D9A"/>
    <w:rsid w:val="001058CB"/>
    <w:rsid w:val="00105E22"/>
    <w:rsid w:val="00106448"/>
    <w:rsid w:val="00106F6C"/>
    <w:rsid w:val="001071B2"/>
    <w:rsid w:val="00110051"/>
    <w:rsid w:val="001106EA"/>
    <w:rsid w:val="00110FDF"/>
    <w:rsid w:val="00112F75"/>
    <w:rsid w:val="00113786"/>
    <w:rsid w:val="00113B6D"/>
    <w:rsid w:val="00114137"/>
    <w:rsid w:val="0011417A"/>
    <w:rsid w:val="001148D5"/>
    <w:rsid w:val="00114987"/>
    <w:rsid w:val="001149E0"/>
    <w:rsid w:val="00116306"/>
    <w:rsid w:val="00116A93"/>
    <w:rsid w:val="001172E0"/>
    <w:rsid w:val="001221B7"/>
    <w:rsid w:val="00122467"/>
    <w:rsid w:val="00122894"/>
    <w:rsid w:val="00122BE0"/>
    <w:rsid w:val="001245A1"/>
    <w:rsid w:val="0012527F"/>
    <w:rsid w:val="0012560F"/>
    <w:rsid w:val="00126895"/>
    <w:rsid w:val="00126F01"/>
    <w:rsid w:val="00127CD7"/>
    <w:rsid w:val="00131CEF"/>
    <w:rsid w:val="00132488"/>
    <w:rsid w:val="00136B1B"/>
    <w:rsid w:val="00136B50"/>
    <w:rsid w:val="001400D2"/>
    <w:rsid w:val="00143964"/>
    <w:rsid w:val="001448EA"/>
    <w:rsid w:val="001458E7"/>
    <w:rsid w:val="00146167"/>
    <w:rsid w:val="00151D56"/>
    <w:rsid w:val="00151EFB"/>
    <w:rsid w:val="00153D75"/>
    <w:rsid w:val="00155811"/>
    <w:rsid w:val="00156671"/>
    <w:rsid w:val="001605EA"/>
    <w:rsid w:val="001608E7"/>
    <w:rsid w:val="00162055"/>
    <w:rsid w:val="00163D55"/>
    <w:rsid w:val="0016403C"/>
    <w:rsid w:val="00164BA3"/>
    <w:rsid w:val="00164D2A"/>
    <w:rsid w:val="001657A6"/>
    <w:rsid w:val="0016597C"/>
    <w:rsid w:val="00165D58"/>
    <w:rsid w:val="001665AD"/>
    <w:rsid w:val="001668D5"/>
    <w:rsid w:val="0017056F"/>
    <w:rsid w:val="00170CE0"/>
    <w:rsid w:val="00171072"/>
    <w:rsid w:val="00171C47"/>
    <w:rsid w:val="00172036"/>
    <w:rsid w:val="00172163"/>
    <w:rsid w:val="00172240"/>
    <w:rsid w:val="001724F4"/>
    <w:rsid w:val="00172A27"/>
    <w:rsid w:val="00172F45"/>
    <w:rsid w:val="001733BC"/>
    <w:rsid w:val="00174BE9"/>
    <w:rsid w:val="0017594F"/>
    <w:rsid w:val="00176589"/>
    <w:rsid w:val="001776F6"/>
    <w:rsid w:val="00180BBA"/>
    <w:rsid w:val="00182162"/>
    <w:rsid w:val="00182D49"/>
    <w:rsid w:val="00183689"/>
    <w:rsid w:val="00183C1C"/>
    <w:rsid w:val="00184C51"/>
    <w:rsid w:val="00184E31"/>
    <w:rsid w:val="00186442"/>
    <w:rsid w:val="001872C5"/>
    <w:rsid w:val="00187894"/>
    <w:rsid w:val="00187DDD"/>
    <w:rsid w:val="00192C18"/>
    <w:rsid w:val="0019367F"/>
    <w:rsid w:val="00194568"/>
    <w:rsid w:val="00194EE3"/>
    <w:rsid w:val="00196292"/>
    <w:rsid w:val="0019631F"/>
    <w:rsid w:val="001A0648"/>
    <w:rsid w:val="001A11C7"/>
    <w:rsid w:val="001A149F"/>
    <w:rsid w:val="001A1752"/>
    <w:rsid w:val="001A1A8A"/>
    <w:rsid w:val="001A1EBD"/>
    <w:rsid w:val="001A1EEC"/>
    <w:rsid w:val="001A23C4"/>
    <w:rsid w:val="001A2EE7"/>
    <w:rsid w:val="001A3564"/>
    <w:rsid w:val="001A3DE1"/>
    <w:rsid w:val="001A3EB9"/>
    <w:rsid w:val="001A42E6"/>
    <w:rsid w:val="001A49EE"/>
    <w:rsid w:val="001A5068"/>
    <w:rsid w:val="001A5F0D"/>
    <w:rsid w:val="001A5FFE"/>
    <w:rsid w:val="001A68BE"/>
    <w:rsid w:val="001B0C97"/>
    <w:rsid w:val="001B16B9"/>
    <w:rsid w:val="001B1902"/>
    <w:rsid w:val="001B2E4B"/>
    <w:rsid w:val="001B37C9"/>
    <w:rsid w:val="001B3A0F"/>
    <w:rsid w:val="001B69C4"/>
    <w:rsid w:val="001B6FA6"/>
    <w:rsid w:val="001B7FAE"/>
    <w:rsid w:val="001C0B2F"/>
    <w:rsid w:val="001C0F4A"/>
    <w:rsid w:val="001C11F5"/>
    <w:rsid w:val="001C168C"/>
    <w:rsid w:val="001C19A9"/>
    <w:rsid w:val="001C1AEF"/>
    <w:rsid w:val="001C1D02"/>
    <w:rsid w:val="001C2695"/>
    <w:rsid w:val="001C4403"/>
    <w:rsid w:val="001C5B7C"/>
    <w:rsid w:val="001C62A3"/>
    <w:rsid w:val="001C62BB"/>
    <w:rsid w:val="001C646F"/>
    <w:rsid w:val="001C65D8"/>
    <w:rsid w:val="001C686B"/>
    <w:rsid w:val="001C7D22"/>
    <w:rsid w:val="001D15CD"/>
    <w:rsid w:val="001D2A72"/>
    <w:rsid w:val="001D2E28"/>
    <w:rsid w:val="001D41BE"/>
    <w:rsid w:val="001D4281"/>
    <w:rsid w:val="001D45E2"/>
    <w:rsid w:val="001D5D14"/>
    <w:rsid w:val="001D6DA9"/>
    <w:rsid w:val="001D6F06"/>
    <w:rsid w:val="001E0C86"/>
    <w:rsid w:val="001E0D64"/>
    <w:rsid w:val="001E14DB"/>
    <w:rsid w:val="001E2465"/>
    <w:rsid w:val="001E31E0"/>
    <w:rsid w:val="001E5DAC"/>
    <w:rsid w:val="001E5E7F"/>
    <w:rsid w:val="001E6A1F"/>
    <w:rsid w:val="001E7AE9"/>
    <w:rsid w:val="001E7DAF"/>
    <w:rsid w:val="001F3B8C"/>
    <w:rsid w:val="001F3E19"/>
    <w:rsid w:val="001F51FF"/>
    <w:rsid w:val="001F60B0"/>
    <w:rsid w:val="001F786E"/>
    <w:rsid w:val="001F7B68"/>
    <w:rsid w:val="002011DF"/>
    <w:rsid w:val="00203CE6"/>
    <w:rsid w:val="002040C1"/>
    <w:rsid w:val="0020492D"/>
    <w:rsid w:val="00204AE9"/>
    <w:rsid w:val="00204B47"/>
    <w:rsid w:val="00204B5A"/>
    <w:rsid w:val="002050E5"/>
    <w:rsid w:val="002071E7"/>
    <w:rsid w:val="002076D2"/>
    <w:rsid w:val="00207B0A"/>
    <w:rsid w:val="00210009"/>
    <w:rsid w:val="00211EEA"/>
    <w:rsid w:val="002130F4"/>
    <w:rsid w:val="00213CA3"/>
    <w:rsid w:val="0021457F"/>
    <w:rsid w:val="00214FD0"/>
    <w:rsid w:val="00215DE7"/>
    <w:rsid w:val="00216403"/>
    <w:rsid w:val="00217A0E"/>
    <w:rsid w:val="002225C8"/>
    <w:rsid w:val="00222C2E"/>
    <w:rsid w:val="00223C2A"/>
    <w:rsid w:val="00224D1F"/>
    <w:rsid w:val="002255AD"/>
    <w:rsid w:val="00227E2D"/>
    <w:rsid w:val="00230EF1"/>
    <w:rsid w:val="00231994"/>
    <w:rsid w:val="00232D70"/>
    <w:rsid w:val="00233C66"/>
    <w:rsid w:val="00234F32"/>
    <w:rsid w:val="002351BA"/>
    <w:rsid w:val="002373B8"/>
    <w:rsid w:val="00237D60"/>
    <w:rsid w:val="00237DC8"/>
    <w:rsid w:val="00242A2E"/>
    <w:rsid w:val="00243378"/>
    <w:rsid w:val="0024338E"/>
    <w:rsid w:val="002448B3"/>
    <w:rsid w:val="002465FE"/>
    <w:rsid w:val="002469D9"/>
    <w:rsid w:val="00246E02"/>
    <w:rsid w:val="00250348"/>
    <w:rsid w:val="002520B9"/>
    <w:rsid w:val="002534B7"/>
    <w:rsid w:val="00253F24"/>
    <w:rsid w:val="002542CA"/>
    <w:rsid w:val="00254542"/>
    <w:rsid w:val="0025461F"/>
    <w:rsid w:val="00255005"/>
    <w:rsid w:val="0025510E"/>
    <w:rsid w:val="00255B6C"/>
    <w:rsid w:val="0025673D"/>
    <w:rsid w:val="00256FA0"/>
    <w:rsid w:val="00257074"/>
    <w:rsid w:val="002570A7"/>
    <w:rsid w:val="00257137"/>
    <w:rsid w:val="00257CC3"/>
    <w:rsid w:val="002601C5"/>
    <w:rsid w:val="00261CDF"/>
    <w:rsid w:val="002633A1"/>
    <w:rsid w:val="00263A85"/>
    <w:rsid w:val="002645C8"/>
    <w:rsid w:val="00265396"/>
    <w:rsid w:val="0026557D"/>
    <w:rsid w:val="002658E4"/>
    <w:rsid w:val="00265EEE"/>
    <w:rsid w:val="00266C38"/>
    <w:rsid w:val="00267E61"/>
    <w:rsid w:val="00267F21"/>
    <w:rsid w:val="0027109F"/>
    <w:rsid w:val="002720E1"/>
    <w:rsid w:val="002721DA"/>
    <w:rsid w:val="00272204"/>
    <w:rsid w:val="00272481"/>
    <w:rsid w:val="002749E7"/>
    <w:rsid w:val="0027504C"/>
    <w:rsid w:val="002750EA"/>
    <w:rsid w:val="0027570E"/>
    <w:rsid w:val="00276B29"/>
    <w:rsid w:val="002804E3"/>
    <w:rsid w:val="00281C93"/>
    <w:rsid w:val="00282782"/>
    <w:rsid w:val="00282CD6"/>
    <w:rsid w:val="00284056"/>
    <w:rsid w:val="002865EB"/>
    <w:rsid w:val="00286D1E"/>
    <w:rsid w:val="00290911"/>
    <w:rsid w:val="002909B8"/>
    <w:rsid w:val="00290FC6"/>
    <w:rsid w:val="002918B6"/>
    <w:rsid w:val="0029250E"/>
    <w:rsid w:val="00293B92"/>
    <w:rsid w:val="00293C01"/>
    <w:rsid w:val="00293D96"/>
    <w:rsid w:val="00293DA4"/>
    <w:rsid w:val="002949DC"/>
    <w:rsid w:val="00295299"/>
    <w:rsid w:val="0029619C"/>
    <w:rsid w:val="0029786A"/>
    <w:rsid w:val="002A09C9"/>
    <w:rsid w:val="002A0ADA"/>
    <w:rsid w:val="002A0C97"/>
    <w:rsid w:val="002A10E2"/>
    <w:rsid w:val="002A1436"/>
    <w:rsid w:val="002A1732"/>
    <w:rsid w:val="002A353A"/>
    <w:rsid w:val="002A3A85"/>
    <w:rsid w:val="002A3A91"/>
    <w:rsid w:val="002A456E"/>
    <w:rsid w:val="002A4586"/>
    <w:rsid w:val="002B0AD8"/>
    <w:rsid w:val="002B29DB"/>
    <w:rsid w:val="002B2DFB"/>
    <w:rsid w:val="002B4704"/>
    <w:rsid w:val="002B48F5"/>
    <w:rsid w:val="002B4F20"/>
    <w:rsid w:val="002B5747"/>
    <w:rsid w:val="002B5C65"/>
    <w:rsid w:val="002B6822"/>
    <w:rsid w:val="002B6E87"/>
    <w:rsid w:val="002B6EE3"/>
    <w:rsid w:val="002B7776"/>
    <w:rsid w:val="002C0FFA"/>
    <w:rsid w:val="002C118B"/>
    <w:rsid w:val="002C1A0A"/>
    <w:rsid w:val="002C1C4E"/>
    <w:rsid w:val="002C231D"/>
    <w:rsid w:val="002C5140"/>
    <w:rsid w:val="002C5E8D"/>
    <w:rsid w:val="002C6D73"/>
    <w:rsid w:val="002C7583"/>
    <w:rsid w:val="002D0B9F"/>
    <w:rsid w:val="002D1F25"/>
    <w:rsid w:val="002D2B2F"/>
    <w:rsid w:val="002D3B95"/>
    <w:rsid w:val="002D3D64"/>
    <w:rsid w:val="002D4317"/>
    <w:rsid w:val="002D4711"/>
    <w:rsid w:val="002D4C00"/>
    <w:rsid w:val="002D55F6"/>
    <w:rsid w:val="002D5EC4"/>
    <w:rsid w:val="002D65AF"/>
    <w:rsid w:val="002D6D77"/>
    <w:rsid w:val="002D76A2"/>
    <w:rsid w:val="002E1A7E"/>
    <w:rsid w:val="002E28AD"/>
    <w:rsid w:val="002E3B8E"/>
    <w:rsid w:val="002E418E"/>
    <w:rsid w:val="002E550F"/>
    <w:rsid w:val="002E5FA6"/>
    <w:rsid w:val="002E6A37"/>
    <w:rsid w:val="002F024D"/>
    <w:rsid w:val="002F1127"/>
    <w:rsid w:val="002F156B"/>
    <w:rsid w:val="002F16CF"/>
    <w:rsid w:val="002F1839"/>
    <w:rsid w:val="002F24F6"/>
    <w:rsid w:val="002F27BC"/>
    <w:rsid w:val="002F3544"/>
    <w:rsid w:val="002F5E03"/>
    <w:rsid w:val="002F6851"/>
    <w:rsid w:val="003008D1"/>
    <w:rsid w:val="003015B3"/>
    <w:rsid w:val="00302846"/>
    <w:rsid w:val="0030318F"/>
    <w:rsid w:val="003052FF"/>
    <w:rsid w:val="00307B3E"/>
    <w:rsid w:val="00311CD6"/>
    <w:rsid w:val="0031207D"/>
    <w:rsid w:val="00315C7C"/>
    <w:rsid w:val="00315E2F"/>
    <w:rsid w:val="00316F0B"/>
    <w:rsid w:val="003209D9"/>
    <w:rsid w:val="003219EC"/>
    <w:rsid w:val="0032211B"/>
    <w:rsid w:val="00322DCD"/>
    <w:rsid w:val="003252B0"/>
    <w:rsid w:val="00325431"/>
    <w:rsid w:val="00325748"/>
    <w:rsid w:val="00325C15"/>
    <w:rsid w:val="00325CE6"/>
    <w:rsid w:val="00326540"/>
    <w:rsid w:val="00326C68"/>
    <w:rsid w:val="00327424"/>
    <w:rsid w:val="00327764"/>
    <w:rsid w:val="00327891"/>
    <w:rsid w:val="003305F3"/>
    <w:rsid w:val="00331293"/>
    <w:rsid w:val="00331321"/>
    <w:rsid w:val="00331BDE"/>
    <w:rsid w:val="0033271D"/>
    <w:rsid w:val="0033284B"/>
    <w:rsid w:val="003347ED"/>
    <w:rsid w:val="0033492A"/>
    <w:rsid w:val="00334C5E"/>
    <w:rsid w:val="00336007"/>
    <w:rsid w:val="00336728"/>
    <w:rsid w:val="00337F06"/>
    <w:rsid w:val="00340E4B"/>
    <w:rsid w:val="00342DDE"/>
    <w:rsid w:val="0034394B"/>
    <w:rsid w:val="00343CFC"/>
    <w:rsid w:val="00343E78"/>
    <w:rsid w:val="00345F95"/>
    <w:rsid w:val="00347405"/>
    <w:rsid w:val="00347BB4"/>
    <w:rsid w:val="003505F8"/>
    <w:rsid w:val="003515F5"/>
    <w:rsid w:val="00352248"/>
    <w:rsid w:val="0035242C"/>
    <w:rsid w:val="003526F6"/>
    <w:rsid w:val="00353175"/>
    <w:rsid w:val="0035458A"/>
    <w:rsid w:val="003545A6"/>
    <w:rsid w:val="003560F9"/>
    <w:rsid w:val="003569DE"/>
    <w:rsid w:val="00356AA2"/>
    <w:rsid w:val="00357108"/>
    <w:rsid w:val="00357BAA"/>
    <w:rsid w:val="003601FD"/>
    <w:rsid w:val="00361745"/>
    <w:rsid w:val="00361FB0"/>
    <w:rsid w:val="00362D75"/>
    <w:rsid w:val="00363D14"/>
    <w:rsid w:val="00364B78"/>
    <w:rsid w:val="00364DD0"/>
    <w:rsid w:val="00364E65"/>
    <w:rsid w:val="003662BD"/>
    <w:rsid w:val="00370274"/>
    <w:rsid w:val="00370AB0"/>
    <w:rsid w:val="00371C7E"/>
    <w:rsid w:val="0037204A"/>
    <w:rsid w:val="003725E1"/>
    <w:rsid w:val="003736A5"/>
    <w:rsid w:val="003744DA"/>
    <w:rsid w:val="003754CD"/>
    <w:rsid w:val="00377C27"/>
    <w:rsid w:val="003803E5"/>
    <w:rsid w:val="0038086C"/>
    <w:rsid w:val="00382296"/>
    <w:rsid w:val="0038284A"/>
    <w:rsid w:val="00383244"/>
    <w:rsid w:val="003833BE"/>
    <w:rsid w:val="00383D31"/>
    <w:rsid w:val="00383E77"/>
    <w:rsid w:val="00384968"/>
    <w:rsid w:val="00384C02"/>
    <w:rsid w:val="003856D3"/>
    <w:rsid w:val="00385A03"/>
    <w:rsid w:val="00385EB4"/>
    <w:rsid w:val="003860E9"/>
    <w:rsid w:val="00386AE5"/>
    <w:rsid w:val="003871FA"/>
    <w:rsid w:val="00392572"/>
    <w:rsid w:val="00392722"/>
    <w:rsid w:val="0039282B"/>
    <w:rsid w:val="00393D4B"/>
    <w:rsid w:val="00394063"/>
    <w:rsid w:val="003948A1"/>
    <w:rsid w:val="00394A30"/>
    <w:rsid w:val="00394DCD"/>
    <w:rsid w:val="00394FAD"/>
    <w:rsid w:val="00395B86"/>
    <w:rsid w:val="00395DF3"/>
    <w:rsid w:val="003975A3"/>
    <w:rsid w:val="0039791B"/>
    <w:rsid w:val="003A05E4"/>
    <w:rsid w:val="003A0A58"/>
    <w:rsid w:val="003A0E32"/>
    <w:rsid w:val="003A1B8B"/>
    <w:rsid w:val="003A1BDB"/>
    <w:rsid w:val="003A1CD6"/>
    <w:rsid w:val="003A2B06"/>
    <w:rsid w:val="003A2D6A"/>
    <w:rsid w:val="003A39A4"/>
    <w:rsid w:val="003A4DD9"/>
    <w:rsid w:val="003A6D15"/>
    <w:rsid w:val="003A6ED0"/>
    <w:rsid w:val="003A720B"/>
    <w:rsid w:val="003A74AD"/>
    <w:rsid w:val="003B0AF5"/>
    <w:rsid w:val="003B125C"/>
    <w:rsid w:val="003B16F2"/>
    <w:rsid w:val="003B1CD6"/>
    <w:rsid w:val="003B325A"/>
    <w:rsid w:val="003B5187"/>
    <w:rsid w:val="003B68D8"/>
    <w:rsid w:val="003B731C"/>
    <w:rsid w:val="003B79E7"/>
    <w:rsid w:val="003C620C"/>
    <w:rsid w:val="003C6B28"/>
    <w:rsid w:val="003C721E"/>
    <w:rsid w:val="003C72E2"/>
    <w:rsid w:val="003C7D08"/>
    <w:rsid w:val="003D00A5"/>
    <w:rsid w:val="003D0269"/>
    <w:rsid w:val="003D0715"/>
    <w:rsid w:val="003D07CB"/>
    <w:rsid w:val="003D2613"/>
    <w:rsid w:val="003D3FF0"/>
    <w:rsid w:val="003D579D"/>
    <w:rsid w:val="003D6204"/>
    <w:rsid w:val="003D6DAA"/>
    <w:rsid w:val="003D6DB1"/>
    <w:rsid w:val="003D72B3"/>
    <w:rsid w:val="003E0138"/>
    <w:rsid w:val="003E0634"/>
    <w:rsid w:val="003E2872"/>
    <w:rsid w:val="003E2ADA"/>
    <w:rsid w:val="003E2DFD"/>
    <w:rsid w:val="003E2E2E"/>
    <w:rsid w:val="003E2EC4"/>
    <w:rsid w:val="003E2FD1"/>
    <w:rsid w:val="003E4736"/>
    <w:rsid w:val="003E678F"/>
    <w:rsid w:val="003E6868"/>
    <w:rsid w:val="003E6A82"/>
    <w:rsid w:val="003E6BFB"/>
    <w:rsid w:val="003E7520"/>
    <w:rsid w:val="003F0514"/>
    <w:rsid w:val="003F06BE"/>
    <w:rsid w:val="003F0926"/>
    <w:rsid w:val="003F14A3"/>
    <w:rsid w:val="003F27FF"/>
    <w:rsid w:val="003F3A5D"/>
    <w:rsid w:val="003F40CB"/>
    <w:rsid w:val="003F46DE"/>
    <w:rsid w:val="003F528E"/>
    <w:rsid w:val="00400CA3"/>
    <w:rsid w:val="00401052"/>
    <w:rsid w:val="00401AC3"/>
    <w:rsid w:val="0040239C"/>
    <w:rsid w:val="0040330D"/>
    <w:rsid w:val="00403B8C"/>
    <w:rsid w:val="00404021"/>
    <w:rsid w:val="00405AE7"/>
    <w:rsid w:val="00405BDD"/>
    <w:rsid w:val="00406A38"/>
    <w:rsid w:val="004074CF"/>
    <w:rsid w:val="00407CEC"/>
    <w:rsid w:val="00410BAD"/>
    <w:rsid w:val="00411DE6"/>
    <w:rsid w:val="00412881"/>
    <w:rsid w:val="00412EF8"/>
    <w:rsid w:val="00413FEB"/>
    <w:rsid w:val="00414F88"/>
    <w:rsid w:val="00415FA5"/>
    <w:rsid w:val="0041671D"/>
    <w:rsid w:val="004171A5"/>
    <w:rsid w:val="00417F8D"/>
    <w:rsid w:val="004209FA"/>
    <w:rsid w:val="00422634"/>
    <w:rsid w:val="00422BC7"/>
    <w:rsid w:val="00424770"/>
    <w:rsid w:val="00424F85"/>
    <w:rsid w:val="0042564B"/>
    <w:rsid w:val="00426D37"/>
    <w:rsid w:val="004275F1"/>
    <w:rsid w:val="00427F6A"/>
    <w:rsid w:val="00430575"/>
    <w:rsid w:val="00430BB4"/>
    <w:rsid w:val="0043111B"/>
    <w:rsid w:val="00431E54"/>
    <w:rsid w:val="00433257"/>
    <w:rsid w:val="0043376E"/>
    <w:rsid w:val="00434837"/>
    <w:rsid w:val="00435336"/>
    <w:rsid w:val="004366E3"/>
    <w:rsid w:val="00436F9C"/>
    <w:rsid w:val="00437182"/>
    <w:rsid w:val="00437568"/>
    <w:rsid w:val="004400BA"/>
    <w:rsid w:val="00441524"/>
    <w:rsid w:val="00441B2A"/>
    <w:rsid w:val="00442979"/>
    <w:rsid w:val="0044319D"/>
    <w:rsid w:val="00444546"/>
    <w:rsid w:val="004446BE"/>
    <w:rsid w:val="00444DAE"/>
    <w:rsid w:val="00445238"/>
    <w:rsid w:val="004452F9"/>
    <w:rsid w:val="004453DB"/>
    <w:rsid w:val="00451C85"/>
    <w:rsid w:val="00452A97"/>
    <w:rsid w:val="00452BA4"/>
    <w:rsid w:val="00453AD0"/>
    <w:rsid w:val="00453EF8"/>
    <w:rsid w:val="00454DD9"/>
    <w:rsid w:val="00455727"/>
    <w:rsid w:val="00457ACB"/>
    <w:rsid w:val="004606D3"/>
    <w:rsid w:val="004607BC"/>
    <w:rsid w:val="004611A7"/>
    <w:rsid w:val="00461289"/>
    <w:rsid w:val="00464A83"/>
    <w:rsid w:val="00465711"/>
    <w:rsid w:val="00465EF1"/>
    <w:rsid w:val="004663CF"/>
    <w:rsid w:val="00466B6A"/>
    <w:rsid w:val="004671A8"/>
    <w:rsid w:val="00467ADC"/>
    <w:rsid w:val="004713CA"/>
    <w:rsid w:val="0047260B"/>
    <w:rsid w:val="00474167"/>
    <w:rsid w:val="004749C5"/>
    <w:rsid w:val="00475172"/>
    <w:rsid w:val="004752E7"/>
    <w:rsid w:val="004762AB"/>
    <w:rsid w:val="004771B0"/>
    <w:rsid w:val="004777FB"/>
    <w:rsid w:val="004779C5"/>
    <w:rsid w:val="00477E61"/>
    <w:rsid w:val="004812E6"/>
    <w:rsid w:val="00481CAB"/>
    <w:rsid w:val="00482AC5"/>
    <w:rsid w:val="00483498"/>
    <w:rsid w:val="00483981"/>
    <w:rsid w:val="00487F0D"/>
    <w:rsid w:val="004907A6"/>
    <w:rsid w:val="00490FA4"/>
    <w:rsid w:val="0049112E"/>
    <w:rsid w:val="00491217"/>
    <w:rsid w:val="00491313"/>
    <w:rsid w:val="00493A04"/>
    <w:rsid w:val="00493DE0"/>
    <w:rsid w:val="00494225"/>
    <w:rsid w:val="00496815"/>
    <w:rsid w:val="00496B35"/>
    <w:rsid w:val="00497728"/>
    <w:rsid w:val="004A0B61"/>
    <w:rsid w:val="004A1D92"/>
    <w:rsid w:val="004A2CC6"/>
    <w:rsid w:val="004A3D28"/>
    <w:rsid w:val="004A4099"/>
    <w:rsid w:val="004A6DDE"/>
    <w:rsid w:val="004A731A"/>
    <w:rsid w:val="004A798F"/>
    <w:rsid w:val="004A7E95"/>
    <w:rsid w:val="004B0BED"/>
    <w:rsid w:val="004B1754"/>
    <w:rsid w:val="004B1F92"/>
    <w:rsid w:val="004B31AF"/>
    <w:rsid w:val="004B3564"/>
    <w:rsid w:val="004B3FF1"/>
    <w:rsid w:val="004B4F69"/>
    <w:rsid w:val="004B52F5"/>
    <w:rsid w:val="004B580A"/>
    <w:rsid w:val="004B595E"/>
    <w:rsid w:val="004B5D58"/>
    <w:rsid w:val="004B6CDE"/>
    <w:rsid w:val="004C0BB6"/>
    <w:rsid w:val="004C1488"/>
    <w:rsid w:val="004C188D"/>
    <w:rsid w:val="004C217F"/>
    <w:rsid w:val="004C2328"/>
    <w:rsid w:val="004C2F7D"/>
    <w:rsid w:val="004C357F"/>
    <w:rsid w:val="004C371A"/>
    <w:rsid w:val="004C3750"/>
    <w:rsid w:val="004C3A80"/>
    <w:rsid w:val="004C40FE"/>
    <w:rsid w:val="004C4482"/>
    <w:rsid w:val="004C45BF"/>
    <w:rsid w:val="004C49A1"/>
    <w:rsid w:val="004C4A97"/>
    <w:rsid w:val="004C5A6B"/>
    <w:rsid w:val="004C5F99"/>
    <w:rsid w:val="004C6806"/>
    <w:rsid w:val="004C6E5D"/>
    <w:rsid w:val="004C7864"/>
    <w:rsid w:val="004D0030"/>
    <w:rsid w:val="004D0526"/>
    <w:rsid w:val="004D1178"/>
    <w:rsid w:val="004D15E5"/>
    <w:rsid w:val="004D1C8A"/>
    <w:rsid w:val="004D2525"/>
    <w:rsid w:val="004D2807"/>
    <w:rsid w:val="004D2AE5"/>
    <w:rsid w:val="004D2E44"/>
    <w:rsid w:val="004D326E"/>
    <w:rsid w:val="004D3EB2"/>
    <w:rsid w:val="004D6446"/>
    <w:rsid w:val="004D7E6E"/>
    <w:rsid w:val="004D7F5D"/>
    <w:rsid w:val="004E0B0A"/>
    <w:rsid w:val="004E2043"/>
    <w:rsid w:val="004E22D8"/>
    <w:rsid w:val="004E2C3B"/>
    <w:rsid w:val="004E438D"/>
    <w:rsid w:val="004E6432"/>
    <w:rsid w:val="004E7EA8"/>
    <w:rsid w:val="004F0959"/>
    <w:rsid w:val="004F1477"/>
    <w:rsid w:val="004F1EB7"/>
    <w:rsid w:val="004F27CA"/>
    <w:rsid w:val="004F3BC5"/>
    <w:rsid w:val="004F4372"/>
    <w:rsid w:val="004F4D5C"/>
    <w:rsid w:val="004F6AF6"/>
    <w:rsid w:val="004F6D3C"/>
    <w:rsid w:val="004F719C"/>
    <w:rsid w:val="004F7812"/>
    <w:rsid w:val="005019A8"/>
    <w:rsid w:val="00502624"/>
    <w:rsid w:val="00502955"/>
    <w:rsid w:val="00503547"/>
    <w:rsid w:val="00504332"/>
    <w:rsid w:val="005046ED"/>
    <w:rsid w:val="0051035D"/>
    <w:rsid w:val="00512982"/>
    <w:rsid w:val="0051378F"/>
    <w:rsid w:val="005147C8"/>
    <w:rsid w:val="00515D66"/>
    <w:rsid w:val="0051602D"/>
    <w:rsid w:val="00516884"/>
    <w:rsid w:val="00520102"/>
    <w:rsid w:val="00520AE8"/>
    <w:rsid w:val="00521B4B"/>
    <w:rsid w:val="0052599F"/>
    <w:rsid w:val="0052765F"/>
    <w:rsid w:val="00527E36"/>
    <w:rsid w:val="00531819"/>
    <w:rsid w:val="00532762"/>
    <w:rsid w:val="005328FC"/>
    <w:rsid w:val="0053304C"/>
    <w:rsid w:val="0053386A"/>
    <w:rsid w:val="00534109"/>
    <w:rsid w:val="005348BC"/>
    <w:rsid w:val="0053560F"/>
    <w:rsid w:val="00537C9A"/>
    <w:rsid w:val="0054140E"/>
    <w:rsid w:val="00541424"/>
    <w:rsid w:val="0054324E"/>
    <w:rsid w:val="00547302"/>
    <w:rsid w:val="00550196"/>
    <w:rsid w:val="005505FE"/>
    <w:rsid w:val="00551AA3"/>
    <w:rsid w:val="00551AA5"/>
    <w:rsid w:val="00551E64"/>
    <w:rsid w:val="00553E69"/>
    <w:rsid w:val="00554547"/>
    <w:rsid w:val="00554FB9"/>
    <w:rsid w:val="005556BE"/>
    <w:rsid w:val="00555DF6"/>
    <w:rsid w:val="00556764"/>
    <w:rsid w:val="00556767"/>
    <w:rsid w:val="00557D0E"/>
    <w:rsid w:val="00560557"/>
    <w:rsid w:val="00560C69"/>
    <w:rsid w:val="00561EBC"/>
    <w:rsid w:val="005632F9"/>
    <w:rsid w:val="00563DF6"/>
    <w:rsid w:val="00564375"/>
    <w:rsid w:val="00564ED6"/>
    <w:rsid w:val="00565456"/>
    <w:rsid w:val="00566024"/>
    <w:rsid w:val="00566E1C"/>
    <w:rsid w:val="00570247"/>
    <w:rsid w:val="005704C3"/>
    <w:rsid w:val="00570700"/>
    <w:rsid w:val="00570FB6"/>
    <w:rsid w:val="0057101C"/>
    <w:rsid w:val="00571DE6"/>
    <w:rsid w:val="00572772"/>
    <w:rsid w:val="005727C7"/>
    <w:rsid w:val="0057288D"/>
    <w:rsid w:val="00572E03"/>
    <w:rsid w:val="0057397D"/>
    <w:rsid w:val="00573FA2"/>
    <w:rsid w:val="00574A1B"/>
    <w:rsid w:val="00575055"/>
    <w:rsid w:val="00575208"/>
    <w:rsid w:val="00575960"/>
    <w:rsid w:val="00575B63"/>
    <w:rsid w:val="00575C7E"/>
    <w:rsid w:val="00576190"/>
    <w:rsid w:val="005763FC"/>
    <w:rsid w:val="005807CB"/>
    <w:rsid w:val="00580A22"/>
    <w:rsid w:val="0058114B"/>
    <w:rsid w:val="00581F09"/>
    <w:rsid w:val="00582D10"/>
    <w:rsid w:val="00584501"/>
    <w:rsid w:val="00584793"/>
    <w:rsid w:val="00584846"/>
    <w:rsid w:val="00584A2E"/>
    <w:rsid w:val="005865FF"/>
    <w:rsid w:val="005910B0"/>
    <w:rsid w:val="00591704"/>
    <w:rsid w:val="00591ADC"/>
    <w:rsid w:val="005922B9"/>
    <w:rsid w:val="005923B6"/>
    <w:rsid w:val="00592442"/>
    <w:rsid w:val="00592A88"/>
    <w:rsid w:val="00594565"/>
    <w:rsid w:val="005954D8"/>
    <w:rsid w:val="00596953"/>
    <w:rsid w:val="00597D2E"/>
    <w:rsid w:val="005A117A"/>
    <w:rsid w:val="005A1ECE"/>
    <w:rsid w:val="005A2AAB"/>
    <w:rsid w:val="005A2C94"/>
    <w:rsid w:val="005A2F33"/>
    <w:rsid w:val="005A566D"/>
    <w:rsid w:val="005A57AC"/>
    <w:rsid w:val="005A63D8"/>
    <w:rsid w:val="005A7B8D"/>
    <w:rsid w:val="005B060A"/>
    <w:rsid w:val="005B3640"/>
    <w:rsid w:val="005B6022"/>
    <w:rsid w:val="005B67AB"/>
    <w:rsid w:val="005B6E95"/>
    <w:rsid w:val="005B757B"/>
    <w:rsid w:val="005B7AA8"/>
    <w:rsid w:val="005C1754"/>
    <w:rsid w:val="005C19F7"/>
    <w:rsid w:val="005C1DB3"/>
    <w:rsid w:val="005C38B1"/>
    <w:rsid w:val="005C3DB8"/>
    <w:rsid w:val="005C4A4F"/>
    <w:rsid w:val="005C5AC3"/>
    <w:rsid w:val="005C7655"/>
    <w:rsid w:val="005D08C3"/>
    <w:rsid w:val="005D0A4E"/>
    <w:rsid w:val="005D1307"/>
    <w:rsid w:val="005D3A97"/>
    <w:rsid w:val="005D3C24"/>
    <w:rsid w:val="005D4A75"/>
    <w:rsid w:val="005D4E52"/>
    <w:rsid w:val="005D5454"/>
    <w:rsid w:val="005D7096"/>
    <w:rsid w:val="005D714C"/>
    <w:rsid w:val="005D715A"/>
    <w:rsid w:val="005E1604"/>
    <w:rsid w:val="005E20F3"/>
    <w:rsid w:val="005E2E66"/>
    <w:rsid w:val="005E3B4C"/>
    <w:rsid w:val="005E3F8F"/>
    <w:rsid w:val="005E49A5"/>
    <w:rsid w:val="005F02F8"/>
    <w:rsid w:val="005F0C6F"/>
    <w:rsid w:val="005F14C6"/>
    <w:rsid w:val="005F1753"/>
    <w:rsid w:val="005F1FFF"/>
    <w:rsid w:val="005F2EEF"/>
    <w:rsid w:val="005F2F6F"/>
    <w:rsid w:val="005F38C8"/>
    <w:rsid w:val="005F3A58"/>
    <w:rsid w:val="005F3AD0"/>
    <w:rsid w:val="005F5023"/>
    <w:rsid w:val="005F5367"/>
    <w:rsid w:val="005F5525"/>
    <w:rsid w:val="005F620D"/>
    <w:rsid w:val="0060008B"/>
    <w:rsid w:val="006008B5"/>
    <w:rsid w:val="00601474"/>
    <w:rsid w:val="006016BA"/>
    <w:rsid w:val="006017E9"/>
    <w:rsid w:val="0060196F"/>
    <w:rsid w:val="00603275"/>
    <w:rsid w:val="0060385E"/>
    <w:rsid w:val="006059AE"/>
    <w:rsid w:val="006062EF"/>
    <w:rsid w:val="006071D6"/>
    <w:rsid w:val="00607486"/>
    <w:rsid w:val="0061111B"/>
    <w:rsid w:val="00612449"/>
    <w:rsid w:val="0061252F"/>
    <w:rsid w:val="00612A13"/>
    <w:rsid w:val="00613AA2"/>
    <w:rsid w:val="00613DF5"/>
    <w:rsid w:val="00614F16"/>
    <w:rsid w:val="00615087"/>
    <w:rsid w:val="00615C5F"/>
    <w:rsid w:val="00617834"/>
    <w:rsid w:val="006200EB"/>
    <w:rsid w:val="00620279"/>
    <w:rsid w:val="00621069"/>
    <w:rsid w:val="00623675"/>
    <w:rsid w:val="00623CBB"/>
    <w:rsid w:val="006241FE"/>
    <w:rsid w:val="0062457B"/>
    <w:rsid w:val="00625139"/>
    <w:rsid w:val="00625896"/>
    <w:rsid w:val="00625CF0"/>
    <w:rsid w:val="00626C7F"/>
    <w:rsid w:val="00627FE9"/>
    <w:rsid w:val="006306A0"/>
    <w:rsid w:val="00631071"/>
    <w:rsid w:val="00631714"/>
    <w:rsid w:val="00632CF1"/>
    <w:rsid w:val="00633034"/>
    <w:rsid w:val="006339A7"/>
    <w:rsid w:val="00633AC6"/>
    <w:rsid w:val="00633AD0"/>
    <w:rsid w:val="0063485D"/>
    <w:rsid w:val="00635764"/>
    <w:rsid w:val="00635CC8"/>
    <w:rsid w:val="00636A8C"/>
    <w:rsid w:val="00636D5B"/>
    <w:rsid w:val="00637241"/>
    <w:rsid w:val="006400D2"/>
    <w:rsid w:val="00645C61"/>
    <w:rsid w:val="006464C9"/>
    <w:rsid w:val="006464F0"/>
    <w:rsid w:val="00646EF5"/>
    <w:rsid w:val="00647E26"/>
    <w:rsid w:val="00647FDE"/>
    <w:rsid w:val="00651583"/>
    <w:rsid w:val="00651CD0"/>
    <w:rsid w:val="006537EA"/>
    <w:rsid w:val="00653CC2"/>
    <w:rsid w:val="006545BA"/>
    <w:rsid w:val="00657DFC"/>
    <w:rsid w:val="006624B8"/>
    <w:rsid w:val="00665776"/>
    <w:rsid w:val="00665D43"/>
    <w:rsid w:val="00666C7C"/>
    <w:rsid w:val="00666E64"/>
    <w:rsid w:val="006724AE"/>
    <w:rsid w:val="00672A2F"/>
    <w:rsid w:val="00673A21"/>
    <w:rsid w:val="00673DD5"/>
    <w:rsid w:val="00675253"/>
    <w:rsid w:val="00675370"/>
    <w:rsid w:val="006764DD"/>
    <w:rsid w:val="0067774E"/>
    <w:rsid w:val="00677E72"/>
    <w:rsid w:val="00680486"/>
    <w:rsid w:val="00680E12"/>
    <w:rsid w:val="00681400"/>
    <w:rsid w:val="00683496"/>
    <w:rsid w:val="00686C7E"/>
    <w:rsid w:val="0068736D"/>
    <w:rsid w:val="00691C24"/>
    <w:rsid w:val="00694709"/>
    <w:rsid w:val="00695E49"/>
    <w:rsid w:val="00697FE7"/>
    <w:rsid w:val="006A0974"/>
    <w:rsid w:val="006A1837"/>
    <w:rsid w:val="006A1F18"/>
    <w:rsid w:val="006A2E44"/>
    <w:rsid w:val="006A30CA"/>
    <w:rsid w:val="006A6389"/>
    <w:rsid w:val="006A75EF"/>
    <w:rsid w:val="006A7702"/>
    <w:rsid w:val="006A7E24"/>
    <w:rsid w:val="006B01D6"/>
    <w:rsid w:val="006B0BBD"/>
    <w:rsid w:val="006B214D"/>
    <w:rsid w:val="006B2770"/>
    <w:rsid w:val="006B28DC"/>
    <w:rsid w:val="006B2C31"/>
    <w:rsid w:val="006B3902"/>
    <w:rsid w:val="006B5339"/>
    <w:rsid w:val="006B5D55"/>
    <w:rsid w:val="006B792F"/>
    <w:rsid w:val="006C14A6"/>
    <w:rsid w:val="006C1B57"/>
    <w:rsid w:val="006C2504"/>
    <w:rsid w:val="006C2608"/>
    <w:rsid w:val="006C2A0B"/>
    <w:rsid w:val="006C3504"/>
    <w:rsid w:val="006C3E66"/>
    <w:rsid w:val="006C45EF"/>
    <w:rsid w:val="006C7195"/>
    <w:rsid w:val="006C75C1"/>
    <w:rsid w:val="006C7AD4"/>
    <w:rsid w:val="006C7F4D"/>
    <w:rsid w:val="006D10DD"/>
    <w:rsid w:val="006D1864"/>
    <w:rsid w:val="006D3EEE"/>
    <w:rsid w:val="006D4599"/>
    <w:rsid w:val="006D71EA"/>
    <w:rsid w:val="006E0392"/>
    <w:rsid w:val="006E050C"/>
    <w:rsid w:val="006E18BB"/>
    <w:rsid w:val="006E391E"/>
    <w:rsid w:val="006E4AAE"/>
    <w:rsid w:val="006E655D"/>
    <w:rsid w:val="006E6C1B"/>
    <w:rsid w:val="006E6D37"/>
    <w:rsid w:val="006E6D4B"/>
    <w:rsid w:val="006E6FA7"/>
    <w:rsid w:val="006F007C"/>
    <w:rsid w:val="006F0D3B"/>
    <w:rsid w:val="006F1581"/>
    <w:rsid w:val="006F3AFB"/>
    <w:rsid w:val="006F409C"/>
    <w:rsid w:val="006F4A45"/>
    <w:rsid w:val="006F4B15"/>
    <w:rsid w:val="006F5F4B"/>
    <w:rsid w:val="006F7178"/>
    <w:rsid w:val="00700582"/>
    <w:rsid w:val="007005F8"/>
    <w:rsid w:val="00701198"/>
    <w:rsid w:val="0070131C"/>
    <w:rsid w:val="00702989"/>
    <w:rsid w:val="00702ADF"/>
    <w:rsid w:val="00702B26"/>
    <w:rsid w:val="00703C75"/>
    <w:rsid w:val="0070414A"/>
    <w:rsid w:val="007045AA"/>
    <w:rsid w:val="0070571A"/>
    <w:rsid w:val="00710B19"/>
    <w:rsid w:val="00712540"/>
    <w:rsid w:val="00712E9F"/>
    <w:rsid w:val="00713100"/>
    <w:rsid w:val="007145DE"/>
    <w:rsid w:val="00714935"/>
    <w:rsid w:val="007160B6"/>
    <w:rsid w:val="007160E4"/>
    <w:rsid w:val="00716433"/>
    <w:rsid w:val="00716A46"/>
    <w:rsid w:val="007177BD"/>
    <w:rsid w:val="007200CA"/>
    <w:rsid w:val="00720639"/>
    <w:rsid w:val="00721447"/>
    <w:rsid w:val="00721711"/>
    <w:rsid w:val="00721B8E"/>
    <w:rsid w:val="00723D91"/>
    <w:rsid w:val="0072548B"/>
    <w:rsid w:val="0072630C"/>
    <w:rsid w:val="0073384F"/>
    <w:rsid w:val="007338B7"/>
    <w:rsid w:val="007359C4"/>
    <w:rsid w:val="00735C29"/>
    <w:rsid w:val="00735D69"/>
    <w:rsid w:val="00736785"/>
    <w:rsid w:val="00737026"/>
    <w:rsid w:val="007371E5"/>
    <w:rsid w:val="00740E0C"/>
    <w:rsid w:val="0074177A"/>
    <w:rsid w:val="00741A40"/>
    <w:rsid w:val="0074224B"/>
    <w:rsid w:val="00742C20"/>
    <w:rsid w:val="0074362A"/>
    <w:rsid w:val="0074399B"/>
    <w:rsid w:val="0074597A"/>
    <w:rsid w:val="00745FF2"/>
    <w:rsid w:val="00746A86"/>
    <w:rsid w:val="007478B4"/>
    <w:rsid w:val="00750140"/>
    <w:rsid w:val="0075167B"/>
    <w:rsid w:val="00752DDB"/>
    <w:rsid w:val="00753CCF"/>
    <w:rsid w:val="00753CFE"/>
    <w:rsid w:val="00754081"/>
    <w:rsid w:val="007547AC"/>
    <w:rsid w:val="00755069"/>
    <w:rsid w:val="00756D89"/>
    <w:rsid w:val="00757192"/>
    <w:rsid w:val="00757767"/>
    <w:rsid w:val="0076071D"/>
    <w:rsid w:val="0076252D"/>
    <w:rsid w:val="00763355"/>
    <w:rsid w:val="00764146"/>
    <w:rsid w:val="007644C7"/>
    <w:rsid w:val="007659DC"/>
    <w:rsid w:val="00770E11"/>
    <w:rsid w:val="00770F8C"/>
    <w:rsid w:val="00771430"/>
    <w:rsid w:val="00771815"/>
    <w:rsid w:val="0077192C"/>
    <w:rsid w:val="00771E56"/>
    <w:rsid w:val="0077353C"/>
    <w:rsid w:val="00775684"/>
    <w:rsid w:val="007769D3"/>
    <w:rsid w:val="00777E29"/>
    <w:rsid w:val="00780BC7"/>
    <w:rsid w:val="00781410"/>
    <w:rsid w:val="007819B5"/>
    <w:rsid w:val="0078262B"/>
    <w:rsid w:val="0078329B"/>
    <w:rsid w:val="007836B3"/>
    <w:rsid w:val="00784E1F"/>
    <w:rsid w:val="007858AD"/>
    <w:rsid w:val="00786295"/>
    <w:rsid w:val="0078639D"/>
    <w:rsid w:val="0078751A"/>
    <w:rsid w:val="00791D9A"/>
    <w:rsid w:val="007927CD"/>
    <w:rsid w:val="00792DAB"/>
    <w:rsid w:val="007956B7"/>
    <w:rsid w:val="00795960"/>
    <w:rsid w:val="00795D2C"/>
    <w:rsid w:val="00795D51"/>
    <w:rsid w:val="00795F1D"/>
    <w:rsid w:val="00797DAE"/>
    <w:rsid w:val="007A0E07"/>
    <w:rsid w:val="007A1913"/>
    <w:rsid w:val="007A19B0"/>
    <w:rsid w:val="007A3E87"/>
    <w:rsid w:val="007A670E"/>
    <w:rsid w:val="007A741E"/>
    <w:rsid w:val="007A7745"/>
    <w:rsid w:val="007A77E7"/>
    <w:rsid w:val="007A7A2A"/>
    <w:rsid w:val="007A7C07"/>
    <w:rsid w:val="007B0FA4"/>
    <w:rsid w:val="007B0FF2"/>
    <w:rsid w:val="007B292C"/>
    <w:rsid w:val="007B2F8A"/>
    <w:rsid w:val="007B47D5"/>
    <w:rsid w:val="007B658A"/>
    <w:rsid w:val="007B7625"/>
    <w:rsid w:val="007C0484"/>
    <w:rsid w:val="007C10F9"/>
    <w:rsid w:val="007C2AE9"/>
    <w:rsid w:val="007C4117"/>
    <w:rsid w:val="007C4BFF"/>
    <w:rsid w:val="007C4F07"/>
    <w:rsid w:val="007C5911"/>
    <w:rsid w:val="007C5B18"/>
    <w:rsid w:val="007C5EC2"/>
    <w:rsid w:val="007C7342"/>
    <w:rsid w:val="007C7469"/>
    <w:rsid w:val="007C7EAC"/>
    <w:rsid w:val="007D026F"/>
    <w:rsid w:val="007D08FE"/>
    <w:rsid w:val="007D23D6"/>
    <w:rsid w:val="007D2403"/>
    <w:rsid w:val="007D2F6B"/>
    <w:rsid w:val="007D3941"/>
    <w:rsid w:val="007D3BC8"/>
    <w:rsid w:val="007D3C01"/>
    <w:rsid w:val="007D6230"/>
    <w:rsid w:val="007D7427"/>
    <w:rsid w:val="007D76DB"/>
    <w:rsid w:val="007D7CB9"/>
    <w:rsid w:val="007E0994"/>
    <w:rsid w:val="007E0D7D"/>
    <w:rsid w:val="007E218D"/>
    <w:rsid w:val="007E28B1"/>
    <w:rsid w:val="007E2C9A"/>
    <w:rsid w:val="007E2DBB"/>
    <w:rsid w:val="007E4177"/>
    <w:rsid w:val="007E42A4"/>
    <w:rsid w:val="007E561F"/>
    <w:rsid w:val="007E5E5E"/>
    <w:rsid w:val="007E689A"/>
    <w:rsid w:val="007F0983"/>
    <w:rsid w:val="007F142B"/>
    <w:rsid w:val="007F1539"/>
    <w:rsid w:val="007F1857"/>
    <w:rsid w:val="007F24D6"/>
    <w:rsid w:val="007F28B4"/>
    <w:rsid w:val="007F45BA"/>
    <w:rsid w:val="007F4ACD"/>
    <w:rsid w:val="007F533C"/>
    <w:rsid w:val="007F621A"/>
    <w:rsid w:val="007F6C0E"/>
    <w:rsid w:val="007F7F38"/>
    <w:rsid w:val="0080021A"/>
    <w:rsid w:val="0080114E"/>
    <w:rsid w:val="00801296"/>
    <w:rsid w:val="008019C9"/>
    <w:rsid w:val="00801BAC"/>
    <w:rsid w:val="00803E4A"/>
    <w:rsid w:val="00804288"/>
    <w:rsid w:val="008067C3"/>
    <w:rsid w:val="008069ED"/>
    <w:rsid w:val="00806D50"/>
    <w:rsid w:val="0080734A"/>
    <w:rsid w:val="00807652"/>
    <w:rsid w:val="00807B46"/>
    <w:rsid w:val="00810092"/>
    <w:rsid w:val="008103DA"/>
    <w:rsid w:val="00810F9E"/>
    <w:rsid w:val="0081232F"/>
    <w:rsid w:val="00813017"/>
    <w:rsid w:val="0081362B"/>
    <w:rsid w:val="008137F7"/>
    <w:rsid w:val="00814A2E"/>
    <w:rsid w:val="00814B4D"/>
    <w:rsid w:val="00814D2B"/>
    <w:rsid w:val="00817072"/>
    <w:rsid w:val="00821774"/>
    <w:rsid w:val="0082197A"/>
    <w:rsid w:val="00822EF0"/>
    <w:rsid w:val="008231CB"/>
    <w:rsid w:val="0082529A"/>
    <w:rsid w:val="0082753D"/>
    <w:rsid w:val="008278D8"/>
    <w:rsid w:val="00830155"/>
    <w:rsid w:val="0083124F"/>
    <w:rsid w:val="00831661"/>
    <w:rsid w:val="008319B5"/>
    <w:rsid w:val="00832F91"/>
    <w:rsid w:val="008331AC"/>
    <w:rsid w:val="00833CD4"/>
    <w:rsid w:val="00834C89"/>
    <w:rsid w:val="00836453"/>
    <w:rsid w:val="00836B86"/>
    <w:rsid w:val="00836CF5"/>
    <w:rsid w:val="00837177"/>
    <w:rsid w:val="008377FD"/>
    <w:rsid w:val="00837D62"/>
    <w:rsid w:val="008406E5"/>
    <w:rsid w:val="00840A10"/>
    <w:rsid w:val="00841044"/>
    <w:rsid w:val="00841C56"/>
    <w:rsid w:val="00842166"/>
    <w:rsid w:val="008424A9"/>
    <w:rsid w:val="00843DE5"/>
    <w:rsid w:val="0084433C"/>
    <w:rsid w:val="00844475"/>
    <w:rsid w:val="00844821"/>
    <w:rsid w:val="00844DD4"/>
    <w:rsid w:val="008456E1"/>
    <w:rsid w:val="00845CD8"/>
    <w:rsid w:val="00845D83"/>
    <w:rsid w:val="00846265"/>
    <w:rsid w:val="00846A70"/>
    <w:rsid w:val="00846D2F"/>
    <w:rsid w:val="00847B3F"/>
    <w:rsid w:val="008503C3"/>
    <w:rsid w:val="0085252E"/>
    <w:rsid w:val="0085338D"/>
    <w:rsid w:val="008544F3"/>
    <w:rsid w:val="008553F1"/>
    <w:rsid w:val="00855858"/>
    <w:rsid w:val="00857740"/>
    <w:rsid w:val="0086032D"/>
    <w:rsid w:val="008605ED"/>
    <w:rsid w:val="00860758"/>
    <w:rsid w:val="00861318"/>
    <w:rsid w:val="0086211C"/>
    <w:rsid w:val="00862559"/>
    <w:rsid w:val="00862FB0"/>
    <w:rsid w:val="00863583"/>
    <w:rsid w:val="00864DD3"/>
    <w:rsid w:val="008679A9"/>
    <w:rsid w:val="00870FBB"/>
    <w:rsid w:val="00871D11"/>
    <w:rsid w:val="0087313B"/>
    <w:rsid w:val="0087336B"/>
    <w:rsid w:val="00873774"/>
    <w:rsid w:val="00877840"/>
    <w:rsid w:val="00877D23"/>
    <w:rsid w:val="00881DC1"/>
    <w:rsid w:val="00882692"/>
    <w:rsid w:val="00882D31"/>
    <w:rsid w:val="00882D51"/>
    <w:rsid w:val="0088418B"/>
    <w:rsid w:val="00886123"/>
    <w:rsid w:val="0088614E"/>
    <w:rsid w:val="008862CA"/>
    <w:rsid w:val="00887B34"/>
    <w:rsid w:val="008900BD"/>
    <w:rsid w:val="00892F18"/>
    <w:rsid w:val="00893900"/>
    <w:rsid w:val="008943F3"/>
    <w:rsid w:val="00894FA4"/>
    <w:rsid w:val="00895D0A"/>
    <w:rsid w:val="00896608"/>
    <w:rsid w:val="00896FBC"/>
    <w:rsid w:val="00897386"/>
    <w:rsid w:val="008A08D0"/>
    <w:rsid w:val="008A22FF"/>
    <w:rsid w:val="008A3C94"/>
    <w:rsid w:val="008A3ED4"/>
    <w:rsid w:val="008A4BF3"/>
    <w:rsid w:val="008A6B07"/>
    <w:rsid w:val="008A6D72"/>
    <w:rsid w:val="008A7945"/>
    <w:rsid w:val="008A7C6C"/>
    <w:rsid w:val="008B30DD"/>
    <w:rsid w:val="008B4834"/>
    <w:rsid w:val="008B5251"/>
    <w:rsid w:val="008B5690"/>
    <w:rsid w:val="008B59E7"/>
    <w:rsid w:val="008B6755"/>
    <w:rsid w:val="008C2343"/>
    <w:rsid w:val="008C304C"/>
    <w:rsid w:val="008C5311"/>
    <w:rsid w:val="008C5A58"/>
    <w:rsid w:val="008C6A96"/>
    <w:rsid w:val="008C701F"/>
    <w:rsid w:val="008C7EC2"/>
    <w:rsid w:val="008D0206"/>
    <w:rsid w:val="008D0AA9"/>
    <w:rsid w:val="008D1496"/>
    <w:rsid w:val="008D1868"/>
    <w:rsid w:val="008D2573"/>
    <w:rsid w:val="008D3A97"/>
    <w:rsid w:val="008D3E39"/>
    <w:rsid w:val="008D406E"/>
    <w:rsid w:val="008D5DD0"/>
    <w:rsid w:val="008D7291"/>
    <w:rsid w:val="008E0173"/>
    <w:rsid w:val="008E0613"/>
    <w:rsid w:val="008E142C"/>
    <w:rsid w:val="008E1E26"/>
    <w:rsid w:val="008E20F1"/>
    <w:rsid w:val="008E4FCF"/>
    <w:rsid w:val="008E51A9"/>
    <w:rsid w:val="008E5F41"/>
    <w:rsid w:val="008F085C"/>
    <w:rsid w:val="008F0C63"/>
    <w:rsid w:val="008F133C"/>
    <w:rsid w:val="008F27A1"/>
    <w:rsid w:val="008F3332"/>
    <w:rsid w:val="008F458A"/>
    <w:rsid w:val="008F5131"/>
    <w:rsid w:val="008F5A11"/>
    <w:rsid w:val="008F7294"/>
    <w:rsid w:val="008F7803"/>
    <w:rsid w:val="0090027D"/>
    <w:rsid w:val="009019BC"/>
    <w:rsid w:val="00903B1F"/>
    <w:rsid w:val="0090482C"/>
    <w:rsid w:val="00905327"/>
    <w:rsid w:val="00905BE7"/>
    <w:rsid w:val="00906D3C"/>
    <w:rsid w:val="00907334"/>
    <w:rsid w:val="009100BE"/>
    <w:rsid w:val="009124E0"/>
    <w:rsid w:val="009125F0"/>
    <w:rsid w:val="0091317D"/>
    <w:rsid w:val="00913E44"/>
    <w:rsid w:val="00915BDD"/>
    <w:rsid w:val="00915DC8"/>
    <w:rsid w:val="00916266"/>
    <w:rsid w:val="00916678"/>
    <w:rsid w:val="00916DD0"/>
    <w:rsid w:val="00921537"/>
    <w:rsid w:val="00922492"/>
    <w:rsid w:val="009239BD"/>
    <w:rsid w:val="00923EAF"/>
    <w:rsid w:val="00924E1F"/>
    <w:rsid w:val="00924F4E"/>
    <w:rsid w:val="009279C5"/>
    <w:rsid w:val="009305F9"/>
    <w:rsid w:val="0093064C"/>
    <w:rsid w:val="0093078C"/>
    <w:rsid w:val="00931B52"/>
    <w:rsid w:val="009324AF"/>
    <w:rsid w:val="00932CB5"/>
    <w:rsid w:val="00933B12"/>
    <w:rsid w:val="00933F78"/>
    <w:rsid w:val="00934048"/>
    <w:rsid w:val="00934E34"/>
    <w:rsid w:val="009356DE"/>
    <w:rsid w:val="00936ADF"/>
    <w:rsid w:val="00937A63"/>
    <w:rsid w:val="009402B0"/>
    <w:rsid w:val="00940C68"/>
    <w:rsid w:val="009422DE"/>
    <w:rsid w:val="009431BD"/>
    <w:rsid w:val="009455B0"/>
    <w:rsid w:val="009459A7"/>
    <w:rsid w:val="00945DBA"/>
    <w:rsid w:val="00947DF6"/>
    <w:rsid w:val="009500F9"/>
    <w:rsid w:val="00950480"/>
    <w:rsid w:val="0095229E"/>
    <w:rsid w:val="0095280B"/>
    <w:rsid w:val="00954573"/>
    <w:rsid w:val="009550CF"/>
    <w:rsid w:val="009554B0"/>
    <w:rsid w:val="0095699C"/>
    <w:rsid w:val="00956B64"/>
    <w:rsid w:val="00957C89"/>
    <w:rsid w:val="0096050A"/>
    <w:rsid w:val="00960E7E"/>
    <w:rsid w:val="009610B0"/>
    <w:rsid w:val="00961246"/>
    <w:rsid w:val="0096498F"/>
    <w:rsid w:val="009652B3"/>
    <w:rsid w:val="00965C98"/>
    <w:rsid w:val="00965F7E"/>
    <w:rsid w:val="00966678"/>
    <w:rsid w:val="009709FA"/>
    <w:rsid w:val="009711B0"/>
    <w:rsid w:val="00973AB6"/>
    <w:rsid w:val="00973D97"/>
    <w:rsid w:val="00975A1F"/>
    <w:rsid w:val="00976479"/>
    <w:rsid w:val="00976D8A"/>
    <w:rsid w:val="00981752"/>
    <w:rsid w:val="0098182B"/>
    <w:rsid w:val="00981CCA"/>
    <w:rsid w:val="00982840"/>
    <w:rsid w:val="00982F9A"/>
    <w:rsid w:val="00984266"/>
    <w:rsid w:val="00985C49"/>
    <w:rsid w:val="00985C5F"/>
    <w:rsid w:val="00985FAC"/>
    <w:rsid w:val="0098798D"/>
    <w:rsid w:val="00987D92"/>
    <w:rsid w:val="009900D3"/>
    <w:rsid w:val="00990BB6"/>
    <w:rsid w:val="00991149"/>
    <w:rsid w:val="00991CA3"/>
    <w:rsid w:val="00991EB9"/>
    <w:rsid w:val="00992245"/>
    <w:rsid w:val="00993E5C"/>
    <w:rsid w:val="00994BFB"/>
    <w:rsid w:val="00995512"/>
    <w:rsid w:val="00996632"/>
    <w:rsid w:val="009976EA"/>
    <w:rsid w:val="009A020F"/>
    <w:rsid w:val="009A1114"/>
    <w:rsid w:val="009A1328"/>
    <w:rsid w:val="009A1815"/>
    <w:rsid w:val="009A2687"/>
    <w:rsid w:val="009A30FA"/>
    <w:rsid w:val="009A396C"/>
    <w:rsid w:val="009A3A95"/>
    <w:rsid w:val="009A4A6B"/>
    <w:rsid w:val="009A4C3F"/>
    <w:rsid w:val="009A6AE9"/>
    <w:rsid w:val="009A7E73"/>
    <w:rsid w:val="009B00A2"/>
    <w:rsid w:val="009B06BD"/>
    <w:rsid w:val="009B2496"/>
    <w:rsid w:val="009B269E"/>
    <w:rsid w:val="009B2A52"/>
    <w:rsid w:val="009B38AD"/>
    <w:rsid w:val="009B3E2A"/>
    <w:rsid w:val="009B4FFD"/>
    <w:rsid w:val="009B6FE3"/>
    <w:rsid w:val="009B7E0A"/>
    <w:rsid w:val="009C00EB"/>
    <w:rsid w:val="009C05B4"/>
    <w:rsid w:val="009C48EC"/>
    <w:rsid w:val="009C4CB3"/>
    <w:rsid w:val="009C551E"/>
    <w:rsid w:val="009C77F6"/>
    <w:rsid w:val="009C7B63"/>
    <w:rsid w:val="009D0806"/>
    <w:rsid w:val="009D0A1D"/>
    <w:rsid w:val="009D1C73"/>
    <w:rsid w:val="009D2DCC"/>
    <w:rsid w:val="009D36CC"/>
    <w:rsid w:val="009D3ACB"/>
    <w:rsid w:val="009D3B34"/>
    <w:rsid w:val="009D60EC"/>
    <w:rsid w:val="009D63BB"/>
    <w:rsid w:val="009D663F"/>
    <w:rsid w:val="009E04A1"/>
    <w:rsid w:val="009E0A14"/>
    <w:rsid w:val="009E433B"/>
    <w:rsid w:val="009E44E4"/>
    <w:rsid w:val="009E5124"/>
    <w:rsid w:val="009E61C8"/>
    <w:rsid w:val="009E6748"/>
    <w:rsid w:val="009E675C"/>
    <w:rsid w:val="009E736B"/>
    <w:rsid w:val="009E7802"/>
    <w:rsid w:val="009E7991"/>
    <w:rsid w:val="009F01FB"/>
    <w:rsid w:val="009F1FF8"/>
    <w:rsid w:val="009F25CC"/>
    <w:rsid w:val="009F2CA0"/>
    <w:rsid w:val="009F4712"/>
    <w:rsid w:val="009F48CF"/>
    <w:rsid w:val="009F4C34"/>
    <w:rsid w:val="009F5871"/>
    <w:rsid w:val="009F6F71"/>
    <w:rsid w:val="009F7772"/>
    <w:rsid w:val="009F7A97"/>
    <w:rsid w:val="00A000AE"/>
    <w:rsid w:val="00A0124D"/>
    <w:rsid w:val="00A01B5F"/>
    <w:rsid w:val="00A01B60"/>
    <w:rsid w:val="00A02DEF"/>
    <w:rsid w:val="00A03F47"/>
    <w:rsid w:val="00A06279"/>
    <w:rsid w:val="00A06FCF"/>
    <w:rsid w:val="00A07916"/>
    <w:rsid w:val="00A07D80"/>
    <w:rsid w:val="00A07FE6"/>
    <w:rsid w:val="00A120A2"/>
    <w:rsid w:val="00A123BF"/>
    <w:rsid w:val="00A12E46"/>
    <w:rsid w:val="00A1767D"/>
    <w:rsid w:val="00A226DE"/>
    <w:rsid w:val="00A228D2"/>
    <w:rsid w:val="00A22C81"/>
    <w:rsid w:val="00A23683"/>
    <w:rsid w:val="00A23B1E"/>
    <w:rsid w:val="00A23CEC"/>
    <w:rsid w:val="00A26FDB"/>
    <w:rsid w:val="00A27188"/>
    <w:rsid w:val="00A30A3B"/>
    <w:rsid w:val="00A30E10"/>
    <w:rsid w:val="00A3134E"/>
    <w:rsid w:val="00A32591"/>
    <w:rsid w:val="00A3285D"/>
    <w:rsid w:val="00A32A05"/>
    <w:rsid w:val="00A34A0D"/>
    <w:rsid w:val="00A34F3B"/>
    <w:rsid w:val="00A35641"/>
    <w:rsid w:val="00A356C5"/>
    <w:rsid w:val="00A3673E"/>
    <w:rsid w:val="00A3695E"/>
    <w:rsid w:val="00A37BC3"/>
    <w:rsid w:val="00A4051E"/>
    <w:rsid w:val="00A40611"/>
    <w:rsid w:val="00A407FF"/>
    <w:rsid w:val="00A40ADF"/>
    <w:rsid w:val="00A40E4B"/>
    <w:rsid w:val="00A418FC"/>
    <w:rsid w:val="00A41A02"/>
    <w:rsid w:val="00A41B24"/>
    <w:rsid w:val="00A42C7D"/>
    <w:rsid w:val="00A430CB"/>
    <w:rsid w:val="00A435C5"/>
    <w:rsid w:val="00A442C7"/>
    <w:rsid w:val="00A474E7"/>
    <w:rsid w:val="00A51712"/>
    <w:rsid w:val="00A52887"/>
    <w:rsid w:val="00A53612"/>
    <w:rsid w:val="00A539D6"/>
    <w:rsid w:val="00A5495A"/>
    <w:rsid w:val="00A55F58"/>
    <w:rsid w:val="00A57040"/>
    <w:rsid w:val="00A57AEF"/>
    <w:rsid w:val="00A611AA"/>
    <w:rsid w:val="00A61928"/>
    <w:rsid w:val="00A63148"/>
    <w:rsid w:val="00A63874"/>
    <w:rsid w:val="00A645BA"/>
    <w:rsid w:val="00A64C4B"/>
    <w:rsid w:val="00A6546D"/>
    <w:rsid w:val="00A65F5C"/>
    <w:rsid w:val="00A669F1"/>
    <w:rsid w:val="00A67175"/>
    <w:rsid w:val="00A67830"/>
    <w:rsid w:val="00A70102"/>
    <w:rsid w:val="00A705B0"/>
    <w:rsid w:val="00A70CE9"/>
    <w:rsid w:val="00A71025"/>
    <w:rsid w:val="00A71344"/>
    <w:rsid w:val="00A71A4B"/>
    <w:rsid w:val="00A73641"/>
    <w:rsid w:val="00A7590A"/>
    <w:rsid w:val="00A75C82"/>
    <w:rsid w:val="00A76A65"/>
    <w:rsid w:val="00A811ED"/>
    <w:rsid w:val="00A81801"/>
    <w:rsid w:val="00A82B12"/>
    <w:rsid w:val="00A82F99"/>
    <w:rsid w:val="00A83593"/>
    <w:rsid w:val="00A8368F"/>
    <w:rsid w:val="00A83ADF"/>
    <w:rsid w:val="00A84832"/>
    <w:rsid w:val="00A863BA"/>
    <w:rsid w:val="00A8655D"/>
    <w:rsid w:val="00A87076"/>
    <w:rsid w:val="00A87437"/>
    <w:rsid w:val="00A9298E"/>
    <w:rsid w:val="00A92E6D"/>
    <w:rsid w:val="00A94699"/>
    <w:rsid w:val="00A9530B"/>
    <w:rsid w:val="00A97263"/>
    <w:rsid w:val="00A97962"/>
    <w:rsid w:val="00A97AC1"/>
    <w:rsid w:val="00AA10B2"/>
    <w:rsid w:val="00AA2145"/>
    <w:rsid w:val="00AA2472"/>
    <w:rsid w:val="00AA2C07"/>
    <w:rsid w:val="00AA2F58"/>
    <w:rsid w:val="00AA3108"/>
    <w:rsid w:val="00AA3F94"/>
    <w:rsid w:val="00AA4507"/>
    <w:rsid w:val="00AA4945"/>
    <w:rsid w:val="00AA49C9"/>
    <w:rsid w:val="00AA6467"/>
    <w:rsid w:val="00AA6742"/>
    <w:rsid w:val="00AB19E2"/>
    <w:rsid w:val="00AB2F7B"/>
    <w:rsid w:val="00AB3E92"/>
    <w:rsid w:val="00AB43AF"/>
    <w:rsid w:val="00AB455E"/>
    <w:rsid w:val="00AB499B"/>
    <w:rsid w:val="00AB51C1"/>
    <w:rsid w:val="00AB51DC"/>
    <w:rsid w:val="00AB601B"/>
    <w:rsid w:val="00AB7017"/>
    <w:rsid w:val="00AC04C3"/>
    <w:rsid w:val="00AC0706"/>
    <w:rsid w:val="00AC0A56"/>
    <w:rsid w:val="00AC1D07"/>
    <w:rsid w:val="00AC389E"/>
    <w:rsid w:val="00AC4BC7"/>
    <w:rsid w:val="00AC6090"/>
    <w:rsid w:val="00AC6D41"/>
    <w:rsid w:val="00AC7636"/>
    <w:rsid w:val="00AD03CD"/>
    <w:rsid w:val="00AD0878"/>
    <w:rsid w:val="00AD0951"/>
    <w:rsid w:val="00AD208D"/>
    <w:rsid w:val="00AD2734"/>
    <w:rsid w:val="00AD4DCF"/>
    <w:rsid w:val="00AD4F4D"/>
    <w:rsid w:val="00AD4FE5"/>
    <w:rsid w:val="00AD56BE"/>
    <w:rsid w:val="00AD607B"/>
    <w:rsid w:val="00AD67FC"/>
    <w:rsid w:val="00AE0354"/>
    <w:rsid w:val="00AE1A93"/>
    <w:rsid w:val="00AE1E2F"/>
    <w:rsid w:val="00AE28BB"/>
    <w:rsid w:val="00AE2FB1"/>
    <w:rsid w:val="00AE336E"/>
    <w:rsid w:val="00AE3FBA"/>
    <w:rsid w:val="00AE5029"/>
    <w:rsid w:val="00AE6270"/>
    <w:rsid w:val="00AE75FB"/>
    <w:rsid w:val="00AE77A4"/>
    <w:rsid w:val="00AF100C"/>
    <w:rsid w:val="00AF1041"/>
    <w:rsid w:val="00AF326B"/>
    <w:rsid w:val="00AF3D84"/>
    <w:rsid w:val="00AF4DCC"/>
    <w:rsid w:val="00AF50B1"/>
    <w:rsid w:val="00AF5852"/>
    <w:rsid w:val="00AF58A7"/>
    <w:rsid w:val="00AF5D8D"/>
    <w:rsid w:val="00AF6962"/>
    <w:rsid w:val="00AF6E17"/>
    <w:rsid w:val="00AF70AF"/>
    <w:rsid w:val="00AF743D"/>
    <w:rsid w:val="00AF77CA"/>
    <w:rsid w:val="00AF7A9C"/>
    <w:rsid w:val="00B00F48"/>
    <w:rsid w:val="00B02D4E"/>
    <w:rsid w:val="00B03461"/>
    <w:rsid w:val="00B0479C"/>
    <w:rsid w:val="00B05E94"/>
    <w:rsid w:val="00B06A43"/>
    <w:rsid w:val="00B10899"/>
    <w:rsid w:val="00B11C03"/>
    <w:rsid w:val="00B12BEC"/>
    <w:rsid w:val="00B14051"/>
    <w:rsid w:val="00B145BE"/>
    <w:rsid w:val="00B15433"/>
    <w:rsid w:val="00B15DFE"/>
    <w:rsid w:val="00B16E5B"/>
    <w:rsid w:val="00B20E04"/>
    <w:rsid w:val="00B2117A"/>
    <w:rsid w:val="00B21CA3"/>
    <w:rsid w:val="00B233BB"/>
    <w:rsid w:val="00B2515A"/>
    <w:rsid w:val="00B25A9E"/>
    <w:rsid w:val="00B27709"/>
    <w:rsid w:val="00B300DF"/>
    <w:rsid w:val="00B307D2"/>
    <w:rsid w:val="00B3089B"/>
    <w:rsid w:val="00B31261"/>
    <w:rsid w:val="00B31846"/>
    <w:rsid w:val="00B323D3"/>
    <w:rsid w:val="00B32D79"/>
    <w:rsid w:val="00B331BB"/>
    <w:rsid w:val="00B3337A"/>
    <w:rsid w:val="00B342D7"/>
    <w:rsid w:val="00B35840"/>
    <w:rsid w:val="00B36536"/>
    <w:rsid w:val="00B365BC"/>
    <w:rsid w:val="00B40ADE"/>
    <w:rsid w:val="00B41D81"/>
    <w:rsid w:val="00B41E87"/>
    <w:rsid w:val="00B43161"/>
    <w:rsid w:val="00B43C7A"/>
    <w:rsid w:val="00B44B20"/>
    <w:rsid w:val="00B44B9B"/>
    <w:rsid w:val="00B44F02"/>
    <w:rsid w:val="00B469A5"/>
    <w:rsid w:val="00B473FD"/>
    <w:rsid w:val="00B509E8"/>
    <w:rsid w:val="00B50B8C"/>
    <w:rsid w:val="00B50D07"/>
    <w:rsid w:val="00B5169E"/>
    <w:rsid w:val="00B51B8C"/>
    <w:rsid w:val="00B51D60"/>
    <w:rsid w:val="00B52FEE"/>
    <w:rsid w:val="00B54B98"/>
    <w:rsid w:val="00B55600"/>
    <w:rsid w:val="00B579EC"/>
    <w:rsid w:val="00B57BAF"/>
    <w:rsid w:val="00B57D2F"/>
    <w:rsid w:val="00B60962"/>
    <w:rsid w:val="00B60D06"/>
    <w:rsid w:val="00B62B25"/>
    <w:rsid w:val="00B64CF5"/>
    <w:rsid w:val="00B6516E"/>
    <w:rsid w:val="00B668AB"/>
    <w:rsid w:val="00B669F8"/>
    <w:rsid w:val="00B66E19"/>
    <w:rsid w:val="00B67CFF"/>
    <w:rsid w:val="00B70358"/>
    <w:rsid w:val="00B706FB"/>
    <w:rsid w:val="00B708DD"/>
    <w:rsid w:val="00B721FA"/>
    <w:rsid w:val="00B726A9"/>
    <w:rsid w:val="00B73BF9"/>
    <w:rsid w:val="00B75FEB"/>
    <w:rsid w:val="00B77162"/>
    <w:rsid w:val="00B771D7"/>
    <w:rsid w:val="00B80A97"/>
    <w:rsid w:val="00B80F66"/>
    <w:rsid w:val="00B82DE9"/>
    <w:rsid w:val="00B8354D"/>
    <w:rsid w:val="00B8377F"/>
    <w:rsid w:val="00B83A8C"/>
    <w:rsid w:val="00B84C0D"/>
    <w:rsid w:val="00B84F9D"/>
    <w:rsid w:val="00B84FC5"/>
    <w:rsid w:val="00B85E01"/>
    <w:rsid w:val="00B860A3"/>
    <w:rsid w:val="00B86BBA"/>
    <w:rsid w:val="00B86BD4"/>
    <w:rsid w:val="00B87821"/>
    <w:rsid w:val="00B91AF5"/>
    <w:rsid w:val="00B9247C"/>
    <w:rsid w:val="00B92AC9"/>
    <w:rsid w:val="00B92D2A"/>
    <w:rsid w:val="00B93132"/>
    <w:rsid w:val="00B946C6"/>
    <w:rsid w:val="00B950E1"/>
    <w:rsid w:val="00B9627E"/>
    <w:rsid w:val="00B963F2"/>
    <w:rsid w:val="00BA02DB"/>
    <w:rsid w:val="00BA03F5"/>
    <w:rsid w:val="00BA19A6"/>
    <w:rsid w:val="00BA4082"/>
    <w:rsid w:val="00BA4E6A"/>
    <w:rsid w:val="00BA5306"/>
    <w:rsid w:val="00BA5B9C"/>
    <w:rsid w:val="00BA5D80"/>
    <w:rsid w:val="00BA5EF3"/>
    <w:rsid w:val="00BA7B9E"/>
    <w:rsid w:val="00BA7DFD"/>
    <w:rsid w:val="00BB0C24"/>
    <w:rsid w:val="00BB0C2B"/>
    <w:rsid w:val="00BB2959"/>
    <w:rsid w:val="00BB2FB5"/>
    <w:rsid w:val="00BB549B"/>
    <w:rsid w:val="00BB5DC2"/>
    <w:rsid w:val="00BB7D84"/>
    <w:rsid w:val="00BC0E45"/>
    <w:rsid w:val="00BC172B"/>
    <w:rsid w:val="00BC301A"/>
    <w:rsid w:val="00BC3937"/>
    <w:rsid w:val="00BC574A"/>
    <w:rsid w:val="00BC5860"/>
    <w:rsid w:val="00BC63A1"/>
    <w:rsid w:val="00BC7A1C"/>
    <w:rsid w:val="00BD0079"/>
    <w:rsid w:val="00BD0145"/>
    <w:rsid w:val="00BD1BC7"/>
    <w:rsid w:val="00BD2830"/>
    <w:rsid w:val="00BD313C"/>
    <w:rsid w:val="00BD4602"/>
    <w:rsid w:val="00BD5F17"/>
    <w:rsid w:val="00BD6496"/>
    <w:rsid w:val="00BD64CC"/>
    <w:rsid w:val="00BD7337"/>
    <w:rsid w:val="00BD7895"/>
    <w:rsid w:val="00BE0159"/>
    <w:rsid w:val="00BE209A"/>
    <w:rsid w:val="00BE2720"/>
    <w:rsid w:val="00BE3051"/>
    <w:rsid w:val="00BE3F39"/>
    <w:rsid w:val="00BE4FEA"/>
    <w:rsid w:val="00BE506B"/>
    <w:rsid w:val="00BE538F"/>
    <w:rsid w:val="00BE5626"/>
    <w:rsid w:val="00BE624D"/>
    <w:rsid w:val="00BE66A3"/>
    <w:rsid w:val="00BE7087"/>
    <w:rsid w:val="00BE7943"/>
    <w:rsid w:val="00BF151A"/>
    <w:rsid w:val="00BF22C7"/>
    <w:rsid w:val="00BF2D76"/>
    <w:rsid w:val="00BF33E4"/>
    <w:rsid w:val="00BF5158"/>
    <w:rsid w:val="00BF5178"/>
    <w:rsid w:val="00BF51EE"/>
    <w:rsid w:val="00BF5250"/>
    <w:rsid w:val="00BF579B"/>
    <w:rsid w:val="00BF617A"/>
    <w:rsid w:val="00C0049B"/>
    <w:rsid w:val="00C00C67"/>
    <w:rsid w:val="00C02600"/>
    <w:rsid w:val="00C028EC"/>
    <w:rsid w:val="00C02958"/>
    <w:rsid w:val="00C02D1E"/>
    <w:rsid w:val="00C03150"/>
    <w:rsid w:val="00C03669"/>
    <w:rsid w:val="00C0418E"/>
    <w:rsid w:val="00C042D5"/>
    <w:rsid w:val="00C0430E"/>
    <w:rsid w:val="00C04725"/>
    <w:rsid w:val="00C05482"/>
    <w:rsid w:val="00C05BD0"/>
    <w:rsid w:val="00C05BFB"/>
    <w:rsid w:val="00C07BAD"/>
    <w:rsid w:val="00C121F5"/>
    <w:rsid w:val="00C1468E"/>
    <w:rsid w:val="00C14804"/>
    <w:rsid w:val="00C15689"/>
    <w:rsid w:val="00C1650A"/>
    <w:rsid w:val="00C16F73"/>
    <w:rsid w:val="00C177E9"/>
    <w:rsid w:val="00C20557"/>
    <w:rsid w:val="00C2057E"/>
    <w:rsid w:val="00C21AFC"/>
    <w:rsid w:val="00C23123"/>
    <w:rsid w:val="00C23948"/>
    <w:rsid w:val="00C253CB"/>
    <w:rsid w:val="00C255DB"/>
    <w:rsid w:val="00C2582D"/>
    <w:rsid w:val="00C26B52"/>
    <w:rsid w:val="00C272C0"/>
    <w:rsid w:val="00C2760A"/>
    <w:rsid w:val="00C3038A"/>
    <w:rsid w:val="00C3091B"/>
    <w:rsid w:val="00C311AD"/>
    <w:rsid w:val="00C31493"/>
    <w:rsid w:val="00C319EB"/>
    <w:rsid w:val="00C333AF"/>
    <w:rsid w:val="00C37868"/>
    <w:rsid w:val="00C40DA4"/>
    <w:rsid w:val="00C428DE"/>
    <w:rsid w:val="00C44E63"/>
    <w:rsid w:val="00C45A48"/>
    <w:rsid w:val="00C46299"/>
    <w:rsid w:val="00C470E8"/>
    <w:rsid w:val="00C47709"/>
    <w:rsid w:val="00C47E9C"/>
    <w:rsid w:val="00C50492"/>
    <w:rsid w:val="00C504CE"/>
    <w:rsid w:val="00C5068E"/>
    <w:rsid w:val="00C51044"/>
    <w:rsid w:val="00C51175"/>
    <w:rsid w:val="00C51987"/>
    <w:rsid w:val="00C530B0"/>
    <w:rsid w:val="00C53D0E"/>
    <w:rsid w:val="00C54314"/>
    <w:rsid w:val="00C54876"/>
    <w:rsid w:val="00C55A54"/>
    <w:rsid w:val="00C568A9"/>
    <w:rsid w:val="00C57F06"/>
    <w:rsid w:val="00C6102C"/>
    <w:rsid w:val="00C61285"/>
    <w:rsid w:val="00C61B10"/>
    <w:rsid w:val="00C62AC6"/>
    <w:rsid w:val="00C62FC5"/>
    <w:rsid w:val="00C63896"/>
    <w:rsid w:val="00C647ED"/>
    <w:rsid w:val="00C6548F"/>
    <w:rsid w:val="00C656D6"/>
    <w:rsid w:val="00C66ACA"/>
    <w:rsid w:val="00C66E18"/>
    <w:rsid w:val="00C66E1A"/>
    <w:rsid w:val="00C67A7B"/>
    <w:rsid w:val="00C67B75"/>
    <w:rsid w:val="00C710D0"/>
    <w:rsid w:val="00C7216E"/>
    <w:rsid w:val="00C73D7C"/>
    <w:rsid w:val="00C74086"/>
    <w:rsid w:val="00C74C82"/>
    <w:rsid w:val="00C75935"/>
    <w:rsid w:val="00C75FC7"/>
    <w:rsid w:val="00C75FF9"/>
    <w:rsid w:val="00C77D21"/>
    <w:rsid w:val="00C81775"/>
    <w:rsid w:val="00C863FD"/>
    <w:rsid w:val="00C86575"/>
    <w:rsid w:val="00C927C3"/>
    <w:rsid w:val="00C92F3F"/>
    <w:rsid w:val="00C94442"/>
    <w:rsid w:val="00C94A3B"/>
    <w:rsid w:val="00C9587B"/>
    <w:rsid w:val="00C961FD"/>
    <w:rsid w:val="00C96EE5"/>
    <w:rsid w:val="00C97040"/>
    <w:rsid w:val="00CA30B3"/>
    <w:rsid w:val="00CA3672"/>
    <w:rsid w:val="00CA3CDE"/>
    <w:rsid w:val="00CA4342"/>
    <w:rsid w:val="00CA4D98"/>
    <w:rsid w:val="00CA53D9"/>
    <w:rsid w:val="00CA5FBE"/>
    <w:rsid w:val="00CB1F18"/>
    <w:rsid w:val="00CB2D29"/>
    <w:rsid w:val="00CB53E6"/>
    <w:rsid w:val="00CB632D"/>
    <w:rsid w:val="00CB6E14"/>
    <w:rsid w:val="00CB6E94"/>
    <w:rsid w:val="00CB7A12"/>
    <w:rsid w:val="00CB7B4A"/>
    <w:rsid w:val="00CC02C1"/>
    <w:rsid w:val="00CC0A60"/>
    <w:rsid w:val="00CC24F0"/>
    <w:rsid w:val="00CC34B1"/>
    <w:rsid w:val="00CC46F1"/>
    <w:rsid w:val="00CC557E"/>
    <w:rsid w:val="00CC6231"/>
    <w:rsid w:val="00CC69B8"/>
    <w:rsid w:val="00CC6A51"/>
    <w:rsid w:val="00CC713A"/>
    <w:rsid w:val="00CC7CB5"/>
    <w:rsid w:val="00CC7D97"/>
    <w:rsid w:val="00CD0827"/>
    <w:rsid w:val="00CD232A"/>
    <w:rsid w:val="00CD3947"/>
    <w:rsid w:val="00CD41C2"/>
    <w:rsid w:val="00CD7D82"/>
    <w:rsid w:val="00CE4AC4"/>
    <w:rsid w:val="00CE4F30"/>
    <w:rsid w:val="00CE5951"/>
    <w:rsid w:val="00CE616B"/>
    <w:rsid w:val="00CE77BB"/>
    <w:rsid w:val="00CF0651"/>
    <w:rsid w:val="00CF15FA"/>
    <w:rsid w:val="00CF1B88"/>
    <w:rsid w:val="00CF375F"/>
    <w:rsid w:val="00CF4468"/>
    <w:rsid w:val="00CF4A2A"/>
    <w:rsid w:val="00CF4FA4"/>
    <w:rsid w:val="00CF51DA"/>
    <w:rsid w:val="00CF6A79"/>
    <w:rsid w:val="00CF7518"/>
    <w:rsid w:val="00CF7EBC"/>
    <w:rsid w:val="00D00693"/>
    <w:rsid w:val="00D02466"/>
    <w:rsid w:val="00D03018"/>
    <w:rsid w:val="00D043F1"/>
    <w:rsid w:val="00D04710"/>
    <w:rsid w:val="00D052E1"/>
    <w:rsid w:val="00D05390"/>
    <w:rsid w:val="00D05CE3"/>
    <w:rsid w:val="00D05DE5"/>
    <w:rsid w:val="00D0661E"/>
    <w:rsid w:val="00D10C12"/>
    <w:rsid w:val="00D11881"/>
    <w:rsid w:val="00D11BBB"/>
    <w:rsid w:val="00D12606"/>
    <w:rsid w:val="00D12AD3"/>
    <w:rsid w:val="00D12B26"/>
    <w:rsid w:val="00D136D1"/>
    <w:rsid w:val="00D13C76"/>
    <w:rsid w:val="00D14C75"/>
    <w:rsid w:val="00D15243"/>
    <w:rsid w:val="00D1656E"/>
    <w:rsid w:val="00D16C5F"/>
    <w:rsid w:val="00D173CA"/>
    <w:rsid w:val="00D17C4E"/>
    <w:rsid w:val="00D17DDF"/>
    <w:rsid w:val="00D22C0A"/>
    <w:rsid w:val="00D23BBE"/>
    <w:rsid w:val="00D2448A"/>
    <w:rsid w:val="00D24E99"/>
    <w:rsid w:val="00D251ED"/>
    <w:rsid w:val="00D26881"/>
    <w:rsid w:val="00D26B4C"/>
    <w:rsid w:val="00D2733E"/>
    <w:rsid w:val="00D273A4"/>
    <w:rsid w:val="00D27B18"/>
    <w:rsid w:val="00D27E4B"/>
    <w:rsid w:val="00D30244"/>
    <w:rsid w:val="00D304B5"/>
    <w:rsid w:val="00D306FF"/>
    <w:rsid w:val="00D31B65"/>
    <w:rsid w:val="00D325FD"/>
    <w:rsid w:val="00D32E7F"/>
    <w:rsid w:val="00D34F5D"/>
    <w:rsid w:val="00D374BD"/>
    <w:rsid w:val="00D378D0"/>
    <w:rsid w:val="00D422C4"/>
    <w:rsid w:val="00D459D6"/>
    <w:rsid w:val="00D468EB"/>
    <w:rsid w:val="00D46B72"/>
    <w:rsid w:val="00D472E4"/>
    <w:rsid w:val="00D4790F"/>
    <w:rsid w:val="00D5010E"/>
    <w:rsid w:val="00D5021F"/>
    <w:rsid w:val="00D502AD"/>
    <w:rsid w:val="00D503AF"/>
    <w:rsid w:val="00D50400"/>
    <w:rsid w:val="00D507EC"/>
    <w:rsid w:val="00D50E73"/>
    <w:rsid w:val="00D51542"/>
    <w:rsid w:val="00D5228B"/>
    <w:rsid w:val="00D525B4"/>
    <w:rsid w:val="00D52C3D"/>
    <w:rsid w:val="00D54282"/>
    <w:rsid w:val="00D54AEA"/>
    <w:rsid w:val="00D55150"/>
    <w:rsid w:val="00D553F9"/>
    <w:rsid w:val="00D57784"/>
    <w:rsid w:val="00D579CD"/>
    <w:rsid w:val="00D600DD"/>
    <w:rsid w:val="00D603EB"/>
    <w:rsid w:val="00D618F0"/>
    <w:rsid w:val="00D61F1C"/>
    <w:rsid w:val="00D64E49"/>
    <w:rsid w:val="00D651B0"/>
    <w:rsid w:val="00D67DC8"/>
    <w:rsid w:val="00D708F1"/>
    <w:rsid w:val="00D71D3A"/>
    <w:rsid w:val="00D72345"/>
    <w:rsid w:val="00D74881"/>
    <w:rsid w:val="00D7611B"/>
    <w:rsid w:val="00D768DA"/>
    <w:rsid w:val="00D76944"/>
    <w:rsid w:val="00D76951"/>
    <w:rsid w:val="00D77355"/>
    <w:rsid w:val="00D77AFC"/>
    <w:rsid w:val="00D80572"/>
    <w:rsid w:val="00D81C24"/>
    <w:rsid w:val="00D81D47"/>
    <w:rsid w:val="00D825E1"/>
    <w:rsid w:val="00D82B15"/>
    <w:rsid w:val="00D83D2A"/>
    <w:rsid w:val="00D84D5A"/>
    <w:rsid w:val="00D852B6"/>
    <w:rsid w:val="00D85B22"/>
    <w:rsid w:val="00D860F8"/>
    <w:rsid w:val="00D868B7"/>
    <w:rsid w:val="00D87DF6"/>
    <w:rsid w:val="00D90652"/>
    <w:rsid w:val="00D90BA0"/>
    <w:rsid w:val="00D918F6"/>
    <w:rsid w:val="00D94104"/>
    <w:rsid w:val="00D946B6"/>
    <w:rsid w:val="00D95855"/>
    <w:rsid w:val="00D95C92"/>
    <w:rsid w:val="00D95D28"/>
    <w:rsid w:val="00D97005"/>
    <w:rsid w:val="00D97069"/>
    <w:rsid w:val="00DA1017"/>
    <w:rsid w:val="00DA1733"/>
    <w:rsid w:val="00DA1D49"/>
    <w:rsid w:val="00DA246F"/>
    <w:rsid w:val="00DA339A"/>
    <w:rsid w:val="00DA34CA"/>
    <w:rsid w:val="00DA38F2"/>
    <w:rsid w:val="00DA3A36"/>
    <w:rsid w:val="00DA627A"/>
    <w:rsid w:val="00DA6562"/>
    <w:rsid w:val="00DA6706"/>
    <w:rsid w:val="00DA6B08"/>
    <w:rsid w:val="00DB001D"/>
    <w:rsid w:val="00DB117C"/>
    <w:rsid w:val="00DB2E58"/>
    <w:rsid w:val="00DB67DE"/>
    <w:rsid w:val="00DB70C5"/>
    <w:rsid w:val="00DB76CB"/>
    <w:rsid w:val="00DC10E8"/>
    <w:rsid w:val="00DC12D2"/>
    <w:rsid w:val="00DC17A0"/>
    <w:rsid w:val="00DC2E6B"/>
    <w:rsid w:val="00DC3484"/>
    <w:rsid w:val="00DC4E25"/>
    <w:rsid w:val="00DC600E"/>
    <w:rsid w:val="00DC730C"/>
    <w:rsid w:val="00DD0CB3"/>
    <w:rsid w:val="00DD0F69"/>
    <w:rsid w:val="00DD1DD2"/>
    <w:rsid w:val="00DD234A"/>
    <w:rsid w:val="00DD34EF"/>
    <w:rsid w:val="00DD40C2"/>
    <w:rsid w:val="00DD483C"/>
    <w:rsid w:val="00DD5646"/>
    <w:rsid w:val="00DD6D24"/>
    <w:rsid w:val="00DD787E"/>
    <w:rsid w:val="00DD7B58"/>
    <w:rsid w:val="00DE014A"/>
    <w:rsid w:val="00DE11E7"/>
    <w:rsid w:val="00DE1BC2"/>
    <w:rsid w:val="00DE1D30"/>
    <w:rsid w:val="00DE2251"/>
    <w:rsid w:val="00DE2D07"/>
    <w:rsid w:val="00DE3627"/>
    <w:rsid w:val="00DE3935"/>
    <w:rsid w:val="00DE3B99"/>
    <w:rsid w:val="00DE4A6C"/>
    <w:rsid w:val="00DE50D3"/>
    <w:rsid w:val="00DE551F"/>
    <w:rsid w:val="00DE5BB6"/>
    <w:rsid w:val="00DE609A"/>
    <w:rsid w:val="00DE6AC4"/>
    <w:rsid w:val="00DE6C26"/>
    <w:rsid w:val="00DE7985"/>
    <w:rsid w:val="00DF1EA5"/>
    <w:rsid w:val="00DF2AB5"/>
    <w:rsid w:val="00DF3EAF"/>
    <w:rsid w:val="00DF44FC"/>
    <w:rsid w:val="00DF452B"/>
    <w:rsid w:val="00DF6E53"/>
    <w:rsid w:val="00DF7CA7"/>
    <w:rsid w:val="00E00BEB"/>
    <w:rsid w:val="00E01B18"/>
    <w:rsid w:val="00E02891"/>
    <w:rsid w:val="00E02A3B"/>
    <w:rsid w:val="00E03B89"/>
    <w:rsid w:val="00E03CC9"/>
    <w:rsid w:val="00E04715"/>
    <w:rsid w:val="00E04F45"/>
    <w:rsid w:val="00E05038"/>
    <w:rsid w:val="00E072ED"/>
    <w:rsid w:val="00E07DFE"/>
    <w:rsid w:val="00E10709"/>
    <w:rsid w:val="00E1077E"/>
    <w:rsid w:val="00E1120E"/>
    <w:rsid w:val="00E11617"/>
    <w:rsid w:val="00E12135"/>
    <w:rsid w:val="00E1228A"/>
    <w:rsid w:val="00E12886"/>
    <w:rsid w:val="00E1363C"/>
    <w:rsid w:val="00E13C98"/>
    <w:rsid w:val="00E15116"/>
    <w:rsid w:val="00E15169"/>
    <w:rsid w:val="00E1516A"/>
    <w:rsid w:val="00E15393"/>
    <w:rsid w:val="00E16CD4"/>
    <w:rsid w:val="00E16E36"/>
    <w:rsid w:val="00E17F08"/>
    <w:rsid w:val="00E20A52"/>
    <w:rsid w:val="00E20C97"/>
    <w:rsid w:val="00E2143E"/>
    <w:rsid w:val="00E215E4"/>
    <w:rsid w:val="00E22E62"/>
    <w:rsid w:val="00E23172"/>
    <w:rsid w:val="00E2342B"/>
    <w:rsid w:val="00E23646"/>
    <w:rsid w:val="00E23ADE"/>
    <w:rsid w:val="00E241A3"/>
    <w:rsid w:val="00E250C5"/>
    <w:rsid w:val="00E2532F"/>
    <w:rsid w:val="00E26E5D"/>
    <w:rsid w:val="00E2728B"/>
    <w:rsid w:val="00E2743B"/>
    <w:rsid w:val="00E27462"/>
    <w:rsid w:val="00E27F85"/>
    <w:rsid w:val="00E311C9"/>
    <w:rsid w:val="00E312C1"/>
    <w:rsid w:val="00E32AD5"/>
    <w:rsid w:val="00E338DA"/>
    <w:rsid w:val="00E34170"/>
    <w:rsid w:val="00E344B9"/>
    <w:rsid w:val="00E37269"/>
    <w:rsid w:val="00E373EA"/>
    <w:rsid w:val="00E379C4"/>
    <w:rsid w:val="00E37F0C"/>
    <w:rsid w:val="00E40DA2"/>
    <w:rsid w:val="00E41880"/>
    <w:rsid w:val="00E41FD9"/>
    <w:rsid w:val="00E43FBE"/>
    <w:rsid w:val="00E450D9"/>
    <w:rsid w:val="00E453DF"/>
    <w:rsid w:val="00E45933"/>
    <w:rsid w:val="00E4608D"/>
    <w:rsid w:val="00E460C7"/>
    <w:rsid w:val="00E50A8E"/>
    <w:rsid w:val="00E5240C"/>
    <w:rsid w:val="00E52677"/>
    <w:rsid w:val="00E53AAE"/>
    <w:rsid w:val="00E54D84"/>
    <w:rsid w:val="00E558B2"/>
    <w:rsid w:val="00E64655"/>
    <w:rsid w:val="00E65122"/>
    <w:rsid w:val="00E66366"/>
    <w:rsid w:val="00E6647E"/>
    <w:rsid w:val="00E6711A"/>
    <w:rsid w:val="00E71231"/>
    <w:rsid w:val="00E716B0"/>
    <w:rsid w:val="00E71AD4"/>
    <w:rsid w:val="00E71D02"/>
    <w:rsid w:val="00E72658"/>
    <w:rsid w:val="00E72E78"/>
    <w:rsid w:val="00E73793"/>
    <w:rsid w:val="00E739BA"/>
    <w:rsid w:val="00E74A55"/>
    <w:rsid w:val="00E752B3"/>
    <w:rsid w:val="00E757BB"/>
    <w:rsid w:val="00E77E1C"/>
    <w:rsid w:val="00E80D42"/>
    <w:rsid w:val="00E81418"/>
    <w:rsid w:val="00E819FB"/>
    <w:rsid w:val="00E81D69"/>
    <w:rsid w:val="00E82BA1"/>
    <w:rsid w:val="00E834B2"/>
    <w:rsid w:val="00E84206"/>
    <w:rsid w:val="00E84B16"/>
    <w:rsid w:val="00E86B7C"/>
    <w:rsid w:val="00E87A4E"/>
    <w:rsid w:val="00E90974"/>
    <w:rsid w:val="00E90A8D"/>
    <w:rsid w:val="00E90FB4"/>
    <w:rsid w:val="00E915A4"/>
    <w:rsid w:val="00E91A62"/>
    <w:rsid w:val="00E91F44"/>
    <w:rsid w:val="00E925D1"/>
    <w:rsid w:val="00E9353E"/>
    <w:rsid w:val="00E94002"/>
    <w:rsid w:val="00E9589A"/>
    <w:rsid w:val="00E96015"/>
    <w:rsid w:val="00E960EE"/>
    <w:rsid w:val="00E962E0"/>
    <w:rsid w:val="00E965A0"/>
    <w:rsid w:val="00E96CB2"/>
    <w:rsid w:val="00E96DFA"/>
    <w:rsid w:val="00E96F60"/>
    <w:rsid w:val="00E97E9C"/>
    <w:rsid w:val="00EA0759"/>
    <w:rsid w:val="00EA282F"/>
    <w:rsid w:val="00EA2D56"/>
    <w:rsid w:val="00EA4012"/>
    <w:rsid w:val="00EA402E"/>
    <w:rsid w:val="00EA4655"/>
    <w:rsid w:val="00EA6460"/>
    <w:rsid w:val="00EA6724"/>
    <w:rsid w:val="00EA6E10"/>
    <w:rsid w:val="00EA70B2"/>
    <w:rsid w:val="00EA7369"/>
    <w:rsid w:val="00EA7D47"/>
    <w:rsid w:val="00EB0A05"/>
    <w:rsid w:val="00EB188D"/>
    <w:rsid w:val="00EB19AC"/>
    <w:rsid w:val="00EB2A7E"/>
    <w:rsid w:val="00EB3B96"/>
    <w:rsid w:val="00EB4ED9"/>
    <w:rsid w:val="00EB5493"/>
    <w:rsid w:val="00EB7049"/>
    <w:rsid w:val="00EB7F82"/>
    <w:rsid w:val="00EC16BB"/>
    <w:rsid w:val="00EC22EF"/>
    <w:rsid w:val="00EC2343"/>
    <w:rsid w:val="00EC34D4"/>
    <w:rsid w:val="00EC438F"/>
    <w:rsid w:val="00EC444B"/>
    <w:rsid w:val="00EC4C2F"/>
    <w:rsid w:val="00EC4ECA"/>
    <w:rsid w:val="00EC6242"/>
    <w:rsid w:val="00EC6D3B"/>
    <w:rsid w:val="00EC7011"/>
    <w:rsid w:val="00EC7F86"/>
    <w:rsid w:val="00ED0B5F"/>
    <w:rsid w:val="00ED0F42"/>
    <w:rsid w:val="00ED1166"/>
    <w:rsid w:val="00ED3423"/>
    <w:rsid w:val="00ED3B53"/>
    <w:rsid w:val="00ED3E81"/>
    <w:rsid w:val="00ED3FAE"/>
    <w:rsid w:val="00ED421D"/>
    <w:rsid w:val="00ED4278"/>
    <w:rsid w:val="00ED4AE5"/>
    <w:rsid w:val="00ED502C"/>
    <w:rsid w:val="00ED528A"/>
    <w:rsid w:val="00ED541E"/>
    <w:rsid w:val="00ED5615"/>
    <w:rsid w:val="00ED5708"/>
    <w:rsid w:val="00ED681B"/>
    <w:rsid w:val="00ED6C5F"/>
    <w:rsid w:val="00ED7DAD"/>
    <w:rsid w:val="00EE1E45"/>
    <w:rsid w:val="00EE265D"/>
    <w:rsid w:val="00EE3A96"/>
    <w:rsid w:val="00EE3D81"/>
    <w:rsid w:val="00EE593D"/>
    <w:rsid w:val="00EE627C"/>
    <w:rsid w:val="00EE6850"/>
    <w:rsid w:val="00EE6C0E"/>
    <w:rsid w:val="00EE7084"/>
    <w:rsid w:val="00EE731C"/>
    <w:rsid w:val="00EE7EE6"/>
    <w:rsid w:val="00EF0108"/>
    <w:rsid w:val="00EF015C"/>
    <w:rsid w:val="00EF12ED"/>
    <w:rsid w:val="00EF236A"/>
    <w:rsid w:val="00EF2584"/>
    <w:rsid w:val="00EF329A"/>
    <w:rsid w:val="00EF3C79"/>
    <w:rsid w:val="00EF4105"/>
    <w:rsid w:val="00EF44C5"/>
    <w:rsid w:val="00EF5BEF"/>
    <w:rsid w:val="00EF6257"/>
    <w:rsid w:val="00EF635F"/>
    <w:rsid w:val="00EF69C4"/>
    <w:rsid w:val="00F00549"/>
    <w:rsid w:val="00F00D70"/>
    <w:rsid w:val="00F015B3"/>
    <w:rsid w:val="00F04A55"/>
    <w:rsid w:val="00F04B0A"/>
    <w:rsid w:val="00F04C2C"/>
    <w:rsid w:val="00F0502B"/>
    <w:rsid w:val="00F05BDB"/>
    <w:rsid w:val="00F063B8"/>
    <w:rsid w:val="00F06D0B"/>
    <w:rsid w:val="00F06E03"/>
    <w:rsid w:val="00F079B3"/>
    <w:rsid w:val="00F07BF5"/>
    <w:rsid w:val="00F13B6E"/>
    <w:rsid w:val="00F14F2E"/>
    <w:rsid w:val="00F15057"/>
    <w:rsid w:val="00F169C1"/>
    <w:rsid w:val="00F16DC1"/>
    <w:rsid w:val="00F17068"/>
    <w:rsid w:val="00F17888"/>
    <w:rsid w:val="00F17F3A"/>
    <w:rsid w:val="00F209D7"/>
    <w:rsid w:val="00F2318F"/>
    <w:rsid w:val="00F23454"/>
    <w:rsid w:val="00F23EB8"/>
    <w:rsid w:val="00F23EBE"/>
    <w:rsid w:val="00F24BA0"/>
    <w:rsid w:val="00F25F84"/>
    <w:rsid w:val="00F260BB"/>
    <w:rsid w:val="00F2649A"/>
    <w:rsid w:val="00F270D5"/>
    <w:rsid w:val="00F27508"/>
    <w:rsid w:val="00F27EC6"/>
    <w:rsid w:val="00F30328"/>
    <w:rsid w:val="00F310B9"/>
    <w:rsid w:val="00F317A7"/>
    <w:rsid w:val="00F32F67"/>
    <w:rsid w:val="00F336A5"/>
    <w:rsid w:val="00F35362"/>
    <w:rsid w:val="00F35A50"/>
    <w:rsid w:val="00F402CC"/>
    <w:rsid w:val="00F40AC6"/>
    <w:rsid w:val="00F40DF7"/>
    <w:rsid w:val="00F41643"/>
    <w:rsid w:val="00F419F0"/>
    <w:rsid w:val="00F41EBD"/>
    <w:rsid w:val="00F43E98"/>
    <w:rsid w:val="00F4441B"/>
    <w:rsid w:val="00F45785"/>
    <w:rsid w:val="00F464D7"/>
    <w:rsid w:val="00F474C1"/>
    <w:rsid w:val="00F47EA7"/>
    <w:rsid w:val="00F504C3"/>
    <w:rsid w:val="00F51A1C"/>
    <w:rsid w:val="00F534B1"/>
    <w:rsid w:val="00F53EB9"/>
    <w:rsid w:val="00F54FCF"/>
    <w:rsid w:val="00F552A9"/>
    <w:rsid w:val="00F55BB5"/>
    <w:rsid w:val="00F55FC2"/>
    <w:rsid w:val="00F56404"/>
    <w:rsid w:val="00F570AD"/>
    <w:rsid w:val="00F576D4"/>
    <w:rsid w:val="00F61D69"/>
    <w:rsid w:val="00F61FCD"/>
    <w:rsid w:val="00F631B6"/>
    <w:rsid w:val="00F63562"/>
    <w:rsid w:val="00F64028"/>
    <w:rsid w:val="00F64443"/>
    <w:rsid w:val="00F6474F"/>
    <w:rsid w:val="00F65120"/>
    <w:rsid w:val="00F6642F"/>
    <w:rsid w:val="00F67095"/>
    <w:rsid w:val="00F67E25"/>
    <w:rsid w:val="00F705A6"/>
    <w:rsid w:val="00F70A30"/>
    <w:rsid w:val="00F7146E"/>
    <w:rsid w:val="00F736DD"/>
    <w:rsid w:val="00F73C31"/>
    <w:rsid w:val="00F740A4"/>
    <w:rsid w:val="00F742BD"/>
    <w:rsid w:val="00F74449"/>
    <w:rsid w:val="00F771B1"/>
    <w:rsid w:val="00F77870"/>
    <w:rsid w:val="00F77DC2"/>
    <w:rsid w:val="00F80A31"/>
    <w:rsid w:val="00F83034"/>
    <w:rsid w:val="00F83336"/>
    <w:rsid w:val="00F834D9"/>
    <w:rsid w:val="00F8542C"/>
    <w:rsid w:val="00F86212"/>
    <w:rsid w:val="00F90407"/>
    <w:rsid w:val="00F912CB"/>
    <w:rsid w:val="00F9302E"/>
    <w:rsid w:val="00F93285"/>
    <w:rsid w:val="00F93547"/>
    <w:rsid w:val="00F93BEA"/>
    <w:rsid w:val="00F94B86"/>
    <w:rsid w:val="00F96130"/>
    <w:rsid w:val="00F9627A"/>
    <w:rsid w:val="00F96626"/>
    <w:rsid w:val="00F96B57"/>
    <w:rsid w:val="00F97490"/>
    <w:rsid w:val="00F97762"/>
    <w:rsid w:val="00F97D2B"/>
    <w:rsid w:val="00F97E17"/>
    <w:rsid w:val="00FA0416"/>
    <w:rsid w:val="00FA1E7B"/>
    <w:rsid w:val="00FA20A7"/>
    <w:rsid w:val="00FA2288"/>
    <w:rsid w:val="00FA2355"/>
    <w:rsid w:val="00FA3F54"/>
    <w:rsid w:val="00FA44C1"/>
    <w:rsid w:val="00FA5343"/>
    <w:rsid w:val="00FA5913"/>
    <w:rsid w:val="00FA6231"/>
    <w:rsid w:val="00FA7433"/>
    <w:rsid w:val="00FA7724"/>
    <w:rsid w:val="00FB12DC"/>
    <w:rsid w:val="00FB2744"/>
    <w:rsid w:val="00FB31BA"/>
    <w:rsid w:val="00FB31CD"/>
    <w:rsid w:val="00FB4467"/>
    <w:rsid w:val="00FB44DC"/>
    <w:rsid w:val="00FB4C2E"/>
    <w:rsid w:val="00FB4F75"/>
    <w:rsid w:val="00FB5341"/>
    <w:rsid w:val="00FB58A2"/>
    <w:rsid w:val="00FB5CDA"/>
    <w:rsid w:val="00FB646C"/>
    <w:rsid w:val="00FB6798"/>
    <w:rsid w:val="00FB6F88"/>
    <w:rsid w:val="00FB7AE9"/>
    <w:rsid w:val="00FC0AC9"/>
    <w:rsid w:val="00FC12B8"/>
    <w:rsid w:val="00FC1C78"/>
    <w:rsid w:val="00FC2023"/>
    <w:rsid w:val="00FC278E"/>
    <w:rsid w:val="00FC27CF"/>
    <w:rsid w:val="00FC358D"/>
    <w:rsid w:val="00FC3A62"/>
    <w:rsid w:val="00FC3A7B"/>
    <w:rsid w:val="00FC45CF"/>
    <w:rsid w:val="00FC498F"/>
    <w:rsid w:val="00FC522C"/>
    <w:rsid w:val="00FC526B"/>
    <w:rsid w:val="00FC6AB7"/>
    <w:rsid w:val="00FD08C9"/>
    <w:rsid w:val="00FD1D12"/>
    <w:rsid w:val="00FD2238"/>
    <w:rsid w:val="00FD311C"/>
    <w:rsid w:val="00FD37DA"/>
    <w:rsid w:val="00FD3B00"/>
    <w:rsid w:val="00FD436D"/>
    <w:rsid w:val="00FD51C8"/>
    <w:rsid w:val="00FD5AD1"/>
    <w:rsid w:val="00FD6432"/>
    <w:rsid w:val="00FD6F28"/>
    <w:rsid w:val="00FD7635"/>
    <w:rsid w:val="00FD77A0"/>
    <w:rsid w:val="00FE0388"/>
    <w:rsid w:val="00FE1299"/>
    <w:rsid w:val="00FE33C2"/>
    <w:rsid w:val="00FE36A2"/>
    <w:rsid w:val="00FE39B6"/>
    <w:rsid w:val="00FE3B10"/>
    <w:rsid w:val="00FE486D"/>
    <w:rsid w:val="00FE48B5"/>
    <w:rsid w:val="00FE5032"/>
    <w:rsid w:val="00FE530F"/>
    <w:rsid w:val="00FE54BF"/>
    <w:rsid w:val="00FE6A3D"/>
    <w:rsid w:val="00FE717E"/>
    <w:rsid w:val="00FE7BCA"/>
    <w:rsid w:val="00FE7CA6"/>
    <w:rsid w:val="00FF073A"/>
    <w:rsid w:val="00FF16F5"/>
    <w:rsid w:val="00FF299B"/>
    <w:rsid w:val="00FF29B1"/>
    <w:rsid w:val="00FF4B35"/>
    <w:rsid w:val="00FF4BD6"/>
    <w:rsid w:val="00FF59EC"/>
    <w:rsid w:val="00FF7043"/>
    <w:rsid w:val="00FF770B"/>
    <w:rsid w:val="01576944"/>
    <w:rsid w:val="043913E9"/>
    <w:rsid w:val="05A766D5"/>
    <w:rsid w:val="07DB356A"/>
    <w:rsid w:val="0A18181A"/>
    <w:rsid w:val="0A632726"/>
    <w:rsid w:val="0D5817A2"/>
    <w:rsid w:val="0D625A4D"/>
    <w:rsid w:val="0DC56981"/>
    <w:rsid w:val="10310B80"/>
    <w:rsid w:val="1097325D"/>
    <w:rsid w:val="10F349EC"/>
    <w:rsid w:val="11033725"/>
    <w:rsid w:val="1398420B"/>
    <w:rsid w:val="143F567D"/>
    <w:rsid w:val="152A1F7C"/>
    <w:rsid w:val="17EC06F9"/>
    <w:rsid w:val="19143B5E"/>
    <w:rsid w:val="19501417"/>
    <w:rsid w:val="19D77A03"/>
    <w:rsid w:val="1B594654"/>
    <w:rsid w:val="1B5D7AF7"/>
    <w:rsid w:val="1BD31F30"/>
    <w:rsid w:val="1C8F6367"/>
    <w:rsid w:val="1D3F64EC"/>
    <w:rsid w:val="1D8E4E45"/>
    <w:rsid w:val="1F563E08"/>
    <w:rsid w:val="202661BC"/>
    <w:rsid w:val="21986B2C"/>
    <w:rsid w:val="22341357"/>
    <w:rsid w:val="2279352D"/>
    <w:rsid w:val="22BF7243"/>
    <w:rsid w:val="241F0B01"/>
    <w:rsid w:val="275C71EB"/>
    <w:rsid w:val="277F7C12"/>
    <w:rsid w:val="289B2774"/>
    <w:rsid w:val="2CD92868"/>
    <w:rsid w:val="302F1E11"/>
    <w:rsid w:val="3086056D"/>
    <w:rsid w:val="314236C1"/>
    <w:rsid w:val="32CC59A1"/>
    <w:rsid w:val="32E46380"/>
    <w:rsid w:val="33035E27"/>
    <w:rsid w:val="36DB109D"/>
    <w:rsid w:val="3A0B05CB"/>
    <w:rsid w:val="3FDD6FAB"/>
    <w:rsid w:val="410F0621"/>
    <w:rsid w:val="412B19D8"/>
    <w:rsid w:val="418B6004"/>
    <w:rsid w:val="43AF57C2"/>
    <w:rsid w:val="43BA1026"/>
    <w:rsid w:val="453D2252"/>
    <w:rsid w:val="4B7856AF"/>
    <w:rsid w:val="4C5A2353"/>
    <w:rsid w:val="4C5D1379"/>
    <w:rsid w:val="4D667C64"/>
    <w:rsid w:val="4E734CA6"/>
    <w:rsid w:val="4FE9035F"/>
    <w:rsid w:val="53BD34C7"/>
    <w:rsid w:val="5449353A"/>
    <w:rsid w:val="55007146"/>
    <w:rsid w:val="551E0609"/>
    <w:rsid w:val="556B00DB"/>
    <w:rsid w:val="56D969DC"/>
    <w:rsid w:val="579F1B62"/>
    <w:rsid w:val="580062EE"/>
    <w:rsid w:val="5986658F"/>
    <w:rsid w:val="59FF5C85"/>
    <w:rsid w:val="5A1A21C5"/>
    <w:rsid w:val="5B2D24CA"/>
    <w:rsid w:val="5C26165C"/>
    <w:rsid w:val="5DEB6C03"/>
    <w:rsid w:val="5EB408E3"/>
    <w:rsid w:val="61694015"/>
    <w:rsid w:val="62FD3E34"/>
    <w:rsid w:val="639E0296"/>
    <w:rsid w:val="64140589"/>
    <w:rsid w:val="66535366"/>
    <w:rsid w:val="6A1778CC"/>
    <w:rsid w:val="6AEE3427"/>
    <w:rsid w:val="6C4504B1"/>
    <w:rsid w:val="6C9A2460"/>
    <w:rsid w:val="6CD233F7"/>
    <w:rsid w:val="6D063E8C"/>
    <w:rsid w:val="6D114B0E"/>
    <w:rsid w:val="6DA15706"/>
    <w:rsid w:val="6EA4177D"/>
    <w:rsid w:val="6F1A16E3"/>
    <w:rsid w:val="6F7624C9"/>
    <w:rsid w:val="77455972"/>
    <w:rsid w:val="7C122B5F"/>
    <w:rsid w:val="7DE55C6E"/>
    <w:rsid w:val="7F186A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ocked="1"/>
    <w:lsdException w:qFormat="1" w:unhideWhenUsed="0" w:uiPriority="0" w:semiHidden="0" w:name="heading 8" w:locked="1"/>
    <w:lsdException w:qFormat="1" w:unhideWhenUsed="0" w:uiPriority="0" w:semiHidden="0" w:name="heading 9" w:locked="1"/>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ocked="1"/>
    <w:lsdException w:qFormat="1" w:unhideWhenUsed="0" w:uiPriority="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60"/>
    <w:qFormat/>
    <w:uiPriority w:val="0"/>
    <w:pPr>
      <w:keepNext/>
      <w:keepLines/>
      <w:spacing w:beforeLines="50" w:afterLines="50" w:line="360" w:lineRule="auto"/>
      <w:jc w:val="center"/>
      <w:outlineLvl w:val="0"/>
    </w:pPr>
    <w:rPr>
      <w:rFonts w:ascii="宋体" w:hAnsi="宋体" w:cs="宋体"/>
      <w:b/>
      <w:bCs/>
      <w:kern w:val="44"/>
      <w:sz w:val="24"/>
      <w:szCs w:val="24"/>
    </w:rPr>
  </w:style>
  <w:style w:type="paragraph" w:styleId="3">
    <w:name w:val="heading 2"/>
    <w:basedOn w:val="1"/>
    <w:next w:val="4"/>
    <w:link w:val="61"/>
    <w:qFormat/>
    <w:uiPriority w:val="0"/>
    <w:pPr>
      <w:keepNext/>
      <w:keepLines/>
      <w:spacing w:beforeLines="50" w:afterLines="50" w:line="360" w:lineRule="auto"/>
      <w:outlineLvl w:val="1"/>
    </w:pPr>
    <w:rPr>
      <w:rFonts w:ascii="宋体" w:hAnsi="宋体" w:eastAsia="黑体" w:cs="宋体"/>
      <w:b/>
      <w:bCs/>
      <w:sz w:val="24"/>
      <w:szCs w:val="24"/>
    </w:rPr>
  </w:style>
  <w:style w:type="paragraph" w:styleId="5">
    <w:name w:val="heading 3"/>
    <w:basedOn w:val="1"/>
    <w:next w:val="4"/>
    <w:link w:val="62"/>
    <w:qFormat/>
    <w:uiPriority w:val="0"/>
    <w:pPr>
      <w:keepNext/>
      <w:keepLines/>
      <w:spacing w:line="360" w:lineRule="auto"/>
      <w:outlineLvl w:val="2"/>
    </w:pPr>
    <w:rPr>
      <w:b/>
      <w:bCs/>
      <w:sz w:val="24"/>
      <w:szCs w:val="24"/>
    </w:rPr>
  </w:style>
  <w:style w:type="paragraph" w:styleId="6">
    <w:name w:val="heading 4"/>
    <w:basedOn w:val="1"/>
    <w:next w:val="4"/>
    <w:link w:val="63"/>
    <w:qFormat/>
    <w:uiPriority w:val="0"/>
    <w:pPr>
      <w:keepNext/>
      <w:keepLines/>
      <w:spacing w:line="360" w:lineRule="auto"/>
      <w:outlineLvl w:val="3"/>
    </w:pPr>
    <w:rPr>
      <w:rFonts w:ascii="Arial" w:hAnsi="Arial" w:eastAsia="黑体" w:cs="Arial"/>
      <w:b/>
      <w:bCs/>
      <w:sz w:val="24"/>
      <w:szCs w:val="24"/>
    </w:rPr>
  </w:style>
  <w:style w:type="paragraph" w:styleId="7">
    <w:name w:val="heading 5"/>
    <w:basedOn w:val="8"/>
    <w:next w:val="8"/>
    <w:link w:val="64"/>
    <w:qFormat/>
    <w:uiPriority w:val="0"/>
    <w:pPr>
      <w:snapToGrid w:val="0"/>
      <w:spacing w:after="0" w:line="360" w:lineRule="auto"/>
      <w:outlineLvl w:val="4"/>
    </w:pPr>
    <w:rPr>
      <w:rFonts w:eastAsia="楷体_GB2312"/>
      <w:sz w:val="24"/>
      <w:szCs w:val="24"/>
    </w:rPr>
  </w:style>
  <w:style w:type="paragraph" w:styleId="9">
    <w:name w:val="heading 6"/>
    <w:basedOn w:val="1"/>
    <w:next w:val="8"/>
    <w:link w:val="65"/>
    <w:qFormat/>
    <w:uiPriority w:val="0"/>
    <w:pPr>
      <w:snapToGrid w:val="0"/>
      <w:spacing w:before="60" w:after="60" w:line="360" w:lineRule="auto"/>
      <w:outlineLvl w:val="5"/>
    </w:pPr>
    <w:rPr>
      <w:rFonts w:eastAsia="楷体_GB2312"/>
      <w:sz w:val="24"/>
      <w:szCs w:val="24"/>
    </w:rPr>
  </w:style>
  <w:style w:type="paragraph" w:styleId="10">
    <w:name w:val="heading 7"/>
    <w:basedOn w:val="1"/>
    <w:next w:val="1"/>
    <w:link w:val="97"/>
    <w:qFormat/>
    <w:locked/>
    <w:uiPriority w:val="0"/>
    <w:pPr>
      <w:keepNext/>
      <w:keepLines/>
      <w:spacing w:before="240" w:after="64" w:line="317" w:lineRule="auto"/>
      <w:outlineLvl w:val="6"/>
    </w:pPr>
    <w:rPr>
      <w:b/>
      <w:sz w:val="24"/>
      <w:szCs w:val="20"/>
    </w:rPr>
  </w:style>
  <w:style w:type="paragraph" w:styleId="11">
    <w:name w:val="heading 8"/>
    <w:basedOn w:val="1"/>
    <w:next w:val="1"/>
    <w:link w:val="98"/>
    <w:qFormat/>
    <w:locked/>
    <w:uiPriority w:val="0"/>
    <w:pPr>
      <w:keepNext/>
      <w:keepLines/>
      <w:spacing w:before="240" w:after="64" w:line="317" w:lineRule="auto"/>
      <w:outlineLvl w:val="7"/>
    </w:pPr>
    <w:rPr>
      <w:rFonts w:ascii="Arial" w:hAnsi="Arial" w:eastAsia="黑体"/>
      <w:sz w:val="24"/>
      <w:szCs w:val="20"/>
    </w:rPr>
  </w:style>
  <w:style w:type="paragraph" w:styleId="12">
    <w:name w:val="heading 9"/>
    <w:basedOn w:val="1"/>
    <w:next w:val="1"/>
    <w:link w:val="99"/>
    <w:qFormat/>
    <w:locked/>
    <w:uiPriority w:val="0"/>
    <w:pPr>
      <w:keepNext/>
      <w:keepLines/>
      <w:spacing w:before="240" w:after="64" w:line="317" w:lineRule="auto"/>
      <w:outlineLvl w:val="8"/>
    </w:pPr>
    <w:rPr>
      <w:rFonts w:ascii="Arial" w:hAnsi="Arial" w:eastAsia="黑体"/>
      <w:szCs w:val="20"/>
    </w:rPr>
  </w:style>
  <w:style w:type="character" w:default="1" w:styleId="53">
    <w:name w:val="Default Paragraph Font"/>
    <w:semiHidden/>
    <w:unhideWhenUsed/>
    <w:qFormat/>
    <w:uiPriority w:val="1"/>
  </w:style>
  <w:style w:type="table" w:default="1" w:styleId="51">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4">
    <w:name w:val="Normal Indent"/>
    <w:basedOn w:val="1"/>
    <w:qFormat/>
    <w:uiPriority w:val="0"/>
    <w:pPr>
      <w:spacing w:line="360" w:lineRule="auto"/>
      <w:ind w:firstLine="420"/>
    </w:pPr>
    <w:rPr>
      <w:sz w:val="24"/>
      <w:szCs w:val="24"/>
    </w:rPr>
  </w:style>
  <w:style w:type="paragraph" w:styleId="8">
    <w:name w:val="Body Text"/>
    <w:basedOn w:val="1"/>
    <w:link w:val="66"/>
    <w:qFormat/>
    <w:uiPriority w:val="0"/>
    <w:pPr>
      <w:spacing w:after="120"/>
    </w:pPr>
  </w:style>
  <w:style w:type="paragraph" w:styleId="13">
    <w:name w:val="toc 7"/>
    <w:basedOn w:val="1"/>
    <w:next w:val="1"/>
    <w:semiHidden/>
    <w:qFormat/>
    <w:uiPriority w:val="0"/>
    <w:pPr>
      <w:ind w:left="1260"/>
      <w:jc w:val="left"/>
    </w:pPr>
  </w:style>
  <w:style w:type="paragraph" w:styleId="14">
    <w:name w:val="index 8"/>
    <w:basedOn w:val="1"/>
    <w:next w:val="1"/>
    <w:semiHidden/>
    <w:qFormat/>
    <w:uiPriority w:val="0"/>
    <w:pPr>
      <w:ind w:left="1400" w:leftChars="1400"/>
    </w:pPr>
    <w:rPr>
      <w:rFonts w:ascii="Arial" w:hAnsi="Arial"/>
      <w:sz w:val="18"/>
      <w:szCs w:val="24"/>
    </w:rPr>
  </w:style>
  <w:style w:type="paragraph" w:styleId="15">
    <w:name w:val="index 5"/>
    <w:basedOn w:val="1"/>
    <w:next w:val="1"/>
    <w:semiHidden/>
    <w:qFormat/>
    <w:uiPriority w:val="0"/>
    <w:pPr>
      <w:ind w:left="800" w:leftChars="800"/>
    </w:pPr>
    <w:rPr>
      <w:rFonts w:ascii="Arial" w:hAnsi="Arial"/>
      <w:sz w:val="18"/>
      <w:szCs w:val="24"/>
    </w:rPr>
  </w:style>
  <w:style w:type="paragraph" w:styleId="16">
    <w:name w:val="Document Map"/>
    <w:basedOn w:val="1"/>
    <w:link w:val="114"/>
    <w:semiHidden/>
    <w:qFormat/>
    <w:uiPriority w:val="0"/>
    <w:pPr>
      <w:shd w:val="clear" w:color="auto" w:fill="000080"/>
    </w:pPr>
    <w:rPr>
      <w:rFonts w:ascii="Arial" w:hAnsi="Arial"/>
      <w:sz w:val="18"/>
      <w:szCs w:val="24"/>
    </w:rPr>
  </w:style>
  <w:style w:type="paragraph" w:styleId="17">
    <w:name w:val="annotation text"/>
    <w:basedOn w:val="1"/>
    <w:link w:val="79"/>
    <w:qFormat/>
    <w:uiPriority w:val="0"/>
    <w:pPr>
      <w:jc w:val="left"/>
    </w:pPr>
  </w:style>
  <w:style w:type="paragraph" w:styleId="18">
    <w:name w:val="index 6"/>
    <w:basedOn w:val="1"/>
    <w:next w:val="1"/>
    <w:semiHidden/>
    <w:qFormat/>
    <w:uiPriority w:val="0"/>
    <w:pPr>
      <w:ind w:left="1000" w:leftChars="1000"/>
    </w:pPr>
    <w:rPr>
      <w:rFonts w:ascii="Arial" w:hAnsi="Arial"/>
      <w:sz w:val="18"/>
      <w:szCs w:val="24"/>
    </w:rPr>
  </w:style>
  <w:style w:type="paragraph" w:styleId="19">
    <w:name w:val="Body Text 3"/>
    <w:basedOn w:val="1"/>
    <w:link w:val="113"/>
    <w:qFormat/>
    <w:uiPriority w:val="0"/>
    <w:pPr>
      <w:spacing w:line="360" w:lineRule="auto"/>
    </w:pPr>
    <w:rPr>
      <w:rFonts w:ascii="仿宋_GB2312" w:hAnsi="Arial" w:eastAsia="仿宋_GB2312"/>
      <w:szCs w:val="24"/>
    </w:rPr>
  </w:style>
  <w:style w:type="paragraph" w:styleId="20">
    <w:name w:val="Body Text Indent"/>
    <w:basedOn w:val="1"/>
    <w:link w:val="75"/>
    <w:qFormat/>
    <w:uiPriority w:val="0"/>
    <w:pPr>
      <w:spacing w:before="50" w:after="50" w:line="360" w:lineRule="auto"/>
      <w:ind w:left="1260" w:leftChars="600" w:firstLine="420" w:firstLineChars="175"/>
    </w:pPr>
    <w:rPr>
      <w:rFonts w:ascii="宋体" w:hAnsi="宋体" w:cs="宋体"/>
      <w:sz w:val="24"/>
      <w:szCs w:val="24"/>
    </w:rPr>
  </w:style>
  <w:style w:type="paragraph" w:styleId="21">
    <w:name w:val="Block Text"/>
    <w:basedOn w:val="1"/>
    <w:qFormat/>
    <w:uiPriority w:val="0"/>
    <w:pPr>
      <w:tabs>
        <w:tab w:val="left" w:pos="720"/>
      </w:tabs>
      <w:autoSpaceDE w:val="0"/>
      <w:autoSpaceDN w:val="0"/>
      <w:adjustRightInd w:val="0"/>
      <w:spacing w:line="360" w:lineRule="auto"/>
      <w:ind w:left="277" w:right="18"/>
      <w:jc w:val="left"/>
    </w:pPr>
    <w:rPr>
      <w:rFonts w:ascii="宋体" w:cs="宋体"/>
      <w:color w:val="FF0000"/>
      <w:kern w:val="0"/>
      <w:sz w:val="24"/>
      <w:szCs w:val="24"/>
      <w:lang w:val="zh-CN"/>
    </w:rPr>
  </w:style>
  <w:style w:type="paragraph" w:styleId="22">
    <w:name w:val="index 4"/>
    <w:basedOn w:val="1"/>
    <w:next w:val="1"/>
    <w:semiHidden/>
    <w:qFormat/>
    <w:uiPriority w:val="0"/>
    <w:pPr>
      <w:ind w:left="600" w:leftChars="600"/>
    </w:pPr>
    <w:rPr>
      <w:rFonts w:ascii="Arial" w:hAnsi="Arial"/>
      <w:sz w:val="18"/>
      <w:szCs w:val="24"/>
    </w:rPr>
  </w:style>
  <w:style w:type="paragraph" w:styleId="23">
    <w:name w:val="toc 5"/>
    <w:basedOn w:val="1"/>
    <w:next w:val="1"/>
    <w:semiHidden/>
    <w:qFormat/>
    <w:uiPriority w:val="0"/>
    <w:pPr>
      <w:ind w:left="840"/>
      <w:jc w:val="left"/>
    </w:pPr>
  </w:style>
  <w:style w:type="paragraph" w:styleId="24">
    <w:name w:val="toc 3"/>
    <w:basedOn w:val="1"/>
    <w:next w:val="1"/>
    <w:semiHidden/>
    <w:qFormat/>
    <w:uiPriority w:val="0"/>
    <w:pPr>
      <w:ind w:left="420"/>
      <w:jc w:val="left"/>
    </w:pPr>
    <w:rPr>
      <w:i/>
      <w:iCs/>
    </w:rPr>
  </w:style>
  <w:style w:type="paragraph" w:styleId="25">
    <w:name w:val="Plain Text"/>
    <w:basedOn w:val="1"/>
    <w:link w:val="72"/>
    <w:qFormat/>
    <w:uiPriority w:val="99"/>
    <w:rPr>
      <w:rFonts w:ascii="宋体" w:hAnsi="Courier New" w:cs="宋体"/>
      <w:sz w:val="16"/>
      <w:szCs w:val="16"/>
    </w:rPr>
  </w:style>
  <w:style w:type="paragraph" w:styleId="26">
    <w:name w:val="toc 8"/>
    <w:basedOn w:val="1"/>
    <w:next w:val="1"/>
    <w:semiHidden/>
    <w:qFormat/>
    <w:uiPriority w:val="0"/>
    <w:pPr>
      <w:ind w:left="1470"/>
      <w:jc w:val="left"/>
    </w:pPr>
  </w:style>
  <w:style w:type="paragraph" w:styleId="27">
    <w:name w:val="index 3"/>
    <w:basedOn w:val="1"/>
    <w:next w:val="1"/>
    <w:semiHidden/>
    <w:qFormat/>
    <w:uiPriority w:val="0"/>
    <w:pPr>
      <w:ind w:left="400" w:leftChars="400"/>
    </w:pPr>
    <w:rPr>
      <w:rFonts w:ascii="Arial" w:hAnsi="Arial"/>
      <w:sz w:val="18"/>
      <w:szCs w:val="24"/>
    </w:rPr>
  </w:style>
  <w:style w:type="paragraph" w:styleId="28">
    <w:name w:val="Date"/>
    <w:basedOn w:val="1"/>
    <w:next w:val="1"/>
    <w:link w:val="81"/>
    <w:qFormat/>
    <w:uiPriority w:val="0"/>
    <w:pPr>
      <w:ind w:left="100" w:leftChars="2500"/>
    </w:pPr>
  </w:style>
  <w:style w:type="paragraph" w:styleId="29">
    <w:name w:val="Body Text Indent 2"/>
    <w:basedOn w:val="1"/>
    <w:link w:val="69"/>
    <w:qFormat/>
    <w:uiPriority w:val="0"/>
    <w:pPr>
      <w:spacing w:before="50" w:after="50" w:line="360" w:lineRule="auto"/>
      <w:ind w:firstLine="420"/>
    </w:pPr>
    <w:rPr>
      <w:rFonts w:ascii="宋体" w:hAnsi="宋体" w:cs="宋体"/>
      <w:color w:val="0000FF"/>
      <w:sz w:val="24"/>
      <w:szCs w:val="24"/>
    </w:rPr>
  </w:style>
  <w:style w:type="paragraph" w:styleId="30">
    <w:name w:val="Balloon Text"/>
    <w:basedOn w:val="1"/>
    <w:link w:val="77"/>
    <w:qFormat/>
    <w:uiPriority w:val="0"/>
    <w:rPr>
      <w:sz w:val="18"/>
      <w:szCs w:val="18"/>
    </w:rPr>
  </w:style>
  <w:style w:type="paragraph" w:styleId="31">
    <w:name w:val="footer"/>
    <w:basedOn w:val="1"/>
    <w:link w:val="71"/>
    <w:qFormat/>
    <w:uiPriority w:val="99"/>
    <w:pPr>
      <w:tabs>
        <w:tab w:val="center" w:pos="4153"/>
        <w:tab w:val="right" w:pos="8306"/>
      </w:tabs>
      <w:snapToGrid w:val="0"/>
      <w:jc w:val="left"/>
    </w:pPr>
    <w:rPr>
      <w:sz w:val="18"/>
      <w:szCs w:val="18"/>
    </w:rPr>
  </w:style>
  <w:style w:type="paragraph" w:styleId="32">
    <w:name w:val="header"/>
    <w:basedOn w:val="1"/>
    <w:link w:val="70"/>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before="120" w:after="120"/>
      <w:jc w:val="left"/>
    </w:pPr>
    <w:rPr>
      <w:rFonts w:eastAsia="黑体"/>
      <w:b/>
      <w:bCs/>
      <w:caps/>
      <w:sz w:val="32"/>
      <w:szCs w:val="32"/>
    </w:rPr>
  </w:style>
  <w:style w:type="paragraph" w:styleId="34">
    <w:name w:val="toc 4"/>
    <w:basedOn w:val="1"/>
    <w:next w:val="1"/>
    <w:semiHidden/>
    <w:qFormat/>
    <w:uiPriority w:val="0"/>
    <w:pPr>
      <w:ind w:left="630"/>
      <w:jc w:val="left"/>
    </w:pPr>
  </w:style>
  <w:style w:type="paragraph" w:styleId="35">
    <w:name w:val="index heading"/>
    <w:basedOn w:val="1"/>
    <w:next w:val="36"/>
    <w:semiHidden/>
    <w:qFormat/>
    <w:uiPriority w:val="0"/>
    <w:rPr>
      <w:rFonts w:ascii="Arial" w:hAnsi="Arial"/>
      <w:sz w:val="18"/>
      <w:szCs w:val="24"/>
    </w:rPr>
  </w:style>
  <w:style w:type="paragraph" w:styleId="36">
    <w:name w:val="index 1"/>
    <w:basedOn w:val="1"/>
    <w:next w:val="1"/>
    <w:semiHidden/>
    <w:qFormat/>
    <w:uiPriority w:val="0"/>
    <w:rPr>
      <w:rFonts w:ascii="Arial" w:hAnsi="Arial"/>
      <w:sz w:val="18"/>
      <w:szCs w:val="24"/>
    </w:rPr>
  </w:style>
  <w:style w:type="paragraph" w:styleId="37">
    <w:name w:val="footnote text"/>
    <w:basedOn w:val="1"/>
    <w:link w:val="73"/>
    <w:semiHidden/>
    <w:qFormat/>
    <w:uiPriority w:val="0"/>
    <w:pPr>
      <w:snapToGrid w:val="0"/>
      <w:jc w:val="left"/>
    </w:pPr>
    <w:rPr>
      <w:sz w:val="18"/>
      <w:szCs w:val="18"/>
    </w:rPr>
  </w:style>
  <w:style w:type="paragraph" w:styleId="38">
    <w:name w:val="toc 6"/>
    <w:basedOn w:val="1"/>
    <w:next w:val="1"/>
    <w:semiHidden/>
    <w:qFormat/>
    <w:uiPriority w:val="0"/>
    <w:pPr>
      <w:ind w:left="1050"/>
      <w:jc w:val="left"/>
    </w:pPr>
  </w:style>
  <w:style w:type="paragraph" w:styleId="39">
    <w:name w:val="Body Text Indent 3"/>
    <w:basedOn w:val="1"/>
    <w:link w:val="76"/>
    <w:qFormat/>
    <w:uiPriority w:val="0"/>
    <w:pPr>
      <w:spacing w:before="50" w:after="50" w:line="360" w:lineRule="auto"/>
      <w:ind w:left="1260" w:leftChars="600" w:firstLine="480" w:firstLineChars="200"/>
    </w:pPr>
    <w:rPr>
      <w:rFonts w:ascii="宋体" w:hAnsi="宋体" w:cs="宋体"/>
      <w:sz w:val="24"/>
      <w:szCs w:val="24"/>
    </w:rPr>
  </w:style>
  <w:style w:type="paragraph" w:styleId="40">
    <w:name w:val="index 7"/>
    <w:basedOn w:val="1"/>
    <w:next w:val="1"/>
    <w:semiHidden/>
    <w:qFormat/>
    <w:uiPriority w:val="0"/>
    <w:pPr>
      <w:ind w:left="1200" w:leftChars="1200"/>
    </w:pPr>
    <w:rPr>
      <w:rFonts w:ascii="Arial" w:hAnsi="Arial"/>
      <w:sz w:val="18"/>
      <w:szCs w:val="24"/>
    </w:rPr>
  </w:style>
  <w:style w:type="paragraph" w:styleId="41">
    <w:name w:val="index 9"/>
    <w:basedOn w:val="1"/>
    <w:next w:val="1"/>
    <w:semiHidden/>
    <w:qFormat/>
    <w:uiPriority w:val="0"/>
    <w:pPr>
      <w:ind w:left="1600" w:leftChars="1600"/>
    </w:pPr>
    <w:rPr>
      <w:rFonts w:ascii="Arial" w:hAnsi="Arial"/>
      <w:sz w:val="18"/>
      <w:szCs w:val="24"/>
    </w:rPr>
  </w:style>
  <w:style w:type="paragraph" w:styleId="42">
    <w:name w:val="toc 2"/>
    <w:basedOn w:val="1"/>
    <w:next w:val="1"/>
    <w:qFormat/>
    <w:uiPriority w:val="39"/>
    <w:pPr>
      <w:ind w:left="210"/>
      <w:jc w:val="left"/>
    </w:pPr>
    <w:rPr>
      <w:smallCaps/>
    </w:rPr>
  </w:style>
  <w:style w:type="paragraph" w:styleId="43">
    <w:name w:val="toc 9"/>
    <w:basedOn w:val="1"/>
    <w:next w:val="1"/>
    <w:semiHidden/>
    <w:qFormat/>
    <w:uiPriority w:val="0"/>
    <w:pPr>
      <w:ind w:left="1680"/>
      <w:jc w:val="left"/>
    </w:pPr>
  </w:style>
  <w:style w:type="paragraph" w:styleId="44">
    <w:name w:val="Body Text 2"/>
    <w:basedOn w:val="1"/>
    <w:link w:val="112"/>
    <w:qFormat/>
    <w:uiPriority w:val="0"/>
    <w:pPr>
      <w:autoSpaceDE w:val="0"/>
      <w:autoSpaceDN w:val="0"/>
      <w:adjustRightInd w:val="0"/>
      <w:spacing w:before="120" w:after="120" w:line="220" w:lineRule="exact"/>
    </w:pPr>
    <w:rPr>
      <w:rFonts w:ascii="Arial" w:hAnsi="Arial"/>
      <w:b/>
      <w:bCs/>
      <w:color w:val="000000"/>
      <w:sz w:val="18"/>
      <w:szCs w:val="18"/>
      <w:lang w:val="zh-CN"/>
    </w:rPr>
  </w:style>
  <w:style w:type="paragraph" w:styleId="45">
    <w:name w:val="HTML Preformatted"/>
    <w:basedOn w:val="1"/>
    <w:link w:val="1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7">
    <w:name w:val="index 2"/>
    <w:basedOn w:val="1"/>
    <w:next w:val="1"/>
    <w:semiHidden/>
    <w:qFormat/>
    <w:uiPriority w:val="0"/>
    <w:pPr>
      <w:ind w:left="200" w:leftChars="200"/>
    </w:pPr>
    <w:rPr>
      <w:rFonts w:ascii="Arial" w:hAnsi="Arial"/>
      <w:sz w:val="18"/>
      <w:szCs w:val="24"/>
    </w:rPr>
  </w:style>
  <w:style w:type="paragraph" w:styleId="48">
    <w:name w:val="Title"/>
    <w:basedOn w:val="8"/>
    <w:next w:val="8"/>
    <w:link w:val="105"/>
    <w:qFormat/>
    <w:locked/>
    <w:uiPriority w:val="0"/>
    <w:pPr>
      <w:tabs>
        <w:tab w:val="left" w:pos="-540"/>
        <w:tab w:val="left" w:pos="1182"/>
      </w:tabs>
      <w:snapToGrid w:val="0"/>
      <w:spacing w:before="240" w:after="60" w:line="360" w:lineRule="auto"/>
      <w:ind w:left="527" w:hanging="425"/>
      <w:jc w:val="center"/>
      <w:outlineLvl w:val="0"/>
    </w:pPr>
    <w:rPr>
      <w:b/>
      <w:sz w:val="36"/>
      <w:szCs w:val="20"/>
    </w:rPr>
  </w:style>
  <w:style w:type="paragraph" w:styleId="49">
    <w:name w:val="annotation subject"/>
    <w:basedOn w:val="17"/>
    <w:next w:val="17"/>
    <w:link w:val="80"/>
    <w:qFormat/>
    <w:uiPriority w:val="0"/>
    <w:rPr>
      <w:b/>
      <w:bCs/>
    </w:rPr>
  </w:style>
  <w:style w:type="paragraph" w:styleId="50">
    <w:name w:val="Body Text First Indent"/>
    <w:basedOn w:val="8"/>
    <w:link w:val="74"/>
    <w:qFormat/>
    <w:uiPriority w:val="0"/>
    <w:pPr>
      <w:spacing w:line="300" w:lineRule="auto"/>
      <w:ind w:firstLine="425" w:firstLineChars="150"/>
    </w:p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styleId="59">
    <w:name w:val="footnote reference"/>
    <w:qFormat/>
    <w:uiPriority w:val="0"/>
    <w:rPr>
      <w:vertAlign w:val="superscript"/>
    </w:rPr>
  </w:style>
  <w:style w:type="character" w:customStyle="1" w:styleId="60">
    <w:name w:val="标题 1 字符"/>
    <w:link w:val="2"/>
    <w:qFormat/>
    <w:uiPriority w:val="0"/>
    <w:rPr>
      <w:b/>
      <w:bCs/>
      <w:kern w:val="44"/>
      <w:sz w:val="44"/>
      <w:szCs w:val="44"/>
    </w:rPr>
  </w:style>
  <w:style w:type="character" w:customStyle="1" w:styleId="61">
    <w:name w:val="标题 2 字符"/>
    <w:link w:val="3"/>
    <w:qFormat/>
    <w:uiPriority w:val="0"/>
    <w:rPr>
      <w:rFonts w:ascii="Cambria" w:hAnsi="Cambria" w:eastAsia="宋体" w:cs="Times New Roman"/>
      <w:b/>
      <w:bCs/>
      <w:sz w:val="32"/>
      <w:szCs w:val="32"/>
    </w:rPr>
  </w:style>
  <w:style w:type="character" w:customStyle="1" w:styleId="62">
    <w:name w:val="标题 3 字符"/>
    <w:link w:val="5"/>
    <w:qFormat/>
    <w:uiPriority w:val="0"/>
    <w:rPr>
      <w:b/>
      <w:bCs/>
      <w:sz w:val="32"/>
      <w:szCs w:val="32"/>
    </w:rPr>
  </w:style>
  <w:style w:type="character" w:customStyle="1" w:styleId="63">
    <w:name w:val="标题 4 字符"/>
    <w:link w:val="6"/>
    <w:qFormat/>
    <w:locked/>
    <w:uiPriority w:val="0"/>
    <w:rPr>
      <w:rFonts w:ascii="Arial" w:hAnsi="Arial" w:eastAsia="黑体" w:cs="Arial"/>
      <w:b/>
      <w:bCs/>
      <w:kern w:val="2"/>
      <w:sz w:val="24"/>
      <w:szCs w:val="24"/>
    </w:rPr>
  </w:style>
  <w:style w:type="character" w:customStyle="1" w:styleId="64">
    <w:name w:val="标题 5 字符"/>
    <w:link w:val="7"/>
    <w:qFormat/>
    <w:uiPriority w:val="0"/>
    <w:rPr>
      <w:b/>
      <w:bCs/>
      <w:sz w:val="28"/>
      <w:szCs w:val="28"/>
    </w:rPr>
  </w:style>
  <w:style w:type="character" w:customStyle="1" w:styleId="65">
    <w:name w:val="标题 6 字符"/>
    <w:link w:val="9"/>
    <w:qFormat/>
    <w:uiPriority w:val="0"/>
    <w:rPr>
      <w:rFonts w:ascii="Cambria" w:hAnsi="Cambria" w:eastAsia="宋体" w:cs="Times New Roman"/>
      <w:b/>
      <w:bCs/>
      <w:sz w:val="24"/>
      <w:szCs w:val="24"/>
    </w:rPr>
  </w:style>
  <w:style w:type="character" w:customStyle="1" w:styleId="66">
    <w:name w:val="正文文本 字符"/>
    <w:link w:val="8"/>
    <w:qFormat/>
    <w:uiPriority w:val="0"/>
    <w:rPr>
      <w:szCs w:val="21"/>
    </w:rPr>
  </w:style>
  <w:style w:type="paragraph" w:customStyle="1" w:styleId="67">
    <w:name w:val="ccidsiTemplate"/>
    <w:basedOn w:val="1"/>
    <w:qFormat/>
    <w:uiPriority w:val="0"/>
    <w:pPr>
      <w:spacing w:line="360" w:lineRule="auto"/>
    </w:pPr>
    <w:rPr>
      <w:sz w:val="24"/>
      <w:szCs w:val="24"/>
    </w:rPr>
  </w:style>
  <w:style w:type="character" w:customStyle="1" w:styleId="68">
    <w:name w:val="big1"/>
    <w:qFormat/>
    <w:uiPriority w:val="0"/>
    <w:rPr>
      <w:spacing w:val="360"/>
      <w:sz w:val="22"/>
      <w:szCs w:val="22"/>
    </w:rPr>
  </w:style>
  <w:style w:type="character" w:customStyle="1" w:styleId="69">
    <w:name w:val="正文文本缩进 2 字符"/>
    <w:link w:val="29"/>
    <w:qFormat/>
    <w:uiPriority w:val="0"/>
    <w:rPr>
      <w:szCs w:val="21"/>
    </w:rPr>
  </w:style>
  <w:style w:type="character" w:customStyle="1" w:styleId="70">
    <w:name w:val="页眉 字符"/>
    <w:link w:val="32"/>
    <w:qFormat/>
    <w:uiPriority w:val="99"/>
    <w:rPr>
      <w:sz w:val="18"/>
      <w:szCs w:val="18"/>
    </w:rPr>
  </w:style>
  <w:style w:type="character" w:customStyle="1" w:styleId="71">
    <w:name w:val="页脚 字符"/>
    <w:link w:val="31"/>
    <w:qFormat/>
    <w:locked/>
    <w:uiPriority w:val="99"/>
    <w:rPr>
      <w:kern w:val="2"/>
      <w:sz w:val="18"/>
      <w:szCs w:val="18"/>
    </w:rPr>
  </w:style>
  <w:style w:type="character" w:customStyle="1" w:styleId="72">
    <w:name w:val="纯文本 字符"/>
    <w:link w:val="25"/>
    <w:qFormat/>
    <w:locked/>
    <w:uiPriority w:val="99"/>
    <w:rPr>
      <w:rFonts w:ascii="宋体" w:hAnsi="Courier New" w:cs="宋体"/>
      <w:kern w:val="2"/>
      <w:sz w:val="16"/>
      <w:szCs w:val="16"/>
    </w:rPr>
  </w:style>
  <w:style w:type="character" w:customStyle="1" w:styleId="73">
    <w:name w:val="脚注文本 字符"/>
    <w:link w:val="37"/>
    <w:semiHidden/>
    <w:qFormat/>
    <w:locked/>
    <w:uiPriority w:val="0"/>
    <w:rPr>
      <w:kern w:val="2"/>
      <w:sz w:val="18"/>
      <w:szCs w:val="18"/>
    </w:rPr>
  </w:style>
  <w:style w:type="character" w:customStyle="1" w:styleId="74">
    <w:name w:val="正文首行缩进 字符"/>
    <w:basedOn w:val="66"/>
    <w:link w:val="50"/>
    <w:qFormat/>
    <w:uiPriority w:val="0"/>
    <w:rPr>
      <w:szCs w:val="21"/>
    </w:rPr>
  </w:style>
  <w:style w:type="character" w:customStyle="1" w:styleId="75">
    <w:name w:val="正文文本缩进 字符"/>
    <w:link w:val="20"/>
    <w:qFormat/>
    <w:uiPriority w:val="0"/>
    <w:rPr>
      <w:szCs w:val="21"/>
    </w:rPr>
  </w:style>
  <w:style w:type="character" w:customStyle="1" w:styleId="76">
    <w:name w:val="正文文本缩进 3 字符"/>
    <w:link w:val="39"/>
    <w:qFormat/>
    <w:uiPriority w:val="0"/>
    <w:rPr>
      <w:sz w:val="16"/>
      <w:szCs w:val="16"/>
    </w:rPr>
  </w:style>
  <w:style w:type="character" w:customStyle="1" w:styleId="77">
    <w:name w:val="批注框文本 字符"/>
    <w:link w:val="30"/>
    <w:qFormat/>
    <w:uiPriority w:val="0"/>
    <w:rPr>
      <w:sz w:val="0"/>
      <w:szCs w:val="0"/>
    </w:rPr>
  </w:style>
  <w:style w:type="character" w:customStyle="1" w:styleId="78">
    <w:name w:val="ten51"/>
    <w:qFormat/>
    <w:uiPriority w:val="0"/>
    <w:rPr>
      <w:sz w:val="21"/>
      <w:szCs w:val="21"/>
    </w:rPr>
  </w:style>
  <w:style w:type="character" w:customStyle="1" w:styleId="79">
    <w:name w:val="批注文字 字符"/>
    <w:link w:val="17"/>
    <w:qFormat/>
    <w:locked/>
    <w:uiPriority w:val="0"/>
    <w:rPr>
      <w:kern w:val="2"/>
      <w:sz w:val="24"/>
      <w:szCs w:val="24"/>
    </w:rPr>
  </w:style>
  <w:style w:type="character" w:customStyle="1" w:styleId="80">
    <w:name w:val="批注主题 字符"/>
    <w:link w:val="49"/>
    <w:qFormat/>
    <w:uiPriority w:val="0"/>
    <w:rPr>
      <w:b/>
      <w:bCs/>
      <w:kern w:val="2"/>
      <w:sz w:val="24"/>
      <w:szCs w:val="21"/>
    </w:rPr>
  </w:style>
  <w:style w:type="character" w:customStyle="1" w:styleId="81">
    <w:name w:val="日期 字符"/>
    <w:link w:val="28"/>
    <w:qFormat/>
    <w:uiPriority w:val="0"/>
    <w:rPr>
      <w:szCs w:val="21"/>
    </w:rPr>
  </w:style>
  <w:style w:type="paragraph" w:customStyle="1" w:styleId="82">
    <w:name w:val="Char Char Char Char Char Char Char Char Char1 Char Char Char Char Char Char Char"/>
    <w:basedOn w:val="1"/>
    <w:qFormat/>
    <w:uiPriority w:val="0"/>
    <w:pPr>
      <w:tabs>
        <w:tab w:val="left" w:pos="840"/>
      </w:tabs>
      <w:ind w:left="840" w:hanging="360"/>
    </w:pPr>
    <w:rPr>
      <w:sz w:val="24"/>
      <w:szCs w:val="24"/>
    </w:rPr>
  </w:style>
  <w:style w:type="paragraph" w:customStyle="1" w:styleId="83">
    <w:name w:val="Char Char Char Char Char Char Char"/>
    <w:basedOn w:val="1"/>
    <w:qFormat/>
    <w:uiPriority w:val="0"/>
    <w:pPr>
      <w:tabs>
        <w:tab w:val="left" w:pos="840"/>
      </w:tabs>
      <w:ind w:left="840" w:hanging="360"/>
    </w:pPr>
    <w:rPr>
      <w:sz w:val="24"/>
      <w:szCs w:val="24"/>
    </w:rPr>
  </w:style>
  <w:style w:type="paragraph" w:customStyle="1" w:styleId="84">
    <w:name w:val="Char"/>
    <w:basedOn w:val="1"/>
    <w:qFormat/>
    <w:uiPriority w:val="0"/>
  </w:style>
  <w:style w:type="paragraph" w:customStyle="1" w:styleId="85">
    <w:name w:val="默认段落字体 Para Char"/>
    <w:basedOn w:val="1"/>
    <w:qFormat/>
    <w:uiPriority w:val="0"/>
    <w:pPr>
      <w:tabs>
        <w:tab w:val="left" w:pos="840"/>
      </w:tabs>
      <w:ind w:left="840" w:hanging="420"/>
    </w:pPr>
    <w:rPr>
      <w:sz w:val="24"/>
      <w:szCs w:val="24"/>
    </w:rPr>
  </w:style>
  <w:style w:type="paragraph" w:customStyle="1" w:styleId="86">
    <w:name w:val="Char Char Char Char1 Char Char Char"/>
    <w:basedOn w:val="1"/>
    <w:qFormat/>
    <w:uiPriority w:val="0"/>
  </w:style>
  <w:style w:type="paragraph" w:customStyle="1" w:styleId="87">
    <w:name w:val="Char Char Char Char Char"/>
    <w:basedOn w:val="1"/>
    <w:qFormat/>
    <w:uiPriority w:val="0"/>
    <w:pPr>
      <w:tabs>
        <w:tab w:val="left" w:pos="840"/>
      </w:tabs>
      <w:ind w:left="840" w:hanging="360"/>
    </w:pPr>
    <w:rPr>
      <w:sz w:val="24"/>
      <w:szCs w:val="24"/>
    </w:rPr>
  </w:style>
  <w:style w:type="paragraph" w:customStyle="1" w:styleId="88">
    <w:name w:val="Char Char"/>
    <w:basedOn w:val="1"/>
    <w:qFormat/>
    <w:uiPriority w:val="0"/>
    <w:pPr>
      <w:tabs>
        <w:tab w:val="left" w:pos="840"/>
      </w:tabs>
      <w:ind w:left="840" w:hanging="360"/>
    </w:pPr>
    <w:rPr>
      <w:sz w:val="24"/>
      <w:szCs w:val="24"/>
    </w:rPr>
  </w:style>
  <w:style w:type="paragraph" w:customStyle="1" w:styleId="89">
    <w:name w:val="默认段落字体 Para Char Char Char Char Char Char"/>
    <w:basedOn w:val="1"/>
    <w:qFormat/>
    <w:uiPriority w:val="0"/>
    <w:pPr>
      <w:tabs>
        <w:tab w:val="left" w:pos="840"/>
      </w:tabs>
      <w:ind w:left="840" w:hanging="360"/>
    </w:pPr>
    <w:rPr>
      <w:sz w:val="24"/>
      <w:szCs w:val="24"/>
    </w:rPr>
  </w:style>
  <w:style w:type="paragraph" w:customStyle="1" w:styleId="90">
    <w:name w:val="Char Char Char Char Char Char Char Char Char1 Char Char Char Char"/>
    <w:basedOn w:val="1"/>
    <w:qFormat/>
    <w:uiPriority w:val="0"/>
    <w:pPr>
      <w:tabs>
        <w:tab w:val="left" w:pos="840"/>
      </w:tabs>
      <w:ind w:left="840" w:hanging="360"/>
    </w:pPr>
    <w:rPr>
      <w:sz w:val="24"/>
      <w:szCs w:val="24"/>
    </w:rPr>
  </w:style>
  <w:style w:type="paragraph" w:customStyle="1" w:styleId="91">
    <w:name w:val="1 Char"/>
    <w:basedOn w:val="1"/>
    <w:semiHidden/>
    <w:qFormat/>
    <w:uiPriority w:val="0"/>
    <w:pPr>
      <w:tabs>
        <w:tab w:val="left" w:pos="360"/>
      </w:tabs>
    </w:pPr>
    <w:rPr>
      <w:sz w:val="24"/>
      <w:szCs w:val="24"/>
    </w:rPr>
  </w:style>
  <w:style w:type="paragraph" w:customStyle="1" w:styleId="92">
    <w:name w:val="Char Char Char"/>
    <w:basedOn w:val="1"/>
    <w:qFormat/>
    <w:uiPriority w:val="0"/>
  </w:style>
  <w:style w:type="paragraph" w:customStyle="1" w:styleId="93">
    <w:name w:val="Char1 Char Char Char Char Char Char"/>
    <w:basedOn w:val="1"/>
    <w:qFormat/>
    <w:uiPriority w:val="0"/>
  </w:style>
  <w:style w:type="paragraph" w:customStyle="1" w:styleId="94">
    <w:name w:val="c_"/>
    <w:qFormat/>
    <w:uiPriority w:val="0"/>
    <w:pPr>
      <w:widowControl w:val="0"/>
      <w:autoSpaceDE w:val="0"/>
      <w:autoSpaceDN w:val="0"/>
      <w:adjustRightInd w:val="0"/>
      <w:jc w:val="both"/>
    </w:pPr>
    <w:rPr>
      <w:rFonts w:ascii="五" w:hAnsi="Times New Roman" w:eastAsia="五" w:cs="五"/>
      <w:sz w:val="24"/>
      <w:szCs w:val="24"/>
      <w:lang w:val="en-US" w:eastAsia="zh-CN" w:bidi="ar-SA"/>
    </w:rPr>
  </w:style>
  <w:style w:type="paragraph" w:customStyle="1" w:styleId="95">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96">
    <w:name w:val="apple-style-span"/>
    <w:basedOn w:val="53"/>
    <w:qFormat/>
    <w:uiPriority w:val="0"/>
  </w:style>
  <w:style w:type="character" w:customStyle="1" w:styleId="97">
    <w:name w:val="标题 7 字符"/>
    <w:link w:val="10"/>
    <w:qFormat/>
    <w:uiPriority w:val="0"/>
    <w:rPr>
      <w:b/>
      <w:kern w:val="2"/>
      <w:sz w:val="24"/>
    </w:rPr>
  </w:style>
  <w:style w:type="character" w:customStyle="1" w:styleId="98">
    <w:name w:val="标题 8 字符"/>
    <w:link w:val="11"/>
    <w:qFormat/>
    <w:uiPriority w:val="0"/>
    <w:rPr>
      <w:rFonts w:ascii="Arial" w:hAnsi="Arial" w:eastAsia="黑体"/>
      <w:kern w:val="2"/>
      <w:sz w:val="24"/>
    </w:rPr>
  </w:style>
  <w:style w:type="character" w:customStyle="1" w:styleId="99">
    <w:name w:val="标题 9 字符"/>
    <w:link w:val="12"/>
    <w:qFormat/>
    <w:uiPriority w:val="0"/>
    <w:rPr>
      <w:rFonts w:ascii="Arial" w:hAnsi="Arial" w:eastAsia="黑体"/>
      <w:kern w:val="2"/>
      <w:sz w:val="21"/>
    </w:rPr>
  </w:style>
  <w:style w:type="character" w:customStyle="1" w:styleId="100">
    <w:name w:val="read"/>
    <w:basedOn w:val="53"/>
    <w:qFormat/>
    <w:uiPriority w:val="0"/>
  </w:style>
  <w:style w:type="paragraph" w:customStyle="1" w:styleId="101">
    <w:name w:val="编号正文2"/>
    <w:basedOn w:val="1"/>
    <w:qFormat/>
    <w:uiPriority w:val="0"/>
    <w:pPr>
      <w:tabs>
        <w:tab w:val="left" w:pos="648"/>
      </w:tabs>
      <w:autoSpaceDE w:val="0"/>
      <w:autoSpaceDN w:val="0"/>
      <w:adjustRightInd w:val="0"/>
      <w:spacing w:after="120" w:line="300" w:lineRule="auto"/>
      <w:ind w:firstLine="288"/>
      <w:textAlignment w:val="baseline"/>
    </w:pPr>
    <w:rPr>
      <w:rFonts w:ascii="宋体"/>
      <w:kern w:val="0"/>
      <w:szCs w:val="20"/>
    </w:rPr>
  </w:style>
  <w:style w:type="paragraph" w:customStyle="1" w:styleId="102">
    <w:name w:val="xl22"/>
    <w:basedOn w:val="1"/>
    <w:qFormat/>
    <w:uiPriority w:val="0"/>
    <w:pPr>
      <w:widowControl/>
      <w:spacing w:before="100" w:beforeAutospacing="1" w:after="100" w:afterAutospacing="1"/>
      <w:textAlignment w:val="top"/>
    </w:pPr>
    <w:rPr>
      <w:rFonts w:hint="eastAsia" w:ascii="宋体" w:hAnsi="宋体"/>
      <w:kern w:val="0"/>
      <w:sz w:val="18"/>
      <w:szCs w:val="20"/>
    </w:rPr>
  </w:style>
  <w:style w:type="paragraph" w:customStyle="1" w:styleId="103">
    <w:name w:val="项目"/>
    <w:basedOn w:val="6"/>
    <w:qFormat/>
    <w:uiPriority w:val="0"/>
    <w:pPr>
      <w:snapToGrid w:val="0"/>
      <w:spacing w:before="120" w:after="120"/>
    </w:pPr>
    <w:rPr>
      <w:rFonts w:ascii="Times New Roman" w:hAnsi="Times New Roman" w:eastAsia="楷体_GB2312" w:cs="Times New Roman"/>
      <w:b w:val="0"/>
      <w:bCs w:val="0"/>
      <w:szCs w:val="20"/>
    </w:rPr>
  </w:style>
  <w:style w:type="paragraph" w:customStyle="1" w:styleId="104">
    <w:name w:val="表格正文"/>
    <w:basedOn w:val="4"/>
    <w:qFormat/>
    <w:uiPriority w:val="0"/>
    <w:pPr>
      <w:spacing w:beforeLines="50" w:line="240" w:lineRule="auto"/>
      <w:ind w:firstLine="0"/>
      <w:jc w:val="center"/>
    </w:pPr>
    <w:rPr>
      <w:szCs w:val="20"/>
    </w:rPr>
  </w:style>
  <w:style w:type="character" w:customStyle="1" w:styleId="105">
    <w:name w:val="标题 字符"/>
    <w:link w:val="48"/>
    <w:qFormat/>
    <w:uiPriority w:val="0"/>
    <w:rPr>
      <w:b/>
      <w:kern w:val="2"/>
      <w:sz w:val="36"/>
    </w:rPr>
  </w:style>
  <w:style w:type="paragraph" w:customStyle="1" w:styleId="106">
    <w:name w:val="报告署名"/>
    <w:basedOn w:val="1"/>
    <w:next w:val="1"/>
    <w:qFormat/>
    <w:uiPriority w:val="0"/>
    <w:pPr>
      <w:spacing w:line="360" w:lineRule="auto"/>
      <w:jc w:val="center"/>
    </w:pPr>
    <w:rPr>
      <w:rFonts w:ascii="宋体" w:hAnsi="宋体"/>
      <w:sz w:val="24"/>
      <w:szCs w:val="20"/>
    </w:rPr>
  </w:style>
  <w:style w:type="paragraph" w:customStyle="1" w:styleId="107">
    <w:name w:val="列表2"/>
    <w:basedOn w:val="1"/>
    <w:next w:val="48"/>
    <w:qFormat/>
    <w:uiPriority w:val="0"/>
    <w:pPr>
      <w:tabs>
        <w:tab w:val="left" w:pos="1125"/>
      </w:tabs>
      <w:spacing w:line="360" w:lineRule="auto"/>
      <w:ind w:left="1125" w:hanging="1125"/>
    </w:pPr>
    <w:rPr>
      <w:rFonts w:ascii="宋体"/>
      <w:szCs w:val="20"/>
    </w:rPr>
  </w:style>
  <w:style w:type="paragraph" w:styleId="108">
    <w:name w:val="List Paragraph"/>
    <w:basedOn w:val="1"/>
    <w:qFormat/>
    <w:uiPriority w:val="34"/>
    <w:pPr>
      <w:ind w:firstLine="420" w:firstLineChars="200"/>
    </w:pPr>
    <w:rPr>
      <w:szCs w:val="20"/>
    </w:rPr>
  </w:style>
  <w:style w:type="character" w:customStyle="1" w:styleId="109">
    <w:name w:val="unnamed11"/>
    <w:qFormat/>
    <w:uiPriority w:val="0"/>
    <w:rPr>
      <w:rFonts w:hint="eastAsia" w:ascii="宋体" w:hAnsi="宋体" w:eastAsia="宋体"/>
      <w:sz w:val="18"/>
      <w:szCs w:val="18"/>
    </w:rPr>
  </w:style>
  <w:style w:type="paragraph" w:customStyle="1" w:styleId="110">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11">
    <w:name w:val="Char1"/>
    <w:basedOn w:val="1"/>
    <w:qFormat/>
    <w:uiPriority w:val="0"/>
    <w:rPr>
      <w:szCs w:val="20"/>
    </w:rPr>
  </w:style>
  <w:style w:type="character" w:customStyle="1" w:styleId="112">
    <w:name w:val="正文文本 2 字符"/>
    <w:link w:val="44"/>
    <w:qFormat/>
    <w:uiPriority w:val="0"/>
    <w:rPr>
      <w:rFonts w:ascii="Arial" w:hAnsi="Arial"/>
      <w:b/>
      <w:bCs/>
      <w:color w:val="000000"/>
      <w:kern w:val="2"/>
      <w:sz w:val="18"/>
      <w:szCs w:val="18"/>
      <w:lang w:val="zh-CN"/>
    </w:rPr>
  </w:style>
  <w:style w:type="character" w:customStyle="1" w:styleId="113">
    <w:name w:val="正文文本 3 字符"/>
    <w:link w:val="19"/>
    <w:qFormat/>
    <w:uiPriority w:val="0"/>
    <w:rPr>
      <w:rFonts w:ascii="仿宋_GB2312" w:hAnsi="Arial" w:eastAsia="仿宋_GB2312"/>
      <w:kern w:val="2"/>
      <w:sz w:val="21"/>
      <w:szCs w:val="24"/>
    </w:rPr>
  </w:style>
  <w:style w:type="character" w:customStyle="1" w:styleId="114">
    <w:name w:val="文档结构图 字符"/>
    <w:link w:val="16"/>
    <w:semiHidden/>
    <w:qFormat/>
    <w:uiPriority w:val="0"/>
    <w:rPr>
      <w:rFonts w:ascii="Arial" w:hAnsi="Arial"/>
      <w:kern w:val="2"/>
      <w:sz w:val="18"/>
      <w:szCs w:val="24"/>
      <w:shd w:val="clear" w:color="auto" w:fill="000080"/>
    </w:rPr>
  </w:style>
  <w:style w:type="paragraph" w:customStyle="1" w:styleId="115">
    <w:name w:val="Q? Bulleted text"/>
    <w:basedOn w:val="1"/>
    <w:qFormat/>
    <w:uiPriority w:val="0"/>
    <w:pPr>
      <w:widowControl/>
      <w:numPr>
        <w:ilvl w:val="0"/>
        <w:numId w:val="1"/>
      </w:numPr>
      <w:spacing w:after="120" w:line="240" w:lineRule="exact"/>
      <w:jc w:val="left"/>
    </w:pPr>
    <w:rPr>
      <w:rFonts w:ascii="Arial" w:hAnsi="Arial"/>
      <w:color w:val="000000"/>
      <w:spacing w:val="-6"/>
      <w:kern w:val="0"/>
      <w:sz w:val="22"/>
      <w:szCs w:val="20"/>
      <w:lang w:val="en-GB" w:eastAsia="en-GB"/>
    </w:rPr>
  </w:style>
  <w:style w:type="paragraph" w:customStyle="1" w:styleId="116">
    <w:name w:val="Q? Table text"/>
    <w:basedOn w:val="1"/>
    <w:qFormat/>
    <w:uiPriority w:val="0"/>
    <w:pPr>
      <w:widowControl/>
      <w:shd w:val="clear" w:color="0000FF" w:fill="auto"/>
      <w:spacing w:before="60" w:line="200" w:lineRule="exact"/>
      <w:jc w:val="left"/>
    </w:pPr>
    <w:rPr>
      <w:rFonts w:ascii="Arial" w:hAnsi="Arial"/>
      <w:color w:val="000000"/>
      <w:spacing w:val="-7"/>
      <w:kern w:val="0"/>
      <w:sz w:val="18"/>
      <w:szCs w:val="20"/>
      <w:lang w:val="en-GB" w:eastAsia="en-GB"/>
    </w:rPr>
  </w:style>
  <w:style w:type="character" w:customStyle="1" w:styleId="117">
    <w:name w:val="Q? Bulleted text Char"/>
    <w:qFormat/>
    <w:uiPriority w:val="0"/>
    <w:rPr>
      <w:rFonts w:ascii="Arial" w:hAnsi="Arial" w:eastAsia="宋体"/>
      <w:color w:val="000000"/>
      <w:spacing w:val="-6"/>
      <w:sz w:val="22"/>
      <w:lang w:val="en-GB" w:eastAsia="en-GB" w:bidi="ar-SA"/>
    </w:rPr>
  </w:style>
  <w:style w:type="paragraph" w:customStyle="1" w:styleId="118">
    <w:name w:val="Q? Paragraph heading burgundy"/>
    <w:basedOn w:val="1"/>
    <w:qFormat/>
    <w:uiPriority w:val="0"/>
    <w:pPr>
      <w:widowControl/>
      <w:spacing w:line="240" w:lineRule="exact"/>
      <w:jc w:val="left"/>
    </w:pPr>
    <w:rPr>
      <w:rFonts w:ascii="Arial" w:hAnsi="Arial"/>
      <w:b/>
      <w:color w:val="800000"/>
      <w:spacing w:val="-8"/>
      <w:kern w:val="0"/>
      <w:sz w:val="22"/>
      <w:szCs w:val="20"/>
      <w:lang w:val="en-GB" w:eastAsia="en-GB"/>
    </w:rPr>
  </w:style>
  <w:style w:type="character" w:customStyle="1" w:styleId="119">
    <w:name w:val="Q? Paragraph heading burgundy Char"/>
    <w:qFormat/>
    <w:uiPriority w:val="0"/>
    <w:rPr>
      <w:rFonts w:ascii="Arial" w:hAnsi="Arial" w:eastAsia="宋体"/>
      <w:b/>
      <w:color w:val="800000"/>
      <w:spacing w:val="-8"/>
      <w:sz w:val="22"/>
      <w:lang w:val="en-GB" w:eastAsia="en-GB" w:bidi="ar-SA"/>
    </w:rPr>
  </w:style>
  <w:style w:type="paragraph" w:customStyle="1" w:styleId="120">
    <w:name w:val="Chi Section Heading 5"/>
    <w:basedOn w:val="1"/>
    <w:qFormat/>
    <w:uiPriority w:val="0"/>
    <w:pPr>
      <w:widowControl/>
      <w:numPr>
        <w:ilvl w:val="4"/>
        <w:numId w:val="2"/>
      </w:numPr>
      <w:adjustRightInd w:val="0"/>
      <w:snapToGrid w:val="0"/>
      <w:spacing w:line="360" w:lineRule="auto"/>
      <w:ind w:left="864"/>
      <w:jc w:val="left"/>
      <w:outlineLvl w:val="4"/>
    </w:pPr>
    <w:rPr>
      <w:rFonts w:ascii="Arial" w:hAnsi="Arial"/>
      <w:bCs/>
      <w:snapToGrid w:val="0"/>
      <w:kern w:val="0"/>
      <w:sz w:val="24"/>
      <w:szCs w:val="24"/>
      <w:lang w:val="en-GB" w:eastAsia="en-US"/>
    </w:rPr>
  </w:style>
  <w:style w:type="paragraph" w:customStyle="1" w:styleId="121">
    <w:name w:val="Chi Section Heading 6"/>
    <w:basedOn w:val="1"/>
    <w:qFormat/>
    <w:uiPriority w:val="0"/>
    <w:pPr>
      <w:numPr>
        <w:ilvl w:val="5"/>
        <w:numId w:val="2"/>
      </w:numPr>
      <w:adjustRightInd w:val="0"/>
      <w:snapToGrid w:val="0"/>
      <w:spacing w:line="360" w:lineRule="auto"/>
      <w:jc w:val="left"/>
      <w:outlineLvl w:val="5"/>
    </w:pPr>
    <w:rPr>
      <w:rFonts w:ascii="Arial" w:hAnsi="Arial"/>
      <w:bCs/>
      <w:kern w:val="0"/>
      <w:sz w:val="24"/>
      <w:szCs w:val="20"/>
      <w:lang w:val="en-GB" w:eastAsia="en-US"/>
    </w:rPr>
  </w:style>
  <w:style w:type="paragraph" w:customStyle="1" w:styleId="122">
    <w:name w:val="table"/>
    <w:basedOn w:val="1"/>
    <w:qFormat/>
    <w:uiPriority w:val="0"/>
    <w:pPr>
      <w:keepNext/>
      <w:widowControl/>
    </w:pPr>
    <w:rPr>
      <w:rFonts w:ascii="Arial" w:hAnsi="Arial" w:eastAsia="Times New Roman"/>
      <w:kern w:val="0"/>
      <w:sz w:val="22"/>
      <w:szCs w:val="24"/>
      <w:lang w:val="en-AU" w:eastAsia="en-US"/>
    </w:rPr>
  </w:style>
  <w:style w:type="character" w:customStyle="1" w:styleId="123">
    <w:name w:val="txtcontent11"/>
    <w:qFormat/>
    <w:uiPriority w:val="0"/>
    <w:rPr>
      <w:rFonts w:hint="default" w:ascii="ˎ̥" w:hAnsi="ˎ̥"/>
      <w:color w:val="000000"/>
      <w:sz w:val="21"/>
      <w:szCs w:val="21"/>
    </w:rPr>
  </w:style>
  <w:style w:type="paragraph" w:customStyle="1" w:styleId="124">
    <w:name w:val="正文（首行缩进两字）"/>
    <w:basedOn w:val="110"/>
    <w:next w:val="110"/>
    <w:qFormat/>
    <w:uiPriority w:val="0"/>
  </w:style>
  <w:style w:type="character" w:customStyle="1" w:styleId="125">
    <w:name w:val="HTML 预设格式 字符"/>
    <w:link w:val="45"/>
    <w:qFormat/>
    <w:uiPriority w:val="0"/>
    <w:rPr>
      <w:rFonts w:ascii="宋体" w:hAnsi="宋体" w:cs="宋体"/>
      <w:color w:val="000000"/>
      <w:sz w:val="21"/>
      <w:szCs w:val="21"/>
    </w:rPr>
  </w:style>
  <w:style w:type="paragraph" w:customStyle="1" w:styleId="126">
    <w:name w:val="R Insert Chart/picture"/>
    <w:basedOn w:val="1"/>
    <w:next w:val="1"/>
    <w:qFormat/>
    <w:uiPriority w:val="0"/>
    <w:pPr>
      <w:widowControl/>
      <w:ind w:left="-28"/>
    </w:pPr>
    <w:rPr>
      <w:rFonts w:ascii="LucidaSans" w:hAnsi="LucidaSans"/>
      <w:color w:val="FF0000"/>
      <w:spacing w:val="-8"/>
      <w:kern w:val="0"/>
      <w:sz w:val="56"/>
      <w:szCs w:val="20"/>
      <w:lang w:val="en-GB"/>
    </w:rPr>
  </w:style>
  <w:style w:type="paragraph" w:customStyle="1" w:styleId="127">
    <w:name w:val="Char1 Char Char Char Char Char Char Char Char Char Char Char Char1 Char Char Char Char Char Char Char Char Char"/>
    <w:basedOn w:val="1"/>
    <w:qFormat/>
    <w:uiPriority w:val="0"/>
    <w:rPr>
      <w:szCs w:val="24"/>
    </w:rPr>
  </w:style>
  <w:style w:type="table" w:customStyle="1" w:styleId="128">
    <w:name w:val="浅色底纹 - 强调文字颜色 11"/>
    <w:basedOn w:val="51"/>
    <w:qFormat/>
    <w:uiPriority w:val="60"/>
    <w:rPr>
      <w:rFonts w:ascii="Calibri" w:hAnsi="Calibri"/>
      <w:color w:val="365F91"/>
      <w:kern w:val="2"/>
      <w:sz w:val="21"/>
      <w:szCs w:val="22"/>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 w:type="table" w:customStyle="1" w:styleId="129">
    <w:name w:val="网格表 5 深色 - 着色 51"/>
    <w:basedOn w:val="51"/>
    <w:qFormat/>
    <w:uiPriority w:val="50"/>
    <w:rPr>
      <w:rFonts w:ascii="Calibri" w:hAnsi="Calibri"/>
      <w:kern w:val="2"/>
      <w:sz w:val="21"/>
      <w:szCs w:val="22"/>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AEEF3"/>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4BACC6"/>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4BACC6"/>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4BACC6"/>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4BACC6"/>
      </w:tcPr>
    </w:tblStylePr>
    <w:tblStylePr w:type="band1Vert">
      <w:tcPr>
        <w:shd w:val="clear" w:color="auto" w:fill="B6DDE8"/>
      </w:tcPr>
    </w:tblStylePr>
    <w:tblStylePr w:type="band1Horz">
      <w:tcPr>
        <w:shd w:val="clear" w:color="auto" w:fill="B6DDE8"/>
      </w:tcPr>
    </w:tblStylePr>
  </w:style>
  <w:style w:type="paragraph" w:customStyle="1" w:styleId="130">
    <w:name w:val="修订2"/>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B853E8-9BD0-4BD8-A550-F9408876AFC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12956</Words>
  <Characters>14014</Characters>
  <Lines>123</Lines>
  <Paragraphs>34</Paragraphs>
  <TotalTime>4</TotalTime>
  <ScaleCrop>false</ScaleCrop>
  <LinksUpToDate>false</LinksUpToDate>
  <CharactersWithSpaces>14023</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2021-11-08T01:58:00Z</dcterms:created>
  <dc:creator>zhangminjun</dc:creator>
  <cp:lastModifiedBy>zhangjing1</cp:lastModifiedBy>
  <cp:lastPrinted>2007-06-27T06:13:00Z</cp:lastPrinted>
  <dcterms:modified xsi:type="dcterms:W3CDTF">2026-10-27T02:20:52Z</dcterms:modified>
  <dc:title>募集方案</dc:title>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C0EFD330CC0642AC820ADF51B6414E4D_13</vt:lpwstr>
  </property>
</Properties>
</file>