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41A41">
      <w:pPr>
        <w:jc w:val="center"/>
        <w:rPr>
          <w:rFonts w:ascii="黑体" w:hAnsi="黑体" w:eastAsia="黑体"/>
          <w:b/>
          <w:sz w:val="36"/>
        </w:rPr>
      </w:pPr>
      <w:bookmarkStart w:id="0" w:name="_GoBack"/>
      <w:bookmarkEnd w:id="0"/>
      <w:r>
        <w:rPr>
          <w:rFonts w:hint="eastAsia" w:ascii="黑体" w:hAnsi="黑体" w:eastAsia="黑体"/>
          <w:b/>
          <w:sz w:val="36"/>
        </w:rPr>
        <w:t>交银施罗德佳盛债券型证券投资基金（A类份额）</w:t>
      </w:r>
    </w:p>
    <w:p w14:paraId="2CFBF7BC">
      <w:pPr>
        <w:jc w:val="center"/>
        <w:rPr>
          <w:rFonts w:ascii="黑体" w:hAnsi="黑体" w:eastAsia="黑体"/>
          <w:b/>
          <w:sz w:val="36"/>
        </w:rPr>
      </w:pPr>
      <w:r>
        <w:rPr>
          <w:rFonts w:hint="eastAsia" w:ascii="黑体" w:hAnsi="黑体" w:eastAsia="黑体"/>
          <w:b/>
          <w:sz w:val="36"/>
        </w:rPr>
        <w:t>基金产品资料概要</w:t>
      </w:r>
    </w:p>
    <w:p w14:paraId="2ACAE3A9">
      <w:pPr>
        <w:wordWrap w:val="0"/>
        <w:jc w:val="right"/>
        <w:rPr>
          <w:rFonts w:hint="default" w:ascii="仿宋_GB2312" w:hAnsi="宋体" w:eastAsia="仿宋_GB2312" w:cs="宋体"/>
          <w:kern w:val="0"/>
          <w:szCs w:val="21"/>
          <w:lang w:val="en-US" w:eastAsia="zh-CN"/>
        </w:rPr>
      </w:pPr>
      <w:r>
        <w:rPr>
          <w:rFonts w:hint="eastAsia" w:ascii="仿宋_GB2312" w:eastAsia="仿宋_GB2312"/>
        </w:rPr>
        <w:t>编制日期：</w:t>
      </w:r>
      <w:r>
        <w:rPr>
          <w:rFonts w:ascii="仿宋_GB2312" w:hAnsi="宋体" w:eastAsia="仿宋_GB2312" w:cs="宋体"/>
          <w:kern w:val="0"/>
          <w:szCs w:val="21"/>
        </w:rPr>
        <w:t>202</w:t>
      </w:r>
      <w:r>
        <w:rPr>
          <w:rFonts w:hint="eastAsia" w:ascii="仿宋_GB2312" w:hAnsi="宋体" w:eastAsia="仿宋_GB2312" w:cs="宋体"/>
          <w:kern w:val="0"/>
          <w:szCs w:val="21"/>
          <w:lang w:val="en-US" w:eastAsia="zh-CN"/>
        </w:rPr>
        <w:t>6</w:t>
      </w:r>
      <w:r>
        <w:rPr>
          <w:rFonts w:ascii="仿宋_GB2312" w:hAnsi="宋体" w:eastAsia="仿宋_GB2312" w:cs="宋体"/>
          <w:kern w:val="0"/>
          <w:szCs w:val="21"/>
        </w:rPr>
        <w:t>-</w:t>
      </w:r>
      <w:r>
        <w:rPr>
          <w:rFonts w:hint="eastAsia" w:ascii="仿宋_GB2312" w:hAnsi="宋体" w:eastAsia="仿宋_GB2312" w:cs="宋体"/>
          <w:kern w:val="0"/>
          <w:szCs w:val="21"/>
          <w:lang w:val="en-US" w:eastAsia="zh-CN"/>
        </w:rPr>
        <w:t>10</w:t>
      </w:r>
      <w:r>
        <w:rPr>
          <w:rFonts w:ascii="仿宋_GB2312" w:hAnsi="宋体" w:eastAsia="仿宋_GB2312" w:cs="宋体"/>
          <w:kern w:val="0"/>
          <w:szCs w:val="21"/>
        </w:rPr>
        <w:t>-</w:t>
      </w:r>
      <w:r>
        <w:rPr>
          <w:rFonts w:hint="eastAsia" w:ascii="仿宋_GB2312" w:hAnsi="宋体" w:eastAsia="仿宋_GB2312" w:cs="宋体"/>
          <w:kern w:val="0"/>
          <w:szCs w:val="21"/>
          <w:lang w:val="en-US" w:eastAsia="zh-CN"/>
        </w:rPr>
        <w:t>27</w:t>
      </w:r>
    </w:p>
    <w:p w14:paraId="0B7BA45D">
      <w:pPr>
        <w:spacing w:line="380" w:lineRule="exact"/>
        <w:jc w:val="center"/>
        <w:rPr>
          <w:rFonts w:ascii="方正仿宋简体" w:hAnsi="方正仿宋简体" w:cs="方正仿宋简体"/>
          <w:b/>
          <w:iCs/>
          <w:szCs w:val="21"/>
        </w:rPr>
      </w:pPr>
      <w:r>
        <w:rPr>
          <w:rFonts w:ascii="方正仿宋简体" w:hAnsi="方正仿宋简体"/>
        </w:rPr>
        <w:t>送出日期：</w:t>
      </w:r>
      <w:r>
        <w:rPr>
          <w:rFonts w:ascii="Times New Roman" w:hAnsi="Times New Roman" w:cs="Times New Roman"/>
        </w:rPr>
        <w:t>202</w:t>
      </w:r>
      <w:r>
        <w:rPr>
          <w:rFonts w:hint="eastAsia" w:ascii="Times New Roman" w:hAnsi="Times New Roman" w:cs="Times New Roman"/>
          <w:lang w:val="en-US" w:eastAsia="zh-CN"/>
        </w:rPr>
        <w:t>6</w:t>
      </w:r>
      <w:r>
        <w:rPr>
          <w:rFonts w:ascii="Times New Roman" w:hAnsi="Times New Roman" w:cs="Times New Roman"/>
        </w:rPr>
        <w:t>-</w:t>
      </w:r>
      <w:r>
        <w:rPr>
          <w:rFonts w:hint="eastAsia" w:ascii="Times New Roman" w:hAnsi="Times New Roman" w:cs="Times New Roman"/>
          <w:lang w:val="en-US" w:eastAsia="zh-CN"/>
        </w:rPr>
        <w:t>10</w:t>
      </w:r>
      <w:r>
        <w:rPr>
          <w:rFonts w:ascii="Times New Roman" w:hAnsi="Times New Roman" w:cs="Times New Roman"/>
        </w:rPr>
        <w:t>-</w:t>
      </w:r>
      <w:r>
        <w:rPr>
          <w:rFonts w:hint="eastAsia" w:ascii="Times New Roman" w:hAnsi="Times New Roman" w:cs="Times New Roman"/>
          <w:lang w:val="en-US" w:eastAsia="zh-CN"/>
        </w:rPr>
        <w:t>28</w:t>
      </w:r>
      <w:r>
        <w:rPr>
          <w:rFonts w:ascii="Times New Roman" w:hAnsi="Times New Roman" w:cs="Times New Roman"/>
        </w:rPr>
        <w:t xml:space="preserve"> </w:t>
      </w:r>
    </w:p>
    <w:p w14:paraId="5F40648B">
      <w:pPr>
        <w:autoSpaceDE w:val="0"/>
        <w:autoSpaceDN w:val="0"/>
        <w:adjustRightInd w:val="0"/>
        <w:jc w:val="center"/>
        <w:rPr>
          <w:rFonts w:ascii="黑体" w:hAnsi="黑体" w:eastAsia="黑体" w:cs="FZHTJW--GB1-0"/>
          <w:kern w:val="0"/>
          <w:sz w:val="30"/>
          <w:szCs w:val="30"/>
        </w:rPr>
      </w:pPr>
      <w:r>
        <w:rPr>
          <w:rFonts w:hint="eastAsia" w:ascii="黑体" w:hAnsi="黑体" w:eastAsia="黑体" w:cs="宋体"/>
          <w:kern w:val="0"/>
          <w:sz w:val="30"/>
          <w:szCs w:val="30"/>
        </w:rPr>
        <w:t>本概要提供本基金的重要信息，是招募说明书的一部分。</w:t>
      </w:r>
    </w:p>
    <w:p w14:paraId="249C5574">
      <w:pPr>
        <w:jc w:val="center"/>
        <w:rPr>
          <w:rFonts w:ascii="黑体" w:hAnsi="黑体" w:eastAsia="黑体" w:cs="宋体"/>
          <w:kern w:val="0"/>
          <w:sz w:val="30"/>
          <w:szCs w:val="30"/>
        </w:rPr>
      </w:pPr>
      <w:r>
        <w:rPr>
          <w:rFonts w:hint="eastAsia" w:ascii="黑体" w:hAnsi="黑体" w:eastAsia="黑体" w:cs="宋体"/>
          <w:kern w:val="0"/>
          <w:sz w:val="30"/>
          <w:szCs w:val="30"/>
        </w:rPr>
        <w:t>作出投资决定前，请阅读完整的招募说明书等销售文件。</w:t>
      </w:r>
    </w:p>
    <w:p w14:paraId="0F00CC61">
      <w:pPr>
        <w:jc w:val="left"/>
        <w:rPr>
          <w:rFonts w:ascii="仿宋_GB2312" w:hAnsi="宋体" w:eastAsia="仿宋_GB2312" w:cs="宋体"/>
          <w:b/>
          <w:kern w:val="0"/>
          <w:szCs w:val="21"/>
        </w:rPr>
      </w:pPr>
      <w:r>
        <w:rPr>
          <w:rFonts w:hint="eastAsia" w:ascii="仿宋_GB2312" w:hAnsi="宋体" w:eastAsia="仿宋_GB2312" w:cs="宋体"/>
          <w:b/>
          <w:kern w:val="0"/>
          <w:szCs w:val="21"/>
        </w:rPr>
        <w:t>一、产品概况</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344"/>
        <w:gridCol w:w="1641"/>
        <w:gridCol w:w="3187"/>
        <w:gridCol w:w="1900"/>
      </w:tblGrid>
      <w:tr w14:paraId="2D2731AC">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4" w:type="dxa"/>
            <w:vAlign w:val="center"/>
          </w:tcPr>
          <w:p w14:paraId="2BA30D9B">
            <w:pPr>
              <w:widowControl/>
              <w:jc w:val="left"/>
              <w:rPr>
                <w:rFonts w:ascii="仿宋_GB2312" w:eastAsia="仿宋_GB2312"/>
                <w:szCs w:val="21"/>
              </w:rPr>
            </w:pPr>
            <w:r>
              <w:rPr>
                <w:rFonts w:hint="eastAsia" w:ascii="仿宋_GB2312" w:eastAsia="仿宋_GB2312"/>
                <w:szCs w:val="21"/>
              </w:rPr>
              <w:t>基金简称</w:t>
            </w:r>
          </w:p>
        </w:tc>
        <w:tc>
          <w:tcPr>
            <w:tcW w:w="1641" w:type="dxa"/>
            <w:vAlign w:val="center"/>
          </w:tcPr>
          <w:p w14:paraId="78DBDCA0">
            <w:pPr>
              <w:rPr>
                <w:rFonts w:ascii="仿宋_GB2312" w:eastAsia="仿宋_GB2312"/>
                <w:szCs w:val="21"/>
              </w:rPr>
            </w:pPr>
            <w:r>
              <w:rPr>
                <w:rFonts w:hint="eastAsia" w:ascii="仿宋_GB2312" w:eastAsia="仿宋_GB2312"/>
                <w:szCs w:val="21"/>
              </w:rPr>
              <w:t>交银佳盛债券A</w:t>
            </w:r>
          </w:p>
        </w:tc>
        <w:tc>
          <w:tcPr>
            <w:tcW w:w="3187" w:type="dxa"/>
            <w:vAlign w:val="center"/>
          </w:tcPr>
          <w:p w14:paraId="79951E2E">
            <w:pPr>
              <w:rPr>
                <w:rFonts w:ascii="仿宋_GB2312" w:eastAsia="仿宋_GB2312"/>
                <w:szCs w:val="21"/>
              </w:rPr>
            </w:pPr>
            <w:r>
              <w:rPr>
                <w:rFonts w:hint="eastAsia" w:ascii="仿宋_GB2312" w:eastAsia="仿宋_GB2312"/>
                <w:szCs w:val="21"/>
              </w:rPr>
              <w:t>基金代码</w:t>
            </w:r>
          </w:p>
        </w:tc>
        <w:tc>
          <w:tcPr>
            <w:tcW w:w="1900" w:type="dxa"/>
            <w:vAlign w:val="center"/>
          </w:tcPr>
          <w:p w14:paraId="1E03393A">
            <w:pPr>
              <w:rPr>
                <w:rFonts w:hint="default" w:ascii="仿宋_GB2312" w:eastAsia="仿宋_GB2312"/>
                <w:szCs w:val="21"/>
                <w:lang w:val="en-US" w:eastAsia="zh-CN"/>
              </w:rPr>
            </w:pPr>
            <w:r>
              <w:rPr>
                <w:rFonts w:hint="eastAsia" w:ascii="仿宋_GB2312" w:eastAsia="仿宋_GB2312"/>
                <w:szCs w:val="21"/>
                <w:lang w:val="en-US" w:eastAsia="zh-CN"/>
              </w:rPr>
              <w:t>029148</w:t>
            </w:r>
          </w:p>
        </w:tc>
      </w:tr>
      <w:tr w14:paraId="04702F77">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4" w:type="dxa"/>
            <w:vAlign w:val="center"/>
          </w:tcPr>
          <w:p w14:paraId="28131FB4">
            <w:pPr>
              <w:rPr>
                <w:rFonts w:ascii="仿宋_GB2312" w:eastAsia="仿宋_GB2312"/>
                <w:szCs w:val="21"/>
              </w:rPr>
            </w:pPr>
            <w:r>
              <w:rPr>
                <w:rFonts w:hint="eastAsia" w:ascii="仿宋_GB2312" w:eastAsia="仿宋_GB2312"/>
                <w:szCs w:val="21"/>
              </w:rPr>
              <w:t>基金管理人</w:t>
            </w:r>
          </w:p>
        </w:tc>
        <w:tc>
          <w:tcPr>
            <w:tcW w:w="1641" w:type="dxa"/>
            <w:vAlign w:val="center"/>
          </w:tcPr>
          <w:p w14:paraId="6A79A118">
            <w:pPr>
              <w:rPr>
                <w:rFonts w:ascii="仿宋_GB2312" w:eastAsia="仿宋_GB2312"/>
                <w:szCs w:val="21"/>
              </w:rPr>
            </w:pPr>
            <w:r>
              <w:rPr>
                <w:rFonts w:hint="eastAsia" w:ascii="仿宋_GB2312" w:eastAsia="仿宋_GB2312"/>
                <w:szCs w:val="21"/>
              </w:rPr>
              <w:t>交银施罗德基金管理有限公司</w:t>
            </w:r>
          </w:p>
        </w:tc>
        <w:tc>
          <w:tcPr>
            <w:tcW w:w="3187" w:type="dxa"/>
            <w:vAlign w:val="center"/>
          </w:tcPr>
          <w:p w14:paraId="3D571095">
            <w:pPr>
              <w:rPr>
                <w:rFonts w:ascii="仿宋_GB2312" w:hAnsi="宋体" w:eastAsia="仿宋_GB2312" w:cs="宋体"/>
                <w:szCs w:val="21"/>
              </w:rPr>
            </w:pPr>
            <w:r>
              <w:rPr>
                <w:rFonts w:hint="eastAsia" w:ascii="仿宋_GB2312" w:eastAsia="仿宋_GB2312"/>
                <w:szCs w:val="21"/>
              </w:rPr>
              <w:t>基金托管人</w:t>
            </w:r>
          </w:p>
        </w:tc>
        <w:tc>
          <w:tcPr>
            <w:tcW w:w="1900" w:type="dxa"/>
            <w:vAlign w:val="center"/>
          </w:tcPr>
          <w:p w14:paraId="30F2F3DA">
            <w:pPr>
              <w:rPr>
                <w:rFonts w:ascii="仿宋_GB2312" w:eastAsia="仿宋_GB2312"/>
                <w:szCs w:val="21"/>
              </w:rPr>
            </w:pPr>
            <w:r>
              <w:rPr>
                <w:rFonts w:hint="eastAsia" w:ascii="仿宋_GB2312" w:eastAsia="仿宋_GB2312"/>
                <w:szCs w:val="21"/>
              </w:rPr>
              <w:t>上海浦东发展银行股份有限公司</w:t>
            </w:r>
          </w:p>
        </w:tc>
      </w:tr>
      <w:tr w14:paraId="1091DE28">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gridAfter w:val="2"/>
          <w:wAfter w:w="5087" w:type="dxa"/>
          <w:jc w:val="center"/>
        </w:trPr>
        <w:tc>
          <w:tcPr>
            <w:tcW w:w="2344" w:type="dxa"/>
            <w:vAlign w:val="center"/>
          </w:tcPr>
          <w:p w14:paraId="41F7BA18">
            <w:pPr>
              <w:rPr>
                <w:rFonts w:ascii="仿宋_GB2312" w:eastAsia="仿宋_GB2312"/>
                <w:szCs w:val="21"/>
              </w:rPr>
            </w:pPr>
            <w:r>
              <w:rPr>
                <w:rFonts w:hint="eastAsia" w:ascii="仿宋_GB2312" w:eastAsia="仿宋_GB2312"/>
                <w:szCs w:val="21"/>
              </w:rPr>
              <w:t>基金合同生效日</w:t>
            </w:r>
          </w:p>
        </w:tc>
        <w:tc>
          <w:tcPr>
            <w:tcW w:w="1641" w:type="dxa"/>
            <w:vAlign w:val="center"/>
          </w:tcPr>
          <w:p w14:paraId="3871C8E1">
            <w:pPr>
              <w:rPr>
                <w:rFonts w:ascii="仿宋_GB2312" w:eastAsia="仿宋_GB2312"/>
                <w:szCs w:val="21"/>
              </w:rPr>
            </w:pPr>
            <w:r>
              <w:rPr>
                <w:rFonts w:hint="eastAsia" w:ascii="仿宋_GB2312" w:eastAsia="仿宋_GB2312"/>
                <w:szCs w:val="21"/>
              </w:rPr>
              <w:t>-</w:t>
            </w:r>
          </w:p>
        </w:tc>
      </w:tr>
      <w:tr w14:paraId="54B3400F">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4" w:type="dxa"/>
            <w:vAlign w:val="center"/>
          </w:tcPr>
          <w:p w14:paraId="3AE9C981">
            <w:pPr>
              <w:rPr>
                <w:rFonts w:ascii="仿宋_GB2312" w:eastAsia="仿宋_GB2312"/>
                <w:szCs w:val="21"/>
              </w:rPr>
            </w:pPr>
            <w:r>
              <w:rPr>
                <w:rFonts w:hint="eastAsia" w:ascii="仿宋_GB2312" w:eastAsia="仿宋_GB2312"/>
                <w:szCs w:val="21"/>
              </w:rPr>
              <w:t>基金类型</w:t>
            </w:r>
          </w:p>
        </w:tc>
        <w:tc>
          <w:tcPr>
            <w:tcW w:w="1641" w:type="dxa"/>
            <w:vAlign w:val="center"/>
          </w:tcPr>
          <w:p w14:paraId="6413AB5C">
            <w:pPr>
              <w:rPr>
                <w:rFonts w:ascii="仿宋_GB2312" w:eastAsia="仿宋_GB2312"/>
                <w:szCs w:val="21"/>
              </w:rPr>
            </w:pPr>
            <w:r>
              <w:rPr>
                <w:rFonts w:hint="eastAsia" w:ascii="仿宋_GB2312" w:eastAsia="仿宋_GB2312"/>
                <w:szCs w:val="21"/>
              </w:rPr>
              <w:t>债券型</w:t>
            </w:r>
          </w:p>
        </w:tc>
        <w:tc>
          <w:tcPr>
            <w:tcW w:w="3187" w:type="dxa"/>
            <w:vAlign w:val="center"/>
          </w:tcPr>
          <w:p w14:paraId="512E945F">
            <w:pPr>
              <w:rPr>
                <w:rFonts w:ascii="仿宋_GB2312" w:hAnsi="宋体" w:eastAsia="仿宋_GB2312" w:cs="宋体"/>
                <w:szCs w:val="21"/>
              </w:rPr>
            </w:pPr>
            <w:r>
              <w:rPr>
                <w:rFonts w:hint="eastAsia" w:ascii="仿宋_GB2312" w:eastAsia="仿宋_GB2312"/>
                <w:szCs w:val="21"/>
              </w:rPr>
              <w:t>交易币种</w:t>
            </w:r>
          </w:p>
        </w:tc>
        <w:tc>
          <w:tcPr>
            <w:tcW w:w="1900" w:type="dxa"/>
            <w:vAlign w:val="center"/>
          </w:tcPr>
          <w:p w14:paraId="48D54592">
            <w:pPr>
              <w:rPr>
                <w:rFonts w:ascii="仿宋_GB2312" w:eastAsia="仿宋_GB2312"/>
                <w:szCs w:val="21"/>
              </w:rPr>
            </w:pPr>
            <w:r>
              <w:rPr>
                <w:rFonts w:hint="eastAsia" w:ascii="仿宋_GB2312" w:eastAsia="仿宋_GB2312"/>
                <w:szCs w:val="21"/>
              </w:rPr>
              <w:t>人民币</w:t>
            </w:r>
          </w:p>
        </w:tc>
      </w:tr>
      <w:tr w14:paraId="0977B602">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4" w:type="dxa"/>
            <w:vAlign w:val="center"/>
          </w:tcPr>
          <w:p w14:paraId="794246A0">
            <w:pPr>
              <w:rPr>
                <w:rFonts w:ascii="仿宋_GB2312" w:eastAsia="仿宋_GB2312"/>
                <w:szCs w:val="21"/>
              </w:rPr>
            </w:pPr>
            <w:r>
              <w:rPr>
                <w:rFonts w:hint="eastAsia" w:ascii="仿宋_GB2312" w:eastAsia="仿宋_GB2312"/>
                <w:szCs w:val="21"/>
              </w:rPr>
              <w:t>运作方式</w:t>
            </w:r>
          </w:p>
        </w:tc>
        <w:tc>
          <w:tcPr>
            <w:tcW w:w="1641" w:type="dxa"/>
            <w:vAlign w:val="center"/>
          </w:tcPr>
          <w:p w14:paraId="74C2980C">
            <w:pPr>
              <w:rPr>
                <w:rFonts w:ascii="仿宋_GB2312" w:eastAsia="仿宋_GB2312"/>
                <w:szCs w:val="21"/>
              </w:rPr>
            </w:pPr>
            <w:r>
              <w:rPr>
                <w:rFonts w:hint="eastAsia" w:ascii="仿宋_GB2312" w:eastAsia="仿宋_GB2312"/>
                <w:szCs w:val="21"/>
              </w:rPr>
              <w:t>普通开放式</w:t>
            </w:r>
          </w:p>
        </w:tc>
        <w:tc>
          <w:tcPr>
            <w:tcW w:w="3187" w:type="dxa"/>
            <w:vAlign w:val="center"/>
          </w:tcPr>
          <w:p w14:paraId="7BABA8A6">
            <w:pPr>
              <w:rPr>
                <w:rFonts w:ascii="仿宋_GB2312" w:hAnsi="宋体" w:eastAsia="仿宋_GB2312" w:cs="宋体"/>
                <w:szCs w:val="21"/>
              </w:rPr>
            </w:pPr>
            <w:r>
              <w:rPr>
                <w:rFonts w:hint="eastAsia" w:ascii="仿宋_GB2312" w:eastAsia="仿宋_GB2312"/>
                <w:szCs w:val="21"/>
              </w:rPr>
              <w:t>开放频率</w:t>
            </w:r>
          </w:p>
        </w:tc>
        <w:tc>
          <w:tcPr>
            <w:tcW w:w="1900" w:type="dxa"/>
            <w:vAlign w:val="center"/>
          </w:tcPr>
          <w:p w14:paraId="650599D3">
            <w:pPr>
              <w:rPr>
                <w:rFonts w:ascii="仿宋_GB2312" w:eastAsia="仿宋_GB2312"/>
                <w:szCs w:val="21"/>
              </w:rPr>
            </w:pPr>
            <w:r>
              <w:rPr>
                <w:rFonts w:hint="eastAsia" w:ascii="仿宋_GB2312" w:eastAsia="仿宋_GB2312"/>
                <w:szCs w:val="21"/>
              </w:rPr>
              <w:t>每个开放日</w:t>
            </w:r>
          </w:p>
        </w:tc>
      </w:tr>
      <w:tr w14:paraId="729D9197">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4" w:type="dxa"/>
            <w:vMerge w:val="restart"/>
          </w:tcPr>
          <w:p w14:paraId="1FA763F4">
            <w:pPr>
              <w:jc w:val="left"/>
              <w:rPr>
                <w:rFonts w:ascii="仿宋_GB2312" w:eastAsia="仿宋_GB2312"/>
                <w:szCs w:val="21"/>
              </w:rPr>
            </w:pPr>
            <w:r>
              <w:rPr>
                <w:rFonts w:hint="eastAsia" w:ascii="仿宋_GB2312" w:eastAsia="仿宋_GB2312"/>
                <w:szCs w:val="21"/>
              </w:rPr>
              <w:t>基金经理</w:t>
            </w:r>
          </w:p>
        </w:tc>
        <w:tc>
          <w:tcPr>
            <w:tcW w:w="1641" w:type="dxa"/>
            <w:vMerge w:val="restart"/>
          </w:tcPr>
          <w:p w14:paraId="3D6B38D8">
            <w:pPr>
              <w:jc w:val="left"/>
              <w:rPr>
                <w:rFonts w:ascii="仿宋_GB2312" w:eastAsia="仿宋_GB2312"/>
                <w:szCs w:val="21"/>
              </w:rPr>
            </w:pPr>
            <w:r>
              <w:rPr>
                <w:rFonts w:hint="eastAsia" w:ascii="仿宋_GB2312" w:eastAsia="仿宋_GB2312"/>
                <w:szCs w:val="21"/>
              </w:rPr>
              <w:t>孙婕衎</w:t>
            </w:r>
          </w:p>
        </w:tc>
        <w:tc>
          <w:tcPr>
            <w:tcW w:w="3187" w:type="dxa"/>
          </w:tcPr>
          <w:p w14:paraId="32CA6533">
            <w:pPr>
              <w:jc w:val="left"/>
              <w:rPr>
                <w:rFonts w:ascii="仿宋_GB2312" w:eastAsia="仿宋_GB2312"/>
                <w:szCs w:val="21"/>
              </w:rPr>
            </w:pPr>
            <w:r>
              <w:rPr>
                <w:rFonts w:hint="eastAsia" w:ascii="仿宋_GB2312" w:hAnsi="宋体" w:eastAsia="仿宋_GB2312" w:cs="宋体"/>
                <w:kern w:val="0"/>
                <w:szCs w:val="21"/>
              </w:rPr>
              <w:t>开始担任本基金基金经理的日期</w:t>
            </w:r>
          </w:p>
        </w:tc>
        <w:tc>
          <w:tcPr>
            <w:tcW w:w="1900" w:type="dxa"/>
          </w:tcPr>
          <w:p w14:paraId="2D56FE77">
            <w:pPr>
              <w:jc w:val="left"/>
              <w:rPr>
                <w:rFonts w:ascii="仿宋_GB2312" w:eastAsia="仿宋_GB2312"/>
                <w:szCs w:val="21"/>
              </w:rPr>
            </w:pPr>
            <w:r>
              <w:rPr>
                <w:rFonts w:hint="eastAsia" w:ascii="仿宋_GB2312" w:eastAsia="仿宋_GB2312"/>
                <w:szCs w:val="21"/>
              </w:rPr>
              <w:t>-</w:t>
            </w:r>
          </w:p>
        </w:tc>
      </w:tr>
      <w:tr w14:paraId="60B0D7C2">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4" w:type="dxa"/>
            <w:vMerge w:val="continue"/>
          </w:tcPr>
          <w:p w14:paraId="3080E894">
            <w:pPr>
              <w:jc w:val="left"/>
              <w:rPr>
                <w:rFonts w:ascii="仿宋_GB2312" w:eastAsia="仿宋_GB2312"/>
                <w:szCs w:val="21"/>
              </w:rPr>
            </w:pPr>
          </w:p>
        </w:tc>
        <w:tc>
          <w:tcPr>
            <w:tcW w:w="1641" w:type="dxa"/>
            <w:vMerge w:val="continue"/>
          </w:tcPr>
          <w:p w14:paraId="3B36BC89">
            <w:pPr>
              <w:jc w:val="left"/>
              <w:rPr>
                <w:rFonts w:ascii="仿宋_GB2312" w:eastAsia="仿宋_GB2312"/>
                <w:szCs w:val="21"/>
              </w:rPr>
            </w:pPr>
          </w:p>
        </w:tc>
        <w:tc>
          <w:tcPr>
            <w:tcW w:w="3187" w:type="dxa"/>
          </w:tcPr>
          <w:p w14:paraId="0A60592D">
            <w:pPr>
              <w:jc w:val="left"/>
              <w:rPr>
                <w:rFonts w:ascii="仿宋_GB2312" w:eastAsia="仿宋_GB2312"/>
                <w:szCs w:val="21"/>
              </w:rPr>
            </w:pPr>
            <w:r>
              <w:rPr>
                <w:rFonts w:hint="eastAsia" w:ascii="仿宋_GB2312" w:hAnsi="宋体" w:eastAsia="仿宋_GB2312" w:cs="宋体"/>
                <w:kern w:val="0"/>
                <w:szCs w:val="21"/>
              </w:rPr>
              <w:t>证券从业日期</w:t>
            </w:r>
          </w:p>
        </w:tc>
        <w:tc>
          <w:tcPr>
            <w:tcW w:w="1900" w:type="dxa"/>
          </w:tcPr>
          <w:p w14:paraId="06042B3E">
            <w:pPr>
              <w:jc w:val="left"/>
              <w:rPr>
                <w:rFonts w:ascii="仿宋_GB2312" w:eastAsia="仿宋_GB2312"/>
                <w:szCs w:val="21"/>
              </w:rPr>
            </w:pPr>
            <w:r>
              <w:rPr>
                <w:rFonts w:ascii="仿宋_GB2312" w:eastAsia="仿宋_GB2312"/>
                <w:szCs w:val="21"/>
              </w:rPr>
              <w:t>201</w:t>
            </w:r>
            <w:r>
              <w:rPr>
                <w:rFonts w:hint="eastAsia" w:ascii="仿宋_GB2312" w:eastAsia="仿宋_GB2312"/>
                <w:szCs w:val="21"/>
              </w:rPr>
              <w:t>1</w:t>
            </w:r>
            <w:r>
              <w:rPr>
                <w:rFonts w:ascii="仿宋_GB2312" w:eastAsia="仿宋_GB2312"/>
                <w:szCs w:val="21"/>
              </w:rPr>
              <w:t>-0</w:t>
            </w:r>
            <w:r>
              <w:rPr>
                <w:rFonts w:hint="eastAsia" w:ascii="仿宋_GB2312" w:eastAsia="仿宋_GB2312"/>
                <w:szCs w:val="21"/>
              </w:rPr>
              <w:t>5</w:t>
            </w:r>
            <w:r>
              <w:rPr>
                <w:rFonts w:ascii="仿宋_GB2312" w:eastAsia="仿宋_GB2312"/>
                <w:szCs w:val="21"/>
              </w:rPr>
              <w:t>-</w:t>
            </w:r>
            <w:r>
              <w:rPr>
                <w:rFonts w:hint="eastAsia" w:ascii="仿宋_GB2312" w:eastAsia="仿宋_GB2312"/>
                <w:szCs w:val="21"/>
              </w:rPr>
              <w:t>11</w:t>
            </w:r>
          </w:p>
        </w:tc>
      </w:tr>
      <w:tr w14:paraId="4C64F695">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4" w:type="dxa"/>
            <w:vMerge w:val="restart"/>
          </w:tcPr>
          <w:p w14:paraId="5CA06130">
            <w:pPr>
              <w:jc w:val="left"/>
              <w:rPr>
                <w:rFonts w:ascii="仿宋_GB2312" w:eastAsia="仿宋_GB2312"/>
                <w:szCs w:val="21"/>
              </w:rPr>
            </w:pPr>
            <w:r>
              <w:rPr>
                <w:rFonts w:hint="eastAsia" w:ascii="仿宋_GB2312" w:eastAsia="仿宋_GB2312"/>
                <w:szCs w:val="21"/>
              </w:rPr>
              <w:t>基金经理</w:t>
            </w:r>
          </w:p>
        </w:tc>
        <w:tc>
          <w:tcPr>
            <w:tcW w:w="1641" w:type="dxa"/>
            <w:vMerge w:val="restart"/>
          </w:tcPr>
          <w:p w14:paraId="45D8F704">
            <w:pPr>
              <w:jc w:val="left"/>
              <w:rPr>
                <w:rFonts w:ascii="仿宋_GB2312" w:eastAsia="仿宋_GB2312"/>
                <w:szCs w:val="21"/>
              </w:rPr>
            </w:pPr>
            <w:r>
              <w:rPr>
                <w:rFonts w:hint="eastAsia" w:ascii="仿宋_GB2312" w:eastAsia="仿宋_GB2312"/>
                <w:szCs w:val="21"/>
              </w:rPr>
              <w:t>姜承操</w:t>
            </w:r>
          </w:p>
        </w:tc>
        <w:tc>
          <w:tcPr>
            <w:tcW w:w="3187" w:type="dxa"/>
          </w:tcPr>
          <w:p w14:paraId="58C969AB">
            <w:pPr>
              <w:jc w:val="left"/>
              <w:rPr>
                <w:rFonts w:ascii="仿宋_GB2312" w:eastAsia="仿宋_GB2312"/>
                <w:szCs w:val="21"/>
              </w:rPr>
            </w:pPr>
            <w:r>
              <w:rPr>
                <w:rFonts w:hint="eastAsia" w:ascii="仿宋_GB2312" w:hAnsi="宋体" w:eastAsia="仿宋_GB2312" w:cs="宋体"/>
                <w:kern w:val="0"/>
                <w:szCs w:val="21"/>
              </w:rPr>
              <w:t>开始担任本基金基金经理的日期</w:t>
            </w:r>
          </w:p>
        </w:tc>
        <w:tc>
          <w:tcPr>
            <w:tcW w:w="1900" w:type="dxa"/>
          </w:tcPr>
          <w:p w14:paraId="085C1913">
            <w:pPr>
              <w:jc w:val="left"/>
              <w:rPr>
                <w:rFonts w:ascii="仿宋_GB2312" w:eastAsia="仿宋_GB2312"/>
                <w:szCs w:val="21"/>
              </w:rPr>
            </w:pPr>
            <w:r>
              <w:rPr>
                <w:rFonts w:hint="eastAsia" w:ascii="仿宋_GB2312" w:eastAsia="仿宋_GB2312"/>
                <w:szCs w:val="21"/>
              </w:rPr>
              <w:t>-</w:t>
            </w:r>
          </w:p>
        </w:tc>
      </w:tr>
      <w:tr w14:paraId="43F95583">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4" w:type="dxa"/>
            <w:vMerge w:val="continue"/>
          </w:tcPr>
          <w:p w14:paraId="55192B2C">
            <w:pPr>
              <w:jc w:val="left"/>
              <w:rPr>
                <w:rFonts w:ascii="仿宋_GB2312" w:eastAsia="仿宋_GB2312"/>
                <w:szCs w:val="21"/>
              </w:rPr>
            </w:pPr>
          </w:p>
        </w:tc>
        <w:tc>
          <w:tcPr>
            <w:tcW w:w="1641" w:type="dxa"/>
            <w:vMerge w:val="continue"/>
          </w:tcPr>
          <w:p w14:paraId="330AF82A">
            <w:pPr>
              <w:jc w:val="left"/>
              <w:rPr>
                <w:rFonts w:ascii="仿宋_GB2312" w:eastAsia="仿宋_GB2312"/>
                <w:szCs w:val="21"/>
              </w:rPr>
            </w:pPr>
          </w:p>
        </w:tc>
        <w:tc>
          <w:tcPr>
            <w:tcW w:w="3187" w:type="dxa"/>
          </w:tcPr>
          <w:p w14:paraId="4CEC4361">
            <w:pPr>
              <w:jc w:val="left"/>
              <w:rPr>
                <w:rFonts w:ascii="仿宋_GB2312" w:eastAsia="仿宋_GB2312"/>
                <w:szCs w:val="21"/>
              </w:rPr>
            </w:pPr>
            <w:r>
              <w:rPr>
                <w:rFonts w:hint="eastAsia" w:ascii="仿宋_GB2312" w:hAnsi="宋体" w:eastAsia="仿宋_GB2312" w:cs="宋体"/>
                <w:kern w:val="0"/>
                <w:szCs w:val="21"/>
              </w:rPr>
              <w:t>证券从业日期</w:t>
            </w:r>
          </w:p>
        </w:tc>
        <w:tc>
          <w:tcPr>
            <w:tcW w:w="1900" w:type="dxa"/>
          </w:tcPr>
          <w:p w14:paraId="3C1CBE52">
            <w:pPr>
              <w:jc w:val="left"/>
              <w:rPr>
                <w:rFonts w:ascii="仿宋_GB2312" w:eastAsia="仿宋_GB2312"/>
                <w:szCs w:val="21"/>
              </w:rPr>
            </w:pPr>
            <w:r>
              <w:rPr>
                <w:rFonts w:ascii="仿宋_GB2312" w:eastAsia="仿宋_GB2312"/>
                <w:szCs w:val="21"/>
              </w:rPr>
              <w:t>20</w:t>
            </w:r>
            <w:r>
              <w:rPr>
                <w:rFonts w:hint="eastAsia" w:ascii="仿宋_GB2312" w:eastAsia="仿宋_GB2312"/>
                <w:szCs w:val="21"/>
              </w:rPr>
              <w:t>11</w:t>
            </w:r>
            <w:r>
              <w:rPr>
                <w:rFonts w:ascii="仿宋_GB2312" w:eastAsia="仿宋_GB2312"/>
                <w:szCs w:val="21"/>
              </w:rPr>
              <w:t>-0</w:t>
            </w:r>
            <w:r>
              <w:rPr>
                <w:rFonts w:hint="eastAsia" w:ascii="仿宋_GB2312" w:eastAsia="仿宋_GB2312"/>
                <w:szCs w:val="21"/>
              </w:rPr>
              <w:t>7</w:t>
            </w:r>
            <w:r>
              <w:rPr>
                <w:rFonts w:ascii="仿宋_GB2312" w:eastAsia="仿宋_GB2312"/>
                <w:szCs w:val="21"/>
              </w:rPr>
              <w:t>-</w:t>
            </w:r>
            <w:r>
              <w:rPr>
                <w:rFonts w:hint="eastAsia" w:ascii="仿宋_GB2312" w:eastAsia="仿宋_GB2312"/>
                <w:szCs w:val="21"/>
              </w:rPr>
              <w:t>11</w:t>
            </w:r>
          </w:p>
        </w:tc>
      </w:tr>
      <w:tr w14:paraId="17281265">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4" w:type="dxa"/>
          </w:tcPr>
          <w:p w14:paraId="06CF8283">
            <w:pPr>
              <w:jc w:val="left"/>
              <w:rPr>
                <w:rFonts w:ascii="仿宋_GB2312" w:eastAsia="仿宋_GB2312"/>
                <w:szCs w:val="21"/>
              </w:rPr>
            </w:pPr>
            <w:r>
              <w:rPr>
                <w:rFonts w:hint="eastAsia" w:ascii="仿宋_GB2312" w:hAnsi="宋体" w:eastAsia="仿宋_GB2312" w:cs="宋体"/>
                <w:kern w:val="0"/>
                <w:szCs w:val="21"/>
              </w:rPr>
              <w:t>其他</w:t>
            </w:r>
          </w:p>
        </w:tc>
        <w:tc>
          <w:tcPr>
            <w:tcW w:w="6728" w:type="dxa"/>
            <w:gridSpan w:val="3"/>
          </w:tcPr>
          <w:p w14:paraId="6AA9704A">
            <w:pPr>
              <w:ind w:firstLine="420"/>
              <w:jc w:val="left"/>
              <w:rPr>
                <w:rFonts w:ascii="仿宋_GB2312" w:eastAsia="仿宋_GB2312"/>
                <w:szCs w:val="21"/>
              </w:rPr>
            </w:pPr>
            <w:r>
              <w:rPr>
                <w:rFonts w:hint="eastAsia" w:ascii="仿宋_GB2312" w:eastAsia="仿宋_GB2312"/>
                <w:szCs w:val="21"/>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tc>
      </w:tr>
    </w:tbl>
    <w:p w14:paraId="002D7026">
      <w:pPr>
        <w:jc w:val="left"/>
        <w:rPr>
          <w:rFonts w:ascii="仿宋_GB2312" w:hAnsi="宋体" w:eastAsia="仿宋_GB2312" w:cs="宋体"/>
          <w:b/>
          <w:kern w:val="0"/>
          <w:szCs w:val="21"/>
        </w:rPr>
      </w:pPr>
      <w:r>
        <w:rPr>
          <w:rFonts w:hint="eastAsia" w:ascii="仿宋_GB2312" w:hAnsi="宋体" w:eastAsia="仿宋_GB2312" w:cs="宋体"/>
          <w:b/>
          <w:kern w:val="0"/>
          <w:szCs w:val="21"/>
        </w:rPr>
        <w:t>二、基金投资与净值表现</w:t>
      </w:r>
    </w:p>
    <w:p w14:paraId="0479D4D5">
      <w:pPr>
        <w:jc w:val="left"/>
        <w:rPr>
          <w:rFonts w:ascii="仿宋_GB2312" w:eastAsia="仿宋_GB2312"/>
          <w:b/>
          <w:szCs w:val="21"/>
        </w:rPr>
      </w:pPr>
      <w:r>
        <w:rPr>
          <w:rFonts w:hint="eastAsia" w:ascii="仿宋_GB2312" w:eastAsia="仿宋_GB2312"/>
          <w:b/>
          <w:szCs w:val="21"/>
        </w:rPr>
        <w:t>（一）投资目标与投资策略</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1876"/>
        <w:gridCol w:w="7196"/>
      </w:tblGrid>
      <w:tr w14:paraId="095002CE">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701" w:type="dxa"/>
            <w:vAlign w:val="center"/>
          </w:tcPr>
          <w:p w14:paraId="59804DC8">
            <w:pPr>
              <w:widowControl/>
              <w:jc w:val="left"/>
              <w:rPr>
                <w:rFonts w:ascii="仿宋_GB2312" w:eastAsia="仿宋_GB2312"/>
                <w:szCs w:val="21"/>
              </w:rPr>
            </w:pPr>
            <w:r>
              <w:rPr>
                <w:rFonts w:hint="eastAsia" w:ascii="仿宋_GB2312" w:eastAsia="仿宋_GB2312"/>
                <w:szCs w:val="21"/>
              </w:rPr>
              <w:t>投资目标</w:t>
            </w:r>
          </w:p>
        </w:tc>
        <w:tc>
          <w:tcPr>
            <w:tcW w:w="6525" w:type="dxa"/>
            <w:vAlign w:val="center"/>
          </w:tcPr>
          <w:p w14:paraId="4E7CC493">
            <w:pPr>
              <w:ind w:firstLine="420"/>
              <w:jc w:val="left"/>
              <w:rPr>
                <w:rFonts w:ascii="仿宋_GB2312" w:eastAsia="仿宋_GB2312"/>
                <w:szCs w:val="21"/>
              </w:rPr>
            </w:pPr>
            <w:r>
              <w:rPr>
                <w:rFonts w:hint="eastAsia" w:ascii="仿宋_GB2312" w:eastAsia="仿宋_GB2312"/>
                <w:szCs w:val="21"/>
              </w:rPr>
              <w:t>在合理控制风险并保持基金资产良好流动性的前提下，追求超越业绩比较基准的投资回报，力争实现基金资产的长期稳健增值。</w:t>
            </w:r>
          </w:p>
        </w:tc>
      </w:tr>
      <w:tr w14:paraId="7E392740">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701" w:type="dxa"/>
            <w:vAlign w:val="center"/>
          </w:tcPr>
          <w:p w14:paraId="71613AE8">
            <w:pPr>
              <w:rPr>
                <w:rFonts w:ascii="仿宋_GB2312" w:eastAsia="仿宋_GB2312"/>
                <w:szCs w:val="21"/>
              </w:rPr>
            </w:pPr>
            <w:r>
              <w:rPr>
                <w:rFonts w:hint="eastAsia" w:ascii="仿宋_GB2312" w:eastAsia="仿宋_GB2312"/>
                <w:szCs w:val="21"/>
              </w:rPr>
              <w:t>投资范围</w:t>
            </w:r>
          </w:p>
        </w:tc>
        <w:tc>
          <w:tcPr>
            <w:tcW w:w="6525" w:type="dxa"/>
            <w:vAlign w:val="center"/>
          </w:tcPr>
          <w:p w14:paraId="0423C810">
            <w:pPr>
              <w:ind w:firstLine="420"/>
              <w:jc w:val="left"/>
              <w:rPr>
                <w:rFonts w:ascii="仿宋_GB2312" w:eastAsia="仿宋_GB2312"/>
                <w:szCs w:val="21"/>
              </w:rPr>
            </w:pPr>
            <w:r>
              <w:rPr>
                <w:rFonts w:hint="eastAsia" w:ascii="仿宋_GB2312" w:eastAsia="仿宋_GB2312"/>
                <w:szCs w:val="21"/>
              </w:rPr>
              <w:t>本基金的投资范围为具有良好流动性的金融工具，包括国内依法发行上市的股票（含主板、创业板、科创板及其他经中国证监会核准或注册上市的股票、存托凭证）、港股通标的股票、经中国证监会依法核准或注册的公开募集证券投资基金（仅包含全市场的股票型ETF（含可投资境外市场的ETF）、公开募集不动产投资信托基金（以下简称“公募REITs”）及本基金管理人管理的股票型基金、计入权益类资产的混合型基金，不含香港互认基金、QDII基金（可投资境外市场的股票型ETF除外）、基金中基金</w:t>
            </w:r>
            <w:r>
              <w:rPr>
                <w:rFonts w:hint="eastAsia" w:ascii="仿宋_GB2312" w:eastAsia="仿宋_GB2312"/>
                <w:szCs w:val="21"/>
                <w:lang w:val="en-US" w:eastAsia="zh-CN"/>
              </w:rPr>
              <w:t>和</w:t>
            </w:r>
            <w:r>
              <w:rPr>
                <w:rFonts w:hint="eastAsia" w:ascii="仿宋_GB2312" w:eastAsia="仿宋_GB2312"/>
                <w:szCs w:val="21"/>
              </w:rPr>
              <w:t>其他投资范围包含基金的基金、货币市场基金）、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国债期货、信用衍生品以及法律法规或中国证监会允许基金投资的其他金融工具（但须符合中国证监会相关规定）。</w:t>
            </w:r>
          </w:p>
          <w:p w14:paraId="47F171CC">
            <w:pPr>
              <w:ind w:firstLine="420"/>
              <w:jc w:val="left"/>
              <w:rPr>
                <w:rFonts w:ascii="仿宋_GB2312" w:eastAsia="仿宋_GB2312"/>
                <w:szCs w:val="21"/>
              </w:rPr>
            </w:pPr>
            <w:r>
              <w:rPr>
                <w:rFonts w:hint="eastAsia" w:ascii="仿宋_GB2312" w:eastAsia="仿宋_GB2312"/>
                <w:szCs w:val="21"/>
              </w:rPr>
              <w:t>如法律法规或监管机构以后允许基金投资其他品种，基金管理人在履行适当程序后，可以将其纳入投资范围。</w:t>
            </w:r>
          </w:p>
          <w:p w14:paraId="42B7ABF9">
            <w:pPr>
              <w:ind w:firstLine="420"/>
              <w:jc w:val="left"/>
              <w:rPr>
                <w:rFonts w:ascii="仿宋_GB2312" w:eastAsia="仿宋_GB2312"/>
                <w:szCs w:val="21"/>
              </w:rPr>
            </w:pPr>
            <w:r>
              <w:rPr>
                <w:rFonts w:hint="eastAsia" w:ascii="仿宋_GB2312" w:eastAsia="仿宋_GB2312"/>
                <w:szCs w:val="21"/>
              </w:rPr>
              <w:t>基金的投资组合比例为：本基金投资于债券资产的比例不低于基金资产的80%；投资于股票（含存托凭证）、股票型基金、计入权益类资产的混合型基金、可转换债券（含可分离交易可转换债券）、可交换公司债券的比例占基金资产的</w:t>
            </w:r>
            <w:r>
              <w:rPr>
                <w:rFonts w:hint="eastAsia" w:ascii="仿宋_GB2312" w:eastAsia="仿宋_GB2312"/>
                <w:szCs w:val="21"/>
                <w:lang w:val="en-US" w:eastAsia="zh-CN"/>
              </w:rPr>
              <w:t>5</w:t>
            </w:r>
            <w:r>
              <w:rPr>
                <w:rFonts w:hint="eastAsia" w:ascii="仿宋_GB2312" w:eastAsia="仿宋_GB2312"/>
                <w:szCs w:val="21"/>
              </w:rPr>
              <w:t>%-20%（其中，投资于境内股票资产（含</w:t>
            </w:r>
            <w:r>
              <w:rPr>
                <w:rFonts w:hint="eastAsia" w:ascii="仿宋_GB2312" w:eastAsia="仿宋_GB2312"/>
                <w:szCs w:val="21"/>
                <w:lang w:val="en-US" w:eastAsia="zh-CN"/>
              </w:rPr>
              <w:t>A股</w:t>
            </w:r>
            <w:r>
              <w:rPr>
                <w:rFonts w:hint="eastAsia" w:ascii="仿宋_GB2312" w:eastAsia="仿宋_GB2312"/>
                <w:szCs w:val="21"/>
                <w:lang w:eastAsia="zh-CN"/>
              </w:rPr>
              <w:t>ETF</w:t>
            </w:r>
            <w:r>
              <w:rPr>
                <w:rFonts w:hint="eastAsia" w:ascii="仿宋_GB2312" w:eastAsia="仿宋_GB2312"/>
                <w:szCs w:val="21"/>
              </w:rPr>
              <w:t>）的比例不低于基金资产的5%，投资于港股通标的股票的比例占股票资产的0%-50%）；上述应计入权益类资产的混合型基金需符合下列两个条件之一：①基金合同中约定股票（含存托凭证）投资占基金资产的比例不低于60%的混合型基金；②最近四个季度披露的股票（含存托凭证）投资占基金资产的比例均不低于60%的混合型基金。本基金投资于经中国证监会依法核准或注册的公开募集的基金份额的比例不超过基金资产净值的10%。每个交易日日终在扣除国债期货合约需缴纳的交易保证金后，本基金持有的现金或者到期日在一年以内的政府债券的比例合计不低于基金资产净值的5%，其中现金不包括结算备付金、存出保证金、应收申购款等。</w:t>
            </w:r>
          </w:p>
          <w:p w14:paraId="6F645EB3">
            <w:pPr>
              <w:ind w:firstLine="420"/>
              <w:jc w:val="left"/>
              <w:rPr>
                <w:rFonts w:ascii="仿宋_GB2312" w:eastAsia="仿宋_GB2312"/>
                <w:szCs w:val="21"/>
              </w:rPr>
            </w:pPr>
            <w:r>
              <w:rPr>
                <w:rFonts w:hint="eastAsia" w:ascii="仿宋_GB2312" w:eastAsia="仿宋_GB2312"/>
                <w:szCs w:val="21"/>
              </w:rPr>
              <w:t>如果法律法规或中国证监会变更投资品种的投资比例限制，基金管理人在履行适当程序后，可以调整上述投资品种的投资比例。</w:t>
            </w:r>
          </w:p>
        </w:tc>
      </w:tr>
      <w:tr w14:paraId="3E658E43">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701" w:type="dxa"/>
            <w:vAlign w:val="center"/>
          </w:tcPr>
          <w:p w14:paraId="4A4EAA3D">
            <w:pPr>
              <w:rPr>
                <w:rFonts w:ascii="仿宋_GB2312" w:eastAsia="仿宋_GB2312"/>
                <w:szCs w:val="21"/>
              </w:rPr>
            </w:pPr>
            <w:r>
              <w:rPr>
                <w:rFonts w:hint="eastAsia" w:ascii="仿宋_GB2312" w:eastAsia="仿宋_GB2312"/>
                <w:szCs w:val="21"/>
              </w:rPr>
              <w:t>主要投资策略</w:t>
            </w:r>
          </w:p>
        </w:tc>
        <w:tc>
          <w:tcPr>
            <w:tcW w:w="6525" w:type="dxa"/>
            <w:vAlign w:val="center"/>
          </w:tcPr>
          <w:p w14:paraId="13412D1E">
            <w:pPr>
              <w:ind w:firstLine="420" w:firstLineChars="200"/>
              <w:jc w:val="left"/>
              <w:rPr>
                <w:rFonts w:ascii="仿宋_GB2312" w:eastAsia="仿宋_GB2312"/>
                <w:szCs w:val="21"/>
              </w:rPr>
            </w:pPr>
            <w:r>
              <w:rPr>
                <w:rFonts w:hint="eastAsia" w:ascii="仿宋_GB2312" w:eastAsia="仿宋_GB2312"/>
                <w:szCs w:val="21"/>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等权益类资产和债券研究分析基础上，自下而上精选个股和个券；在保持总体风险水平相对稳定的基础上，力争获取投资组合的较高回报。</w:t>
            </w:r>
          </w:p>
          <w:p w14:paraId="24E41CE4">
            <w:pPr>
              <w:ind w:firstLine="420" w:firstLineChars="200"/>
              <w:jc w:val="left"/>
              <w:rPr>
                <w:rFonts w:ascii="仿宋_GB2312" w:eastAsia="仿宋_GB2312"/>
                <w:szCs w:val="21"/>
              </w:rPr>
            </w:pPr>
            <w:r>
              <w:rPr>
                <w:rFonts w:hint="eastAsia" w:ascii="仿宋_GB2312" w:eastAsia="仿宋_GB2312"/>
                <w:szCs w:val="21"/>
              </w:rPr>
              <w:t>本基金采用的主要策略包括：1、大类资产配置；2、股票投资策略；3、基金投资策略；4、债券投资策略；5、国债期货投资策略；6、信用衍生品投资策略。</w:t>
            </w:r>
          </w:p>
        </w:tc>
      </w:tr>
      <w:tr w14:paraId="62DFCBD0">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701" w:type="dxa"/>
            <w:vAlign w:val="center"/>
          </w:tcPr>
          <w:p w14:paraId="23D74D5E">
            <w:pPr>
              <w:rPr>
                <w:rFonts w:ascii="仿宋_GB2312" w:eastAsia="仿宋_GB2312"/>
                <w:szCs w:val="21"/>
              </w:rPr>
            </w:pPr>
            <w:r>
              <w:rPr>
                <w:rFonts w:hint="eastAsia" w:ascii="仿宋_GB2312" w:eastAsia="仿宋_GB2312"/>
                <w:szCs w:val="21"/>
              </w:rPr>
              <w:t>业绩比较基准</w:t>
            </w:r>
          </w:p>
        </w:tc>
        <w:tc>
          <w:tcPr>
            <w:tcW w:w="6525" w:type="dxa"/>
            <w:vAlign w:val="center"/>
          </w:tcPr>
          <w:p w14:paraId="0E23DE93">
            <w:pPr>
              <w:ind w:firstLine="420"/>
              <w:jc w:val="left"/>
              <w:rPr>
                <w:rFonts w:ascii="仿宋_GB2312" w:eastAsia="仿宋_GB2312"/>
                <w:szCs w:val="21"/>
              </w:rPr>
            </w:pPr>
            <w:r>
              <w:rPr>
                <w:rFonts w:hint="eastAsia" w:ascii="仿宋_GB2312" w:eastAsia="仿宋_GB2312"/>
                <w:szCs w:val="21"/>
              </w:rPr>
              <w:t>中债-综合全价（总值）指数收益率×82%+沪深300指数收益率×10%+中证港股通综合指数（人民币）收益率×3%+活期存款基准利率×5%</w:t>
            </w:r>
          </w:p>
        </w:tc>
      </w:tr>
      <w:tr w14:paraId="28D5FA9B">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701" w:type="dxa"/>
            <w:vAlign w:val="center"/>
          </w:tcPr>
          <w:p w14:paraId="4A8E306A">
            <w:pPr>
              <w:rPr>
                <w:rFonts w:ascii="仿宋_GB2312" w:eastAsia="仿宋_GB2312"/>
                <w:szCs w:val="21"/>
              </w:rPr>
            </w:pPr>
            <w:r>
              <w:rPr>
                <w:rFonts w:hint="eastAsia" w:ascii="仿宋_GB2312" w:eastAsia="仿宋_GB2312"/>
                <w:szCs w:val="21"/>
              </w:rPr>
              <w:t>风险收益特征</w:t>
            </w:r>
          </w:p>
        </w:tc>
        <w:tc>
          <w:tcPr>
            <w:tcW w:w="6525" w:type="dxa"/>
            <w:vAlign w:val="center"/>
          </w:tcPr>
          <w:p w14:paraId="0A582CF5">
            <w:pPr>
              <w:ind w:firstLine="420"/>
              <w:jc w:val="left"/>
              <w:rPr>
                <w:rFonts w:ascii="仿宋_GB2312" w:eastAsia="仿宋_GB2312"/>
                <w:szCs w:val="21"/>
              </w:rPr>
            </w:pPr>
            <w:r>
              <w:rPr>
                <w:rFonts w:hint="eastAsia" w:ascii="仿宋_GB2312" w:eastAsia="仿宋_GB2312"/>
                <w:szCs w:val="21"/>
              </w:rPr>
              <w:t>本基金是一只债券型基金，其预期风险与预期收益理论上高于货币市场基金，低于混合型基金和股票型基金。本基金可投资港股通标的股票，会面临港股通机制下因投资环境、投资标的、市场制度以及交易规则等差异带来的特有风险。</w:t>
            </w:r>
          </w:p>
        </w:tc>
      </w:tr>
    </w:tbl>
    <w:p w14:paraId="0D7F1808">
      <w:pPr>
        <w:jc w:val="left"/>
        <w:rPr>
          <w:rFonts w:ascii="仿宋_GB2312" w:hAnsi="宋体" w:eastAsia="仿宋_GB2312" w:cs="宋体"/>
          <w:kern w:val="0"/>
          <w:szCs w:val="21"/>
        </w:rPr>
      </w:pPr>
      <w:r>
        <w:rPr>
          <w:rFonts w:hint="eastAsia" w:ascii="仿宋_GB2312" w:hAnsi="宋体" w:eastAsia="仿宋_GB2312" w:cs="宋体"/>
          <w:kern w:val="0"/>
          <w:szCs w:val="21"/>
        </w:rPr>
        <w:t>注：</w:t>
      </w:r>
      <w:r>
        <w:rPr>
          <w:rFonts w:hint="eastAsia" w:ascii="仿宋_GB2312" w:eastAsia="仿宋_GB2312"/>
          <w:szCs w:val="21"/>
        </w:rPr>
        <w:t>详见《交银施罗德佳盛债券型证券投资基金招募说明书》第九部分“基金的投资”。</w:t>
      </w:r>
    </w:p>
    <w:p w14:paraId="62EFB4B9">
      <w:pPr>
        <w:jc w:val="left"/>
        <w:rPr>
          <w:rFonts w:ascii="仿宋_GB2312" w:eastAsia="仿宋_GB2312"/>
          <w:b/>
          <w:szCs w:val="21"/>
        </w:rPr>
      </w:pPr>
      <w:r>
        <w:rPr>
          <w:rFonts w:hint="eastAsia" w:ascii="仿宋_GB2312" w:eastAsia="仿宋_GB2312"/>
          <w:b/>
          <w:szCs w:val="21"/>
        </w:rPr>
        <w:t>（二）投资组合资产配置图表/区域配置图表</w:t>
      </w:r>
    </w:p>
    <w:p w14:paraId="31CC0380">
      <w:pPr>
        <w:ind w:left="420" w:firstLine="420" w:firstLineChars="200"/>
        <w:jc w:val="left"/>
        <w:rPr>
          <w:rFonts w:ascii="仿宋_GB2312" w:eastAsia="仿宋_GB2312"/>
          <w:szCs w:val="21"/>
        </w:rPr>
      </w:pPr>
      <w:r>
        <w:rPr>
          <w:rFonts w:hint="eastAsia" w:ascii="仿宋_GB2312" w:eastAsia="仿宋_GB2312"/>
          <w:szCs w:val="21"/>
        </w:rPr>
        <w:t>无。</w:t>
      </w:r>
    </w:p>
    <w:p w14:paraId="37049C28">
      <w:pPr>
        <w:jc w:val="left"/>
        <w:rPr>
          <w:rFonts w:ascii="仿宋_GB2312" w:eastAsia="仿宋_GB2312"/>
          <w:b/>
          <w:szCs w:val="21"/>
        </w:rPr>
      </w:pPr>
      <w:r>
        <w:rPr>
          <w:rFonts w:hint="eastAsia" w:ascii="仿宋_GB2312" w:eastAsia="仿宋_GB2312"/>
          <w:b/>
          <w:szCs w:val="21"/>
        </w:rPr>
        <w:t>（三）自基金合同生效以来/最近十年（孰短）基金每年的净值增长率及与同期业绩比较基准的比较图</w:t>
      </w:r>
    </w:p>
    <w:p w14:paraId="4E6E20C1">
      <w:pPr>
        <w:ind w:left="420" w:firstLine="420" w:firstLineChars="200"/>
        <w:jc w:val="left"/>
        <w:rPr>
          <w:rFonts w:ascii="仿宋_GB2312" w:eastAsia="仿宋_GB2312"/>
          <w:szCs w:val="21"/>
        </w:rPr>
      </w:pPr>
      <w:r>
        <w:rPr>
          <w:rFonts w:hint="eastAsia" w:ascii="仿宋_GB2312" w:eastAsia="仿宋_GB2312"/>
          <w:szCs w:val="21"/>
        </w:rPr>
        <w:t>无。</w:t>
      </w:r>
    </w:p>
    <w:p w14:paraId="6B5D35A7">
      <w:pPr>
        <w:jc w:val="left"/>
        <w:rPr>
          <w:rFonts w:ascii="仿宋_GB2312" w:hAnsi="宋体" w:eastAsia="仿宋_GB2312" w:cs="宋体"/>
          <w:b/>
          <w:kern w:val="0"/>
          <w:szCs w:val="21"/>
        </w:rPr>
      </w:pPr>
      <w:r>
        <w:rPr>
          <w:rFonts w:hint="eastAsia" w:ascii="仿宋_GB2312" w:hAnsi="宋体" w:eastAsia="仿宋_GB2312" w:cs="宋体"/>
          <w:b/>
          <w:kern w:val="0"/>
          <w:szCs w:val="21"/>
        </w:rPr>
        <w:t>三、投资本基金涉及的费用</w:t>
      </w:r>
    </w:p>
    <w:p w14:paraId="6C7444E4">
      <w:pPr>
        <w:jc w:val="left"/>
        <w:rPr>
          <w:rFonts w:ascii="仿宋_GB2312" w:hAnsi="宋体" w:eastAsia="仿宋_GB2312" w:cs="宋体"/>
          <w:b/>
          <w:kern w:val="0"/>
          <w:szCs w:val="21"/>
        </w:rPr>
      </w:pPr>
      <w:r>
        <w:rPr>
          <w:rFonts w:hint="eastAsia" w:ascii="仿宋_GB2312" w:hAnsi="宋体" w:eastAsia="仿宋_GB2312" w:cs="宋体"/>
          <w:b/>
          <w:kern w:val="0"/>
          <w:szCs w:val="21"/>
        </w:rPr>
        <w:t>（一）基金销售相关费用</w:t>
      </w:r>
    </w:p>
    <w:p w14:paraId="3C394A11">
      <w:pPr>
        <w:jc w:val="left"/>
        <w:rPr>
          <w:rFonts w:ascii="仿宋_GB2312" w:eastAsia="仿宋_GB2312"/>
          <w:szCs w:val="21"/>
        </w:rPr>
      </w:pPr>
      <w:r>
        <w:rPr>
          <w:rFonts w:hint="eastAsia" w:ascii="仿宋_GB2312" w:eastAsia="仿宋_GB2312"/>
          <w:szCs w:val="21"/>
        </w:rPr>
        <w:t>以下费用在认购/申购/赎回基金过程中收取：</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268"/>
        <w:gridCol w:w="2835"/>
        <w:gridCol w:w="2268"/>
        <w:gridCol w:w="1701"/>
      </w:tblGrid>
      <w:tr w14:paraId="055BC889">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268" w:type="dxa"/>
            <w:vAlign w:val="center"/>
          </w:tcPr>
          <w:p w14:paraId="123AC5EE">
            <w:pPr>
              <w:widowControl/>
              <w:jc w:val="left"/>
              <w:rPr>
                <w:rFonts w:ascii="仿宋_GB2312" w:eastAsia="仿宋_GB2312"/>
                <w:szCs w:val="21"/>
              </w:rPr>
            </w:pPr>
            <w:r>
              <w:rPr>
                <w:rFonts w:hint="eastAsia" w:ascii="仿宋_GB2312" w:hAnsi="宋体" w:eastAsia="仿宋_GB2312" w:cs="宋体"/>
                <w:kern w:val="0"/>
                <w:szCs w:val="21"/>
              </w:rPr>
              <w:t>费用类型</w:t>
            </w:r>
          </w:p>
        </w:tc>
        <w:tc>
          <w:tcPr>
            <w:tcW w:w="2835" w:type="dxa"/>
            <w:vAlign w:val="center"/>
          </w:tcPr>
          <w:p w14:paraId="714360B0">
            <w:pPr>
              <w:rPr>
                <w:rFonts w:ascii="仿宋_GB2312" w:eastAsia="仿宋_GB2312"/>
                <w:szCs w:val="21"/>
              </w:rPr>
            </w:pPr>
            <w:r>
              <w:rPr>
                <w:rFonts w:hint="eastAsia" w:ascii="仿宋_GB2312" w:eastAsia="仿宋_GB2312"/>
                <w:szCs w:val="21"/>
              </w:rPr>
              <w:t>份额（S）或金额（M）/持有期限（N）</w:t>
            </w:r>
          </w:p>
        </w:tc>
        <w:tc>
          <w:tcPr>
            <w:tcW w:w="2268" w:type="dxa"/>
            <w:vAlign w:val="center"/>
          </w:tcPr>
          <w:p w14:paraId="74D005AB">
            <w:pPr>
              <w:rPr>
                <w:rFonts w:ascii="仿宋_GB2312" w:eastAsia="仿宋_GB2312"/>
                <w:szCs w:val="21"/>
              </w:rPr>
            </w:pPr>
            <w:r>
              <w:rPr>
                <w:rFonts w:hint="eastAsia" w:ascii="仿宋_GB2312" w:eastAsia="仿宋_GB2312"/>
                <w:szCs w:val="21"/>
              </w:rPr>
              <w:t>收费方式/费率</w:t>
            </w:r>
          </w:p>
        </w:tc>
        <w:tc>
          <w:tcPr>
            <w:tcW w:w="1701" w:type="dxa"/>
            <w:vAlign w:val="center"/>
          </w:tcPr>
          <w:p w14:paraId="6B68C64F">
            <w:pPr>
              <w:widowControl/>
              <w:jc w:val="left"/>
              <w:rPr>
                <w:rFonts w:ascii="仿宋_GB2312" w:eastAsia="仿宋_GB2312"/>
                <w:szCs w:val="21"/>
              </w:rPr>
            </w:pPr>
            <w:r>
              <w:rPr>
                <w:rFonts w:hint="eastAsia" w:ascii="仿宋_GB2312" w:hAnsi="宋体" w:eastAsia="仿宋_GB2312" w:cs="宋体"/>
                <w:kern w:val="0"/>
                <w:szCs w:val="21"/>
              </w:rPr>
              <w:t>备注</w:t>
            </w:r>
          </w:p>
        </w:tc>
      </w:tr>
      <w:tr w14:paraId="52AB1858">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268" w:type="dxa"/>
            <w:vMerge w:val="restart"/>
            <w:vAlign w:val="center"/>
          </w:tcPr>
          <w:p w14:paraId="5E0829AC">
            <w:pPr>
              <w:widowControl/>
              <w:jc w:val="left"/>
              <w:rPr>
                <w:rFonts w:ascii="仿宋_GB2312" w:hAnsi="宋体" w:eastAsia="仿宋_GB2312" w:cs="宋体"/>
                <w:kern w:val="0"/>
                <w:szCs w:val="21"/>
              </w:rPr>
            </w:pPr>
            <w:r>
              <w:rPr>
                <w:rFonts w:hint="eastAsia" w:ascii="仿宋_GB2312" w:hAnsi="宋体" w:eastAsia="仿宋_GB2312" w:cs="宋体"/>
                <w:kern w:val="0"/>
                <w:szCs w:val="21"/>
              </w:rPr>
              <w:t>认购费</w:t>
            </w:r>
          </w:p>
        </w:tc>
        <w:tc>
          <w:tcPr>
            <w:tcW w:w="2835" w:type="dxa"/>
          </w:tcPr>
          <w:p w14:paraId="60289696">
            <w:pPr>
              <w:rPr>
                <w:rFonts w:ascii="仿宋_GB2312" w:eastAsia="仿宋_GB2312"/>
                <w:szCs w:val="21"/>
              </w:rPr>
            </w:pPr>
            <w:r>
              <w:rPr>
                <w:rFonts w:hint="eastAsia" w:ascii="仿宋_GB2312" w:eastAsia="仿宋_GB2312"/>
                <w:szCs w:val="21"/>
              </w:rPr>
              <w:t>M＜</w:t>
            </w:r>
            <w:r>
              <w:rPr>
                <w:rFonts w:ascii="仿宋_GB2312" w:eastAsia="仿宋_GB2312"/>
                <w:szCs w:val="21"/>
              </w:rPr>
              <w:t>100</w:t>
            </w:r>
            <w:r>
              <w:rPr>
                <w:rFonts w:hint="eastAsia" w:ascii="仿宋_GB2312" w:eastAsia="仿宋_GB2312"/>
                <w:szCs w:val="21"/>
              </w:rPr>
              <w:t>0万元</w:t>
            </w:r>
          </w:p>
        </w:tc>
        <w:tc>
          <w:tcPr>
            <w:tcW w:w="2268" w:type="dxa"/>
          </w:tcPr>
          <w:p w14:paraId="2974216F">
            <w:pPr>
              <w:rPr>
                <w:rFonts w:ascii="仿宋_GB2312" w:eastAsia="仿宋_GB2312"/>
                <w:szCs w:val="21"/>
              </w:rPr>
            </w:pPr>
            <w:r>
              <w:rPr>
                <w:rFonts w:ascii="仿宋_GB2312" w:eastAsia="仿宋_GB2312"/>
                <w:szCs w:val="21"/>
              </w:rPr>
              <w:t>0.</w:t>
            </w:r>
            <w:r>
              <w:rPr>
                <w:rFonts w:hint="eastAsia" w:ascii="仿宋_GB2312" w:eastAsia="仿宋_GB2312"/>
                <w:szCs w:val="21"/>
              </w:rPr>
              <w:t>3</w:t>
            </w:r>
            <w:r>
              <w:rPr>
                <w:rFonts w:ascii="仿宋_GB2312" w:eastAsia="仿宋_GB2312"/>
                <w:szCs w:val="21"/>
              </w:rPr>
              <w:t>%</w:t>
            </w:r>
          </w:p>
        </w:tc>
        <w:tc>
          <w:tcPr>
            <w:tcW w:w="1701" w:type="dxa"/>
            <w:vAlign w:val="center"/>
          </w:tcPr>
          <w:p w14:paraId="57D0D783">
            <w:pPr>
              <w:widowControl/>
              <w:jc w:val="left"/>
              <w:rPr>
                <w:rFonts w:ascii="仿宋_GB2312" w:hAnsi="宋体" w:eastAsia="仿宋_GB2312" w:cs="宋体"/>
                <w:kern w:val="0"/>
                <w:szCs w:val="21"/>
              </w:rPr>
            </w:pPr>
          </w:p>
        </w:tc>
      </w:tr>
      <w:tr w14:paraId="7616EB65">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268" w:type="dxa"/>
            <w:vMerge w:val="continue"/>
            <w:vAlign w:val="center"/>
          </w:tcPr>
          <w:p w14:paraId="0BE3D34F">
            <w:pPr>
              <w:widowControl/>
              <w:jc w:val="left"/>
              <w:rPr>
                <w:rFonts w:ascii="仿宋_GB2312" w:hAnsi="宋体" w:eastAsia="仿宋_GB2312" w:cs="宋体"/>
                <w:kern w:val="0"/>
                <w:szCs w:val="21"/>
              </w:rPr>
            </w:pPr>
          </w:p>
        </w:tc>
        <w:tc>
          <w:tcPr>
            <w:tcW w:w="2835" w:type="dxa"/>
          </w:tcPr>
          <w:p w14:paraId="5868FE49">
            <w:pPr>
              <w:rPr>
                <w:rFonts w:ascii="仿宋_GB2312" w:eastAsia="仿宋_GB2312"/>
                <w:szCs w:val="21"/>
              </w:rPr>
            </w:pPr>
            <w:r>
              <w:rPr>
                <w:rFonts w:hint="eastAsia" w:ascii="仿宋_GB2312" w:eastAsia="仿宋_GB2312"/>
                <w:szCs w:val="21"/>
              </w:rPr>
              <w:t>1000万元≤M</w:t>
            </w:r>
          </w:p>
        </w:tc>
        <w:tc>
          <w:tcPr>
            <w:tcW w:w="2268" w:type="dxa"/>
          </w:tcPr>
          <w:p w14:paraId="464593B4">
            <w:pPr>
              <w:rPr>
                <w:rFonts w:ascii="仿宋_GB2312" w:eastAsia="仿宋_GB2312"/>
                <w:szCs w:val="21"/>
              </w:rPr>
            </w:pPr>
            <w:r>
              <w:rPr>
                <w:rFonts w:ascii="仿宋_GB2312" w:eastAsia="仿宋_GB2312"/>
                <w:szCs w:val="21"/>
              </w:rPr>
              <w:t>1000</w:t>
            </w:r>
            <w:r>
              <w:rPr>
                <w:rFonts w:hint="eastAsia" w:ascii="仿宋_GB2312" w:eastAsia="仿宋_GB2312"/>
                <w:szCs w:val="21"/>
              </w:rPr>
              <w:t>元每笔</w:t>
            </w:r>
          </w:p>
        </w:tc>
        <w:tc>
          <w:tcPr>
            <w:tcW w:w="1701" w:type="dxa"/>
            <w:vAlign w:val="center"/>
          </w:tcPr>
          <w:p w14:paraId="012C9EF7">
            <w:pPr>
              <w:widowControl/>
              <w:jc w:val="left"/>
              <w:rPr>
                <w:rFonts w:ascii="仿宋_GB2312" w:hAnsi="宋体" w:eastAsia="仿宋_GB2312" w:cs="宋体"/>
                <w:kern w:val="0"/>
                <w:szCs w:val="21"/>
              </w:rPr>
            </w:pPr>
          </w:p>
        </w:tc>
      </w:tr>
      <w:tr w14:paraId="61850F09">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268" w:type="dxa"/>
            <w:vMerge w:val="restart"/>
            <w:vAlign w:val="center"/>
          </w:tcPr>
          <w:p w14:paraId="7442B6C9">
            <w:pPr>
              <w:widowControl/>
              <w:jc w:val="left"/>
              <w:rPr>
                <w:rFonts w:ascii="仿宋_GB2312" w:hAnsi="宋体" w:eastAsia="仿宋_GB2312" w:cs="宋体"/>
                <w:kern w:val="0"/>
                <w:szCs w:val="21"/>
              </w:rPr>
            </w:pPr>
            <w:r>
              <w:rPr>
                <w:rFonts w:hint="eastAsia" w:ascii="仿宋_GB2312" w:hAnsi="宋体" w:eastAsia="仿宋_GB2312" w:cs="宋体"/>
                <w:kern w:val="0"/>
                <w:szCs w:val="21"/>
              </w:rPr>
              <w:t>申购费（前收费）</w:t>
            </w:r>
          </w:p>
        </w:tc>
        <w:tc>
          <w:tcPr>
            <w:tcW w:w="2835" w:type="dxa"/>
          </w:tcPr>
          <w:p w14:paraId="38012466">
            <w:pPr>
              <w:rPr>
                <w:rFonts w:ascii="仿宋_GB2312" w:eastAsia="仿宋_GB2312"/>
                <w:szCs w:val="21"/>
              </w:rPr>
            </w:pPr>
            <w:r>
              <w:rPr>
                <w:rFonts w:hint="eastAsia" w:ascii="仿宋_GB2312" w:eastAsia="仿宋_GB2312"/>
                <w:szCs w:val="21"/>
              </w:rPr>
              <w:t>M＜</w:t>
            </w:r>
            <w:r>
              <w:rPr>
                <w:rFonts w:ascii="仿宋_GB2312" w:eastAsia="仿宋_GB2312"/>
                <w:szCs w:val="21"/>
              </w:rPr>
              <w:t>100</w:t>
            </w:r>
            <w:r>
              <w:rPr>
                <w:rFonts w:hint="eastAsia" w:ascii="仿宋_GB2312" w:eastAsia="仿宋_GB2312"/>
                <w:szCs w:val="21"/>
              </w:rPr>
              <w:t>0万元</w:t>
            </w:r>
          </w:p>
        </w:tc>
        <w:tc>
          <w:tcPr>
            <w:tcW w:w="2268" w:type="dxa"/>
            <w:vAlign w:val="center"/>
          </w:tcPr>
          <w:p w14:paraId="12F72E0C">
            <w:pPr>
              <w:rPr>
                <w:rFonts w:ascii="仿宋_GB2312" w:eastAsia="仿宋_GB2312"/>
                <w:szCs w:val="21"/>
              </w:rPr>
            </w:pPr>
            <w:r>
              <w:rPr>
                <w:rFonts w:ascii="仿宋_GB2312" w:eastAsia="仿宋_GB2312"/>
                <w:szCs w:val="21"/>
              </w:rPr>
              <w:t>0.</w:t>
            </w:r>
            <w:r>
              <w:rPr>
                <w:rFonts w:hint="eastAsia" w:ascii="仿宋_GB2312" w:eastAsia="仿宋_GB2312"/>
                <w:szCs w:val="21"/>
              </w:rPr>
              <w:t>3%</w:t>
            </w:r>
          </w:p>
        </w:tc>
        <w:tc>
          <w:tcPr>
            <w:tcW w:w="1701" w:type="dxa"/>
            <w:vAlign w:val="center"/>
          </w:tcPr>
          <w:p w14:paraId="0BF2A92A">
            <w:pPr>
              <w:widowControl/>
              <w:jc w:val="left"/>
              <w:rPr>
                <w:rFonts w:ascii="仿宋_GB2312" w:hAnsi="宋体" w:eastAsia="仿宋_GB2312" w:cs="宋体"/>
                <w:kern w:val="0"/>
                <w:szCs w:val="21"/>
              </w:rPr>
            </w:pPr>
          </w:p>
        </w:tc>
      </w:tr>
      <w:tr w14:paraId="63618B75">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268" w:type="dxa"/>
            <w:vMerge w:val="continue"/>
            <w:vAlign w:val="center"/>
          </w:tcPr>
          <w:p w14:paraId="5326199F">
            <w:pPr>
              <w:widowControl/>
              <w:jc w:val="left"/>
              <w:rPr>
                <w:rFonts w:ascii="仿宋_GB2312" w:hAnsi="宋体" w:eastAsia="仿宋_GB2312" w:cs="宋体"/>
                <w:kern w:val="0"/>
                <w:szCs w:val="21"/>
              </w:rPr>
            </w:pPr>
          </w:p>
        </w:tc>
        <w:tc>
          <w:tcPr>
            <w:tcW w:w="2835" w:type="dxa"/>
          </w:tcPr>
          <w:p w14:paraId="51DE17D9">
            <w:pPr>
              <w:rPr>
                <w:rFonts w:ascii="仿宋_GB2312" w:eastAsia="仿宋_GB2312"/>
                <w:szCs w:val="21"/>
              </w:rPr>
            </w:pPr>
            <w:r>
              <w:rPr>
                <w:rFonts w:hint="eastAsia" w:ascii="仿宋_GB2312" w:eastAsia="仿宋_GB2312"/>
                <w:szCs w:val="21"/>
              </w:rPr>
              <w:t>1000万元≤M</w:t>
            </w:r>
          </w:p>
        </w:tc>
        <w:tc>
          <w:tcPr>
            <w:tcW w:w="2268" w:type="dxa"/>
            <w:vAlign w:val="center"/>
          </w:tcPr>
          <w:p w14:paraId="79EB4C9B">
            <w:pPr>
              <w:rPr>
                <w:rFonts w:ascii="仿宋_GB2312" w:eastAsia="仿宋_GB2312"/>
                <w:szCs w:val="21"/>
              </w:rPr>
            </w:pPr>
            <w:r>
              <w:rPr>
                <w:rFonts w:hint="eastAsia" w:ascii="仿宋_GB2312" w:eastAsia="仿宋_GB2312"/>
                <w:szCs w:val="21"/>
              </w:rPr>
              <w:t>1000元每笔</w:t>
            </w:r>
          </w:p>
        </w:tc>
        <w:tc>
          <w:tcPr>
            <w:tcW w:w="1701" w:type="dxa"/>
            <w:vAlign w:val="center"/>
          </w:tcPr>
          <w:p w14:paraId="748A7832">
            <w:pPr>
              <w:widowControl/>
              <w:jc w:val="left"/>
              <w:rPr>
                <w:rFonts w:ascii="仿宋_GB2312" w:hAnsi="宋体" w:eastAsia="仿宋_GB2312" w:cs="宋体"/>
                <w:kern w:val="0"/>
                <w:szCs w:val="21"/>
              </w:rPr>
            </w:pPr>
          </w:p>
        </w:tc>
      </w:tr>
      <w:tr w14:paraId="532B7FC3">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268" w:type="dxa"/>
            <w:vMerge w:val="restart"/>
            <w:vAlign w:val="center"/>
          </w:tcPr>
          <w:p w14:paraId="6D3876DC">
            <w:pPr>
              <w:widowControl/>
              <w:jc w:val="left"/>
              <w:rPr>
                <w:rFonts w:ascii="仿宋_GB2312" w:hAnsi="宋体" w:eastAsia="仿宋_GB2312" w:cs="宋体"/>
                <w:kern w:val="0"/>
                <w:szCs w:val="21"/>
              </w:rPr>
            </w:pPr>
            <w:r>
              <w:rPr>
                <w:rFonts w:hint="eastAsia" w:ascii="仿宋_GB2312" w:hAnsi="宋体" w:eastAsia="仿宋_GB2312" w:cs="宋体"/>
                <w:kern w:val="0"/>
                <w:szCs w:val="21"/>
              </w:rPr>
              <w:t>赎回费</w:t>
            </w:r>
          </w:p>
        </w:tc>
        <w:tc>
          <w:tcPr>
            <w:tcW w:w="2835" w:type="dxa"/>
          </w:tcPr>
          <w:p w14:paraId="6DA1E373">
            <w:pPr>
              <w:rPr>
                <w:rFonts w:ascii="仿宋_GB2312" w:eastAsia="仿宋_GB2312"/>
                <w:szCs w:val="21"/>
              </w:rPr>
            </w:pPr>
            <w:r>
              <w:rPr>
                <w:rFonts w:hint="eastAsia" w:ascii="仿宋_GB2312" w:eastAsia="仿宋_GB2312"/>
                <w:szCs w:val="21"/>
              </w:rPr>
              <w:t>N＜7天</w:t>
            </w:r>
          </w:p>
        </w:tc>
        <w:tc>
          <w:tcPr>
            <w:tcW w:w="2268" w:type="dxa"/>
            <w:vAlign w:val="center"/>
          </w:tcPr>
          <w:p w14:paraId="6F28BB06">
            <w:pPr>
              <w:rPr>
                <w:rFonts w:ascii="仿宋_GB2312" w:eastAsia="仿宋_GB2312"/>
                <w:szCs w:val="21"/>
              </w:rPr>
            </w:pPr>
            <w:r>
              <w:rPr>
                <w:rFonts w:hint="eastAsia" w:ascii="仿宋_GB2312" w:eastAsia="仿宋_GB2312"/>
                <w:szCs w:val="21"/>
              </w:rPr>
              <w:t>1</w:t>
            </w:r>
            <w:r>
              <w:rPr>
                <w:rFonts w:ascii="仿宋_GB2312" w:eastAsia="仿宋_GB2312"/>
                <w:szCs w:val="21"/>
              </w:rPr>
              <w:t>.5</w:t>
            </w:r>
            <w:r>
              <w:rPr>
                <w:rFonts w:hint="eastAsia" w:ascii="仿宋_GB2312" w:eastAsia="仿宋_GB2312"/>
                <w:szCs w:val="21"/>
              </w:rPr>
              <w:t>%</w:t>
            </w:r>
          </w:p>
        </w:tc>
        <w:tc>
          <w:tcPr>
            <w:tcW w:w="1701" w:type="dxa"/>
            <w:vAlign w:val="center"/>
          </w:tcPr>
          <w:p w14:paraId="70F7C109">
            <w:pPr>
              <w:widowControl/>
              <w:jc w:val="left"/>
              <w:rPr>
                <w:rFonts w:ascii="仿宋_GB2312" w:hAnsi="宋体" w:eastAsia="仿宋_GB2312" w:cs="宋体"/>
                <w:kern w:val="0"/>
                <w:szCs w:val="21"/>
              </w:rPr>
            </w:pPr>
            <w:r>
              <w:rPr>
                <w:rFonts w:hint="eastAsia" w:ascii="仿宋_GB2312" w:hAnsi="宋体" w:eastAsia="仿宋_GB2312" w:cs="宋体"/>
                <w:kern w:val="0"/>
                <w:szCs w:val="21"/>
              </w:rPr>
              <w:t>个人投资者</w:t>
            </w:r>
          </w:p>
        </w:tc>
      </w:tr>
      <w:tr w14:paraId="28569EBF">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268" w:type="dxa"/>
            <w:vMerge w:val="continue"/>
            <w:vAlign w:val="center"/>
          </w:tcPr>
          <w:p w14:paraId="0CB4A089">
            <w:pPr>
              <w:widowControl/>
              <w:jc w:val="left"/>
              <w:rPr>
                <w:rFonts w:ascii="仿宋_GB2312" w:hAnsi="宋体" w:eastAsia="仿宋_GB2312" w:cs="宋体"/>
                <w:kern w:val="0"/>
                <w:szCs w:val="21"/>
              </w:rPr>
            </w:pPr>
          </w:p>
        </w:tc>
        <w:tc>
          <w:tcPr>
            <w:tcW w:w="2835" w:type="dxa"/>
          </w:tcPr>
          <w:p w14:paraId="71D9780F">
            <w:pPr>
              <w:rPr>
                <w:rFonts w:ascii="仿宋_GB2312" w:eastAsia="仿宋_GB2312"/>
                <w:szCs w:val="21"/>
              </w:rPr>
            </w:pPr>
            <w:r>
              <w:rPr>
                <w:rFonts w:hint="eastAsia" w:ascii="仿宋_GB2312" w:eastAsia="仿宋_GB2312"/>
                <w:szCs w:val="21"/>
              </w:rPr>
              <w:t>7天≤N</w:t>
            </w:r>
          </w:p>
        </w:tc>
        <w:tc>
          <w:tcPr>
            <w:tcW w:w="2268" w:type="dxa"/>
          </w:tcPr>
          <w:p w14:paraId="2B810184">
            <w:pPr>
              <w:rPr>
                <w:rFonts w:ascii="仿宋_GB2312" w:eastAsia="仿宋_GB2312"/>
                <w:szCs w:val="21"/>
              </w:rPr>
            </w:pPr>
            <w:r>
              <w:rPr>
                <w:rFonts w:hint="eastAsia" w:ascii="仿宋_GB2312" w:eastAsia="仿宋_GB2312"/>
                <w:szCs w:val="21"/>
              </w:rPr>
              <w:t>0%</w:t>
            </w:r>
          </w:p>
        </w:tc>
        <w:tc>
          <w:tcPr>
            <w:tcW w:w="1701" w:type="dxa"/>
            <w:vAlign w:val="center"/>
          </w:tcPr>
          <w:p w14:paraId="57ABC45B">
            <w:pPr>
              <w:widowControl/>
              <w:jc w:val="left"/>
              <w:rPr>
                <w:rFonts w:ascii="仿宋_GB2312" w:hAnsi="宋体" w:eastAsia="仿宋_GB2312" w:cs="宋体"/>
                <w:kern w:val="0"/>
                <w:szCs w:val="21"/>
              </w:rPr>
            </w:pPr>
            <w:r>
              <w:rPr>
                <w:rFonts w:hint="eastAsia" w:ascii="仿宋_GB2312" w:hAnsi="宋体" w:eastAsia="仿宋_GB2312" w:cs="宋体"/>
                <w:kern w:val="0"/>
                <w:szCs w:val="21"/>
              </w:rPr>
              <w:t>个人投资者</w:t>
            </w:r>
          </w:p>
        </w:tc>
      </w:tr>
      <w:tr w14:paraId="7D0C7C36">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268" w:type="dxa"/>
            <w:vMerge w:val="continue"/>
            <w:vAlign w:val="center"/>
          </w:tcPr>
          <w:p w14:paraId="245D46FC">
            <w:pPr>
              <w:widowControl/>
              <w:jc w:val="left"/>
              <w:rPr>
                <w:rFonts w:ascii="仿宋_GB2312" w:hAnsi="宋体" w:eastAsia="仿宋_GB2312" w:cs="宋体"/>
                <w:kern w:val="0"/>
                <w:szCs w:val="21"/>
              </w:rPr>
            </w:pPr>
          </w:p>
        </w:tc>
        <w:tc>
          <w:tcPr>
            <w:tcW w:w="2835" w:type="dxa"/>
          </w:tcPr>
          <w:p w14:paraId="4B0DD352">
            <w:pPr>
              <w:rPr>
                <w:rFonts w:ascii="仿宋_GB2312" w:eastAsia="仿宋_GB2312"/>
                <w:szCs w:val="21"/>
              </w:rPr>
            </w:pPr>
            <w:r>
              <w:rPr>
                <w:rFonts w:hint="eastAsia" w:ascii="仿宋_GB2312" w:eastAsia="仿宋_GB2312"/>
                <w:szCs w:val="21"/>
              </w:rPr>
              <w:t>N＜7天</w:t>
            </w:r>
          </w:p>
        </w:tc>
        <w:tc>
          <w:tcPr>
            <w:tcW w:w="2268" w:type="dxa"/>
            <w:vAlign w:val="center"/>
          </w:tcPr>
          <w:p w14:paraId="3D0B802E">
            <w:pPr>
              <w:rPr>
                <w:rFonts w:ascii="仿宋_GB2312" w:eastAsia="仿宋_GB2312"/>
                <w:szCs w:val="21"/>
              </w:rPr>
            </w:pPr>
            <w:r>
              <w:rPr>
                <w:rFonts w:hint="eastAsia" w:ascii="仿宋_GB2312" w:eastAsia="仿宋_GB2312"/>
                <w:szCs w:val="21"/>
              </w:rPr>
              <w:t>1</w:t>
            </w:r>
            <w:r>
              <w:rPr>
                <w:rFonts w:ascii="仿宋_GB2312" w:eastAsia="仿宋_GB2312"/>
                <w:szCs w:val="21"/>
              </w:rPr>
              <w:t>.5</w:t>
            </w:r>
            <w:r>
              <w:rPr>
                <w:rFonts w:hint="eastAsia" w:ascii="仿宋_GB2312" w:eastAsia="仿宋_GB2312"/>
                <w:szCs w:val="21"/>
              </w:rPr>
              <w:t>%</w:t>
            </w:r>
          </w:p>
        </w:tc>
        <w:tc>
          <w:tcPr>
            <w:tcW w:w="1701" w:type="dxa"/>
            <w:vAlign w:val="center"/>
          </w:tcPr>
          <w:p w14:paraId="5A3CF5C8">
            <w:pPr>
              <w:widowControl/>
              <w:jc w:val="left"/>
              <w:rPr>
                <w:rFonts w:ascii="仿宋_GB2312" w:hAnsi="宋体" w:eastAsia="仿宋_GB2312" w:cs="宋体"/>
                <w:kern w:val="0"/>
                <w:szCs w:val="21"/>
              </w:rPr>
            </w:pPr>
            <w:r>
              <w:rPr>
                <w:rFonts w:hint="eastAsia" w:ascii="仿宋_GB2312" w:hAnsi="宋体" w:eastAsia="仿宋_GB2312" w:cs="宋体"/>
                <w:kern w:val="0"/>
                <w:szCs w:val="21"/>
              </w:rPr>
              <w:t>机构投资者</w:t>
            </w:r>
          </w:p>
        </w:tc>
      </w:tr>
      <w:tr w14:paraId="3D80B884">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268" w:type="dxa"/>
            <w:vMerge w:val="continue"/>
            <w:vAlign w:val="center"/>
          </w:tcPr>
          <w:p w14:paraId="69EA8978">
            <w:pPr>
              <w:widowControl/>
              <w:jc w:val="left"/>
              <w:rPr>
                <w:rFonts w:ascii="仿宋_GB2312" w:hAnsi="宋体" w:eastAsia="仿宋_GB2312" w:cs="宋体"/>
                <w:kern w:val="0"/>
                <w:szCs w:val="21"/>
              </w:rPr>
            </w:pPr>
          </w:p>
        </w:tc>
        <w:tc>
          <w:tcPr>
            <w:tcW w:w="2835" w:type="dxa"/>
          </w:tcPr>
          <w:p w14:paraId="6B1F325E">
            <w:pPr>
              <w:rPr>
                <w:rFonts w:ascii="仿宋_GB2312" w:eastAsia="仿宋_GB2312"/>
                <w:szCs w:val="21"/>
              </w:rPr>
            </w:pPr>
            <w:r>
              <w:rPr>
                <w:rFonts w:hint="eastAsia" w:ascii="仿宋_GB2312" w:eastAsia="仿宋_GB2312"/>
                <w:szCs w:val="21"/>
              </w:rPr>
              <w:t>7天≤N＜30天</w:t>
            </w:r>
          </w:p>
        </w:tc>
        <w:tc>
          <w:tcPr>
            <w:tcW w:w="2268" w:type="dxa"/>
          </w:tcPr>
          <w:p w14:paraId="012464CA">
            <w:pPr>
              <w:rPr>
                <w:rFonts w:ascii="仿宋_GB2312" w:eastAsia="仿宋_GB2312"/>
                <w:szCs w:val="21"/>
              </w:rPr>
            </w:pPr>
            <w:r>
              <w:rPr>
                <w:rFonts w:hint="eastAsia" w:ascii="仿宋_GB2312" w:eastAsia="仿宋_GB2312"/>
                <w:szCs w:val="21"/>
              </w:rPr>
              <w:t>1%</w:t>
            </w:r>
          </w:p>
        </w:tc>
        <w:tc>
          <w:tcPr>
            <w:tcW w:w="1701" w:type="dxa"/>
            <w:vAlign w:val="center"/>
          </w:tcPr>
          <w:p w14:paraId="0CB39859">
            <w:pPr>
              <w:widowControl/>
              <w:jc w:val="left"/>
              <w:rPr>
                <w:rFonts w:ascii="仿宋_GB2312" w:hAnsi="宋体" w:eastAsia="仿宋_GB2312" w:cs="宋体"/>
                <w:kern w:val="0"/>
                <w:szCs w:val="21"/>
              </w:rPr>
            </w:pPr>
            <w:r>
              <w:rPr>
                <w:rFonts w:hint="eastAsia" w:ascii="仿宋_GB2312" w:hAnsi="宋体" w:eastAsia="仿宋_GB2312" w:cs="宋体"/>
                <w:kern w:val="0"/>
                <w:szCs w:val="21"/>
              </w:rPr>
              <w:t>机构投资者</w:t>
            </w:r>
          </w:p>
        </w:tc>
      </w:tr>
      <w:tr w14:paraId="2A6F5223">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268" w:type="dxa"/>
            <w:vMerge w:val="continue"/>
            <w:vAlign w:val="center"/>
          </w:tcPr>
          <w:p w14:paraId="637A6DD0">
            <w:pPr>
              <w:widowControl/>
              <w:jc w:val="left"/>
              <w:rPr>
                <w:rFonts w:ascii="仿宋_GB2312" w:hAnsi="宋体" w:eastAsia="仿宋_GB2312" w:cs="宋体"/>
                <w:kern w:val="0"/>
                <w:szCs w:val="21"/>
              </w:rPr>
            </w:pPr>
          </w:p>
        </w:tc>
        <w:tc>
          <w:tcPr>
            <w:tcW w:w="2835" w:type="dxa"/>
          </w:tcPr>
          <w:p w14:paraId="2E005FB7">
            <w:pPr>
              <w:rPr>
                <w:rFonts w:ascii="仿宋_GB2312" w:eastAsia="仿宋_GB2312"/>
                <w:szCs w:val="21"/>
              </w:rPr>
            </w:pPr>
            <w:r>
              <w:rPr>
                <w:rFonts w:hint="eastAsia" w:ascii="仿宋_GB2312" w:eastAsia="仿宋_GB2312"/>
                <w:szCs w:val="21"/>
              </w:rPr>
              <w:t>30天≤N</w:t>
            </w:r>
          </w:p>
        </w:tc>
        <w:tc>
          <w:tcPr>
            <w:tcW w:w="2268" w:type="dxa"/>
            <w:vAlign w:val="center"/>
          </w:tcPr>
          <w:p w14:paraId="18C22339">
            <w:pPr>
              <w:rPr>
                <w:rFonts w:ascii="仿宋_GB2312" w:eastAsia="仿宋_GB2312"/>
                <w:szCs w:val="21"/>
              </w:rPr>
            </w:pPr>
            <w:r>
              <w:rPr>
                <w:rFonts w:hint="eastAsia" w:ascii="仿宋_GB2312" w:eastAsia="仿宋_GB2312"/>
                <w:szCs w:val="21"/>
              </w:rPr>
              <w:t>0%</w:t>
            </w:r>
          </w:p>
        </w:tc>
        <w:tc>
          <w:tcPr>
            <w:tcW w:w="1701" w:type="dxa"/>
            <w:vAlign w:val="center"/>
          </w:tcPr>
          <w:p w14:paraId="4244D24B">
            <w:pPr>
              <w:widowControl/>
              <w:jc w:val="left"/>
              <w:rPr>
                <w:rFonts w:ascii="仿宋_GB2312" w:hAnsi="宋体" w:eastAsia="仿宋_GB2312" w:cs="宋体"/>
                <w:kern w:val="0"/>
                <w:szCs w:val="21"/>
              </w:rPr>
            </w:pPr>
            <w:r>
              <w:rPr>
                <w:rFonts w:hint="eastAsia" w:ascii="仿宋_GB2312" w:hAnsi="宋体" w:eastAsia="仿宋_GB2312" w:cs="宋体"/>
                <w:kern w:val="0"/>
                <w:szCs w:val="21"/>
              </w:rPr>
              <w:t>机构投资者</w:t>
            </w:r>
          </w:p>
        </w:tc>
      </w:tr>
    </w:tbl>
    <w:p w14:paraId="0DAA4108">
      <w:pPr>
        <w:jc w:val="left"/>
        <w:rPr>
          <w:rFonts w:ascii="仿宋_GB2312" w:eastAsia="仿宋_GB2312"/>
          <w:szCs w:val="21"/>
        </w:rPr>
      </w:pPr>
      <w:r>
        <w:rPr>
          <w:rFonts w:hint="eastAsia" w:ascii="仿宋_GB2312" w:eastAsia="仿宋_GB2312"/>
          <w:szCs w:val="21"/>
        </w:rPr>
        <w:t>注：1、通过直销机构认购/申购的A类基金份额，不收取认购/申购费用。2、本基金对持续持有期少于7日的投资人收取1.5%的赎回费，请投资人予以关注。3、销售机构若有其他费率优惠请见基金管理人或其他销售机构的有关公告或通知。</w:t>
      </w:r>
    </w:p>
    <w:p w14:paraId="0F558E49">
      <w:pPr>
        <w:jc w:val="left"/>
        <w:rPr>
          <w:rFonts w:ascii="仿宋_GB2312" w:eastAsia="仿宋_GB2312"/>
          <w:b/>
          <w:szCs w:val="21"/>
        </w:rPr>
      </w:pPr>
      <w:r>
        <w:rPr>
          <w:rFonts w:hint="eastAsia" w:ascii="仿宋_GB2312" w:eastAsia="仿宋_GB2312"/>
          <w:b/>
          <w:szCs w:val="21"/>
        </w:rPr>
        <w:t>（二）基金运作相关费用</w:t>
      </w:r>
    </w:p>
    <w:p w14:paraId="31DA18D1">
      <w:pPr>
        <w:jc w:val="left"/>
        <w:rPr>
          <w:rFonts w:ascii="仿宋_GB2312" w:hAnsi="宋体" w:eastAsia="仿宋_GB2312" w:cs="宋体"/>
          <w:kern w:val="0"/>
          <w:szCs w:val="21"/>
        </w:rPr>
      </w:pPr>
      <w:r>
        <w:rPr>
          <w:rFonts w:hint="eastAsia" w:ascii="仿宋_GB2312" w:hAnsi="宋体" w:eastAsia="仿宋_GB2312" w:cs="宋体"/>
          <w:kern w:val="0"/>
          <w:szCs w:val="21"/>
        </w:rPr>
        <w:t>以下费用将从基金资产中扣除：</w:t>
      </w:r>
    </w:p>
    <w:tbl>
      <w:tblPr>
        <w:tblStyle w:val="18"/>
        <w:tblW w:w="9403"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400"/>
        <w:gridCol w:w="3935"/>
        <w:gridCol w:w="3068"/>
      </w:tblGrid>
      <w:tr w14:paraId="260287F0">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Pr>
          <w:p w14:paraId="4491F9BF">
            <w:pPr>
              <w:rPr>
                <w:rFonts w:ascii="仿宋_GB2312" w:eastAsia="仿宋_GB2312"/>
                <w:b/>
                <w:kern w:val="0"/>
                <w:szCs w:val="21"/>
              </w:rPr>
            </w:pPr>
            <w:r>
              <w:rPr>
                <w:rFonts w:hint="eastAsia" w:ascii="仿宋_GB2312" w:eastAsia="仿宋_GB2312"/>
                <w:b/>
                <w:kern w:val="0"/>
                <w:sz w:val="20"/>
                <w:szCs w:val="21"/>
              </w:rPr>
              <w:t>费用类别</w:t>
            </w:r>
          </w:p>
        </w:tc>
        <w:tc>
          <w:tcPr>
            <w:tcW w:w="3935" w:type="dxa"/>
            <w:vAlign w:val="center"/>
          </w:tcPr>
          <w:p w14:paraId="4D4EDFF5">
            <w:pPr>
              <w:rPr>
                <w:rFonts w:ascii="仿宋_GB2312" w:eastAsia="仿宋_GB2312"/>
                <w:b/>
                <w:kern w:val="0"/>
                <w:szCs w:val="21"/>
              </w:rPr>
            </w:pPr>
            <w:r>
              <w:rPr>
                <w:rFonts w:hint="eastAsia" w:ascii="仿宋_GB2312" w:hAnsi="宋体" w:eastAsia="仿宋_GB2312" w:cs="宋体"/>
                <w:b/>
                <w:kern w:val="0"/>
                <w:sz w:val="20"/>
                <w:szCs w:val="21"/>
              </w:rPr>
              <w:t>收费方式</w:t>
            </w:r>
            <w:r>
              <w:rPr>
                <w:rFonts w:ascii="仿宋_GB2312" w:eastAsia="仿宋_GB2312" w:cs="FZFSJW--GB1-0"/>
                <w:b/>
                <w:kern w:val="0"/>
                <w:sz w:val="20"/>
                <w:szCs w:val="21"/>
              </w:rPr>
              <w:t>/</w:t>
            </w:r>
            <w:r>
              <w:rPr>
                <w:rFonts w:hint="eastAsia" w:ascii="仿宋_GB2312" w:hAnsi="宋体" w:eastAsia="仿宋_GB2312" w:cs="宋体"/>
                <w:b/>
                <w:kern w:val="0"/>
                <w:sz w:val="20"/>
                <w:szCs w:val="21"/>
              </w:rPr>
              <w:t>年费率或金额</w:t>
            </w:r>
          </w:p>
        </w:tc>
        <w:tc>
          <w:tcPr>
            <w:tcW w:w="3068" w:type="dxa"/>
            <w:vAlign w:val="center"/>
          </w:tcPr>
          <w:p w14:paraId="546092CE">
            <w:pPr>
              <w:rPr>
                <w:rFonts w:ascii="仿宋_GB2312" w:hAnsi="宋体" w:eastAsia="仿宋_GB2312" w:cs="宋体"/>
                <w:b/>
                <w:kern w:val="0"/>
                <w:szCs w:val="21"/>
              </w:rPr>
            </w:pPr>
            <w:r>
              <w:rPr>
                <w:rFonts w:hint="eastAsia" w:ascii="仿宋_GB2312" w:hAnsi="宋体" w:eastAsia="仿宋_GB2312" w:cs="宋体"/>
                <w:b/>
                <w:kern w:val="0"/>
                <w:sz w:val="20"/>
                <w:szCs w:val="21"/>
              </w:rPr>
              <w:t>收取方</w:t>
            </w:r>
          </w:p>
        </w:tc>
      </w:tr>
      <w:tr w14:paraId="31964435">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Pr>
          <w:p w14:paraId="4CDB8C91">
            <w:pPr>
              <w:rPr>
                <w:rFonts w:ascii="仿宋_GB2312" w:eastAsia="仿宋_GB2312"/>
                <w:kern w:val="0"/>
                <w:szCs w:val="21"/>
              </w:rPr>
            </w:pPr>
            <w:r>
              <w:rPr>
                <w:rFonts w:hint="eastAsia" w:ascii="仿宋_GB2312" w:eastAsia="仿宋_GB2312"/>
                <w:kern w:val="0"/>
                <w:sz w:val="20"/>
                <w:szCs w:val="21"/>
              </w:rPr>
              <w:t>管理费</w:t>
            </w:r>
          </w:p>
        </w:tc>
        <w:tc>
          <w:tcPr>
            <w:tcW w:w="3935" w:type="dxa"/>
            <w:vAlign w:val="center"/>
          </w:tcPr>
          <w:p w14:paraId="440C7314">
            <w:pPr>
              <w:rPr>
                <w:rFonts w:ascii="仿宋_GB2312" w:eastAsia="仿宋_GB2312"/>
                <w:kern w:val="0"/>
                <w:szCs w:val="21"/>
              </w:rPr>
            </w:pPr>
            <w:r>
              <w:rPr>
                <w:rFonts w:ascii="仿宋_GB2312" w:eastAsia="仿宋_GB2312"/>
                <w:kern w:val="0"/>
                <w:sz w:val="20"/>
                <w:szCs w:val="21"/>
              </w:rPr>
              <w:t>0.5%</w:t>
            </w:r>
          </w:p>
        </w:tc>
        <w:tc>
          <w:tcPr>
            <w:tcW w:w="3068" w:type="dxa"/>
            <w:vAlign w:val="center"/>
          </w:tcPr>
          <w:p w14:paraId="19EAB06C">
            <w:pPr>
              <w:rPr>
                <w:rFonts w:ascii="仿宋_GB2312" w:eastAsia="仿宋_GB2312"/>
                <w:kern w:val="0"/>
                <w:szCs w:val="21"/>
              </w:rPr>
            </w:pPr>
            <w:r>
              <w:rPr>
                <w:rFonts w:hint="eastAsia" w:ascii="仿宋_GB2312" w:eastAsia="仿宋_GB2312"/>
                <w:kern w:val="0"/>
                <w:sz w:val="20"/>
                <w:szCs w:val="21"/>
              </w:rPr>
              <w:t>基金管理人和销售机构</w:t>
            </w:r>
          </w:p>
        </w:tc>
      </w:tr>
      <w:tr w14:paraId="3B0BD2D0">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Pr>
          <w:p w14:paraId="0FAD6302">
            <w:pPr>
              <w:rPr>
                <w:rFonts w:ascii="仿宋_GB2312" w:eastAsia="仿宋_GB2312"/>
                <w:kern w:val="0"/>
                <w:szCs w:val="21"/>
              </w:rPr>
            </w:pPr>
            <w:r>
              <w:rPr>
                <w:rFonts w:hint="eastAsia" w:ascii="仿宋_GB2312" w:eastAsia="仿宋_GB2312"/>
                <w:kern w:val="0"/>
                <w:sz w:val="20"/>
                <w:szCs w:val="21"/>
              </w:rPr>
              <w:t>托管费</w:t>
            </w:r>
          </w:p>
        </w:tc>
        <w:tc>
          <w:tcPr>
            <w:tcW w:w="3935" w:type="dxa"/>
            <w:vAlign w:val="center"/>
          </w:tcPr>
          <w:p w14:paraId="5DD58844">
            <w:pPr>
              <w:rPr>
                <w:rFonts w:ascii="仿宋_GB2312" w:eastAsia="仿宋_GB2312"/>
                <w:kern w:val="0"/>
                <w:szCs w:val="21"/>
              </w:rPr>
            </w:pPr>
            <w:r>
              <w:rPr>
                <w:rFonts w:ascii="仿宋_GB2312" w:eastAsia="仿宋_GB2312"/>
                <w:kern w:val="0"/>
                <w:sz w:val="20"/>
                <w:szCs w:val="21"/>
              </w:rPr>
              <w:t>0.1%</w:t>
            </w:r>
          </w:p>
        </w:tc>
        <w:tc>
          <w:tcPr>
            <w:tcW w:w="3068" w:type="dxa"/>
            <w:vAlign w:val="center"/>
          </w:tcPr>
          <w:p w14:paraId="4C3201D6">
            <w:pPr>
              <w:rPr>
                <w:rFonts w:ascii="仿宋_GB2312" w:eastAsia="仿宋_GB2312"/>
                <w:kern w:val="0"/>
                <w:szCs w:val="21"/>
              </w:rPr>
            </w:pPr>
            <w:r>
              <w:rPr>
                <w:rFonts w:hint="eastAsia" w:ascii="仿宋_GB2312" w:eastAsia="仿宋_GB2312"/>
                <w:kern w:val="0"/>
                <w:sz w:val="20"/>
                <w:szCs w:val="21"/>
              </w:rPr>
              <w:t>基金托管人</w:t>
            </w:r>
          </w:p>
        </w:tc>
      </w:tr>
      <w:tr w14:paraId="02758BD0">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Pr>
          <w:p w14:paraId="20882D56">
            <w:pPr>
              <w:jc w:val="left"/>
              <w:rPr>
                <w:rFonts w:ascii="仿宋_GB2312" w:eastAsia="仿宋_GB2312"/>
                <w:kern w:val="0"/>
                <w:szCs w:val="21"/>
              </w:rPr>
            </w:pPr>
            <w:r>
              <w:rPr>
                <w:rFonts w:hint="eastAsia" w:ascii="仿宋_GB2312" w:eastAsia="仿宋_GB2312"/>
                <w:kern w:val="0"/>
                <w:sz w:val="20"/>
                <w:szCs w:val="21"/>
              </w:rPr>
              <w:t>销售服务费</w:t>
            </w:r>
          </w:p>
        </w:tc>
        <w:tc>
          <w:tcPr>
            <w:tcW w:w="3935" w:type="dxa"/>
            <w:vAlign w:val="center"/>
          </w:tcPr>
          <w:p w14:paraId="2D8A0CBF">
            <w:pPr>
              <w:rPr>
                <w:rFonts w:ascii="仿宋_GB2312" w:eastAsia="仿宋_GB2312"/>
                <w:kern w:val="0"/>
                <w:szCs w:val="21"/>
              </w:rPr>
            </w:pPr>
            <w:r>
              <w:rPr>
                <w:rFonts w:ascii="仿宋_GB2312" w:eastAsia="仿宋_GB2312"/>
                <w:kern w:val="0"/>
                <w:sz w:val="20"/>
                <w:szCs w:val="21"/>
              </w:rPr>
              <w:t>-</w:t>
            </w:r>
          </w:p>
        </w:tc>
        <w:tc>
          <w:tcPr>
            <w:tcW w:w="3068" w:type="dxa"/>
            <w:vAlign w:val="center"/>
          </w:tcPr>
          <w:p w14:paraId="18E0DDDC">
            <w:pPr>
              <w:rPr>
                <w:rFonts w:ascii="仿宋_GB2312" w:eastAsia="仿宋_GB2312"/>
                <w:kern w:val="0"/>
                <w:szCs w:val="21"/>
              </w:rPr>
            </w:pPr>
            <w:r>
              <w:rPr>
                <w:rFonts w:hint="eastAsia" w:ascii="仿宋_GB2312" w:eastAsia="仿宋_GB2312"/>
                <w:kern w:val="0"/>
                <w:sz w:val="20"/>
                <w:szCs w:val="21"/>
              </w:rPr>
              <w:t>销售机构</w:t>
            </w:r>
          </w:p>
        </w:tc>
      </w:tr>
      <w:tr w14:paraId="5D883036">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Pr>
          <w:p w14:paraId="37A5854D">
            <w:pPr>
              <w:jc w:val="left"/>
              <w:rPr>
                <w:rFonts w:ascii="仿宋_GB2312" w:eastAsia="仿宋_GB2312"/>
                <w:kern w:val="0"/>
                <w:szCs w:val="21"/>
              </w:rPr>
            </w:pPr>
            <w:r>
              <w:rPr>
                <w:rFonts w:hint="eastAsia" w:ascii="仿宋_GB2312" w:eastAsia="仿宋_GB2312"/>
                <w:kern w:val="0"/>
                <w:sz w:val="20"/>
                <w:szCs w:val="21"/>
              </w:rPr>
              <w:t>审计费用</w:t>
            </w:r>
          </w:p>
        </w:tc>
        <w:tc>
          <w:tcPr>
            <w:tcW w:w="3935" w:type="dxa"/>
            <w:vAlign w:val="center"/>
          </w:tcPr>
          <w:p w14:paraId="3E1C99A3">
            <w:pPr>
              <w:rPr>
                <w:rFonts w:ascii="仿宋_GB2312" w:eastAsia="仿宋_GB2312"/>
                <w:kern w:val="0"/>
                <w:szCs w:val="21"/>
              </w:rPr>
            </w:pPr>
            <w:r>
              <w:rPr>
                <w:rFonts w:ascii="仿宋_GB2312" w:eastAsia="仿宋_GB2312"/>
                <w:kern w:val="0"/>
                <w:sz w:val="20"/>
                <w:szCs w:val="21"/>
              </w:rPr>
              <w:t>-</w:t>
            </w:r>
          </w:p>
        </w:tc>
        <w:tc>
          <w:tcPr>
            <w:tcW w:w="3068" w:type="dxa"/>
            <w:vAlign w:val="center"/>
          </w:tcPr>
          <w:p w14:paraId="6DCAA51C">
            <w:pPr>
              <w:rPr>
                <w:rFonts w:ascii="仿宋_GB2312" w:eastAsia="仿宋_GB2312"/>
                <w:kern w:val="0"/>
                <w:szCs w:val="21"/>
              </w:rPr>
            </w:pPr>
            <w:r>
              <w:rPr>
                <w:rFonts w:hint="eastAsia" w:ascii="仿宋_GB2312" w:eastAsia="仿宋_GB2312"/>
                <w:kern w:val="0"/>
                <w:sz w:val="20"/>
                <w:szCs w:val="21"/>
              </w:rPr>
              <w:t>会计师事务所</w:t>
            </w:r>
          </w:p>
        </w:tc>
      </w:tr>
      <w:tr w14:paraId="1FD85836">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Pr>
          <w:p w14:paraId="39307721">
            <w:pPr>
              <w:jc w:val="left"/>
              <w:rPr>
                <w:rFonts w:ascii="仿宋_GB2312" w:eastAsia="仿宋_GB2312"/>
                <w:kern w:val="0"/>
                <w:szCs w:val="21"/>
              </w:rPr>
            </w:pPr>
            <w:r>
              <w:rPr>
                <w:rFonts w:hint="eastAsia" w:ascii="仿宋_GB2312" w:eastAsia="仿宋_GB2312"/>
                <w:kern w:val="0"/>
                <w:sz w:val="20"/>
                <w:szCs w:val="21"/>
              </w:rPr>
              <w:t>信息披露费</w:t>
            </w:r>
          </w:p>
        </w:tc>
        <w:tc>
          <w:tcPr>
            <w:tcW w:w="3935" w:type="dxa"/>
            <w:vAlign w:val="center"/>
          </w:tcPr>
          <w:p w14:paraId="3353EEC2">
            <w:pPr>
              <w:rPr>
                <w:rFonts w:ascii="仿宋_GB2312" w:eastAsia="仿宋_GB2312"/>
                <w:kern w:val="0"/>
                <w:szCs w:val="21"/>
              </w:rPr>
            </w:pPr>
            <w:r>
              <w:rPr>
                <w:rFonts w:ascii="仿宋_GB2312" w:eastAsia="仿宋_GB2312"/>
                <w:kern w:val="0"/>
                <w:sz w:val="20"/>
                <w:szCs w:val="21"/>
              </w:rPr>
              <w:t>-</w:t>
            </w:r>
          </w:p>
        </w:tc>
        <w:tc>
          <w:tcPr>
            <w:tcW w:w="3068" w:type="dxa"/>
            <w:vAlign w:val="center"/>
          </w:tcPr>
          <w:p w14:paraId="24BCA829">
            <w:pPr>
              <w:rPr>
                <w:rFonts w:ascii="仿宋_GB2312" w:eastAsia="仿宋_GB2312"/>
                <w:kern w:val="0"/>
                <w:szCs w:val="21"/>
              </w:rPr>
            </w:pPr>
            <w:r>
              <w:rPr>
                <w:rFonts w:hint="eastAsia" w:ascii="仿宋_GB2312" w:eastAsia="仿宋_GB2312"/>
                <w:kern w:val="0"/>
                <w:sz w:val="20"/>
                <w:szCs w:val="21"/>
              </w:rPr>
              <w:t>规定披露报刊</w:t>
            </w:r>
          </w:p>
        </w:tc>
      </w:tr>
      <w:tr w14:paraId="0241A829">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Pr>
          <w:p w14:paraId="49407697">
            <w:pPr>
              <w:jc w:val="left"/>
              <w:rPr>
                <w:rFonts w:ascii="仿宋_GB2312" w:eastAsia="仿宋_GB2312"/>
                <w:kern w:val="0"/>
                <w:szCs w:val="21"/>
              </w:rPr>
            </w:pPr>
            <w:r>
              <w:rPr>
                <w:rFonts w:hint="eastAsia" w:ascii="仿宋_GB2312" w:eastAsia="仿宋_GB2312"/>
                <w:kern w:val="0"/>
                <w:sz w:val="20"/>
                <w:szCs w:val="21"/>
              </w:rPr>
              <w:t>指数许可使用费</w:t>
            </w:r>
          </w:p>
        </w:tc>
        <w:tc>
          <w:tcPr>
            <w:tcW w:w="3935" w:type="dxa"/>
            <w:vAlign w:val="center"/>
          </w:tcPr>
          <w:p w14:paraId="031F6E5B">
            <w:pPr>
              <w:rPr>
                <w:rFonts w:ascii="仿宋_GB2312" w:eastAsia="仿宋_GB2312"/>
                <w:kern w:val="0"/>
                <w:szCs w:val="21"/>
              </w:rPr>
            </w:pPr>
            <w:r>
              <w:rPr>
                <w:rFonts w:ascii="仿宋_GB2312" w:eastAsia="仿宋_GB2312"/>
                <w:kern w:val="0"/>
                <w:sz w:val="20"/>
                <w:szCs w:val="21"/>
              </w:rPr>
              <w:t>-</w:t>
            </w:r>
          </w:p>
        </w:tc>
        <w:tc>
          <w:tcPr>
            <w:tcW w:w="3068" w:type="dxa"/>
            <w:vAlign w:val="center"/>
          </w:tcPr>
          <w:p w14:paraId="28B70BC8">
            <w:pPr>
              <w:rPr>
                <w:rFonts w:ascii="仿宋_GB2312" w:eastAsia="仿宋_GB2312"/>
                <w:kern w:val="0"/>
                <w:szCs w:val="21"/>
              </w:rPr>
            </w:pPr>
            <w:r>
              <w:rPr>
                <w:rFonts w:hint="eastAsia" w:ascii="仿宋_GB2312" w:eastAsia="仿宋_GB2312"/>
                <w:kern w:val="0"/>
                <w:sz w:val="20"/>
                <w:szCs w:val="21"/>
              </w:rPr>
              <w:t>指数编制公司</w:t>
            </w:r>
          </w:p>
        </w:tc>
      </w:tr>
      <w:tr w14:paraId="1DA04E30">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Pr>
          <w:p w14:paraId="4C961DD7">
            <w:pPr>
              <w:rPr>
                <w:rFonts w:ascii="仿宋_GB2312" w:eastAsia="仿宋_GB2312"/>
                <w:kern w:val="0"/>
                <w:szCs w:val="21"/>
              </w:rPr>
            </w:pPr>
            <w:r>
              <w:rPr>
                <w:rFonts w:hint="eastAsia" w:ascii="仿宋_GB2312" w:eastAsia="仿宋_GB2312"/>
                <w:kern w:val="0"/>
                <w:sz w:val="20"/>
                <w:szCs w:val="21"/>
              </w:rPr>
              <w:t>其他费用</w:t>
            </w:r>
          </w:p>
        </w:tc>
        <w:tc>
          <w:tcPr>
            <w:tcW w:w="3935" w:type="dxa"/>
            <w:vAlign w:val="center"/>
          </w:tcPr>
          <w:p w14:paraId="6F443C9E">
            <w:pPr>
              <w:rPr>
                <w:rFonts w:ascii="仿宋_GB2312" w:eastAsia="仿宋_GB2312"/>
                <w:kern w:val="0"/>
                <w:szCs w:val="21"/>
              </w:rPr>
            </w:pPr>
            <w:r>
              <w:rPr>
                <w:rFonts w:hint="eastAsia" w:ascii="仿宋_GB2312" w:eastAsia="仿宋_GB2312"/>
                <w:kern w:val="0"/>
                <w:sz w:val="20"/>
                <w:szCs w:val="21"/>
              </w:rPr>
              <w:t>详见本基金招募说明书“基金的费用与税收”部分</w:t>
            </w:r>
          </w:p>
        </w:tc>
        <w:tc>
          <w:tcPr>
            <w:tcW w:w="3068" w:type="dxa"/>
            <w:vAlign w:val="center"/>
          </w:tcPr>
          <w:p w14:paraId="30290F10">
            <w:pPr>
              <w:rPr>
                <w:rFonts w:ascii="仿宋_GB2312" w:eastAsia="仿宋_GB2312"/>
                <w:kern w:val="0"/>
                <w:szCs w:val="21"/>
              </w:rPr>
            </w:pPr>
          </w:p>
        </w:tc>
      </w:tr>
    </w:tbl>
    <w:p w14:paraId="213A1BBA">
      <w:pPr>
        <w:jc w:val="left"/>
        <w:rPr>
          <w:rFonts w:ascii="仿宋_GB2312" w:eastAsia="仿宋_GB2312"/>
          <w:szCs w:val="21"/>
        </w:rPr>
      </w:pPr>
      <w:r>
        <w:rPr>
          <w:rFonts w:hint="eastAsia" w:ascii="仿宋_GB2312" w:eastAsia="仿宋_GB2312"/>
          <w:szCs w:val="21"/>
        </w:rPr>
        <w:t>注：1、本基金基金财产中持有的基金管理人自身管理的基金部分不收取管理费；持有的基金托管人自身托管的基金部分不收取托管费。2、本基金交易证券、基金等产生的费用和税负，按实际发生额从基金资产扣除。</w:t>
      </w:r>
    </w:p>
    <w:p w14:paraId="0285844C">
      <w:pPr>
        <w:jc w:val="left"/>
        <w:rPr>
          <w:rFonts w:ascii="仿宋_GB2312" w:hAnsi="宋体" w:eastAsia="仿宋_GB2312" w:cs="宋体"/>
          <w:b/>
          <w:kern w:val="0"/>
          <w:szCs w:val="21"/>
        </w:rPr>
      </w:pPr>
      <w:r>
        <w:rPr>
          <w:rFonts w:hint="eastAsia" w:ascii="仿宋_GB2312" w:hAnsi="宋体" w:eastAsia="仿宋_GB2312" w:cs="宋体"/>
          <w:b/>
          <w:kern w:val="0"/>
          <w:szCs w:val="21"/>
        </w:rPr>
        <w:t>四、风险揭示与重要提示</w:t>
      </w:r>
    </w:p>
    <w:p w14:paraId="187CA259">
      <w:pPr>
        <w:jc w:val="left"/>
        <w:rPr>
          <w:rFonts w:ascii="仿宋_GB2312" w:eastAsia="仿宋_GB2312"/>
          <w:b/>
          <w:szCs w:val="21"/>
        </w:rPr>
      </w:pPr>
      <w:r>
        <w:rPr>
          <w:rFonts w:hint="eastAsia" w:ascii="仿宋_GB2312" w:eastAsia="仿宋_GB2312"/>
          <w:b/>
          <w:szCs w:val="21"/>
        </w:rPr>
        <w:t>（一）风险揭示</w:t>
      </w:r>
    </w:p>
    <w:p w14:paraId="166F7FC6">
      <w:pPr>
        <w:ind w:firstLine="420"/>
        <w:jc w:val="left"/>
        <w:rPr>
          <w:rFonts w:ascii="仿宋_GB2312" w:eastAsia="仿宋_GB2312"/>
          <w:szCs w:val="21"/>
        </w:rPr>
      </w:pPr>
      <w:r>
        <w:rPr>
          <w:rFonts w:hint="eastAsia" w:ascii="仿宋_GB2312" w:eastAsia="仿宋_GB2312"/>
          <w:szCs w:val="21"/>
        </w:rPr>
        <w:t>本基金不提供任何保证。投资者可能损失投资本金。</w:t>
      </w:r>
    </w:p>
    <w:p w14:paraId="78A70D06">
      <w:pPr>
        <w:ind w:firstLine="420"/>
        <w:jc w:val="left"/>
        <w:rPr>
          <w:rFonts w:ascii="仿宋_GB2312" w:eastAsia="仿宋_GB2312"/>
          <w:szCs w:val="21"/>
        </w:rPr>
      </w:pPr>
      <w:r>
        <w:rPr>
          <w:rFonts w:hint="eastAsia" w:ascii="仿宋_GB2312" w:eastAsia="仿宋_GB2312"/>
          <w:szCs w:val="21"/>
        </w:rPr>
        <w:t>投资有风险，投资者购买基金时应认真阅读本基金的《招募说明书》等销售文件。</w:t>
      </w:r>
    </w:p>
    <w:p w14:paraId="0C38CE5E">
      <w:pPr>
        <w:ind w:firstLine="420"/>
        <w:jc w:val="left"/>
        <w:rPr>
          <w:rFonts w:ascii="仿宋_GB2312" w:eastAsia="仿宋_GB2312"/>
          <w:szCs w:val="21"/>
        </w:rPr>
      </w:pPr>
      <w:r>
        <w:rPr>
          <w:rFonts w:hint="eastAsia" w:ascii="仿宋_GB2312" w:eastAsia="仿宋_GB2312"/>
          <w:szCs w:val="21"/>
        </w:rPr>
        <w:t>基金份额持有人须了解并承受以下风险：</w:t>
      </w:r>
    </w:p>
    <w:p w14:paraId="2A20DA2E">
      <w:pPr>
        <w:ind w:firstLine="420"/>
        <w:jc w:val="left"/>
        <w:rPr>
          <w:rFonts w:ascii="仿宋_GB2312" w:eastAsia="仿宋_GB2312"/>
          <w:szCs w:val="21"/>
        </w:rPr>
      </w:pPr>
      <w:r>
        <w:rPr>
          <w:rFonts w:hint="eastAsia" w:ascii="仿宋_GB2312" w:eastAsia="仿宋_GB2312"/>
          <w:szCs w:val="21"/>
        </w:rPr>
        <w:t>1、市场风险</w:t>
      </w:r>
    </w:p>
    <w:p w14:paraId="62BDAA6A">
      <w:pPr>
        <w:ind w:firstLine="420"/>
        <w:jc w:val="left"/>
        <w:rPr>
          <w:rFonts w:ascii="仿宋_GB2312" w:eastAsia="仿宋_GB2312"/>
          <w:szCs w:val="21"/>
        </w:rPr>
      </w:pPr>
      <w:r>
        <w:rPr>
          <w:rFonts w:hint="eastAsia" w:ascii="仿宋_GB2312" w:eastAsia="仿宋_GB2312"/>
          <w:szCs w:val="21"/>
        </w:rPr>
        <w:t>（1）政策风险（2）经济周期风险（3）利率风险（4）上市公司经营风险（5）购买力风险</w:t>
      </w:r>
    </w:p>
    <w:p w14:paraId="2B157C23">
      <w:pPr>
        <w:ind w:firstLine="420"/>
        <w:jc w:val="left"/>
        <w:rPr>
          <w:rFonts w:ascii="仿宋_GB2312" w:eastAsia="仿宋_GB2312"/>
          <w:szCs w:val="21"/>
        </w:rPr>
      </w:pPr>
      <w:r>
        <w:rPr>
          <w:rFonts w:hint="eastAsia" w:ascii="仿宋_GB2312" w:eastAsia="仿宋_GB2312"/>
          <w:szCs w:val="21"/>
        </w:rPr>
        <w:t>2、管理风险</w:t>
      </w:r>
    </w:p>
    <w:p w14:paraId="353C161C">
      <w:pPr>
        <w:ind w:firstLine="420"/>
        <w:jc w:val="left"/>
        <w:rPr>
          <w:rFonts w:ascii="仿宋_GB2312" w:eastAsia="仿宋_GB2312"/>
          <w:szCs w:val="21"/>
        </w:rPr>
      </w:pPr>
      <w:r>
        <w:rPr>
          <w:rFonts w:hint="eastAsia" w:ascii="仿宋_GB2312" w:eastAsia="仿宋_GB2312"/>
          <w:szCs w:val="21"/>
        </w:rPr>
        <w:t>3、流动性风险</w:t>
      </w:r>
    </w:p>
    <w:p w14:paraId="4C3F36C7">
      <w:pPr>
        <w:ind w:firstLine="420"/>
        <w:jc w:val="left"/>
        <w:rPr>
          <w:rFonts w:ascii="仿宋_GB2312" w:eastAsia="仿宋_GB2312"/>
          <w:szCs w:val="21"/>
        </w:rPr>
      </w:pPr>
      <w:r>
        <w:rPr>
          <w:rFonts w:hint="eastAsia" w:ascii="仿宋_GB2312" w:eastAsia="仿宋_GB2312"/>
          <w:szCs w:val="21"/>
        </w:rPr>
        <w:t>4、信用风险</w:t>
      </w:r>
    </w:p>
    <w:p w14:paraId="0B87826F">
      <w:pPr>
        <w:ind w:firstLine="420"/>
        <w:jc w:val="left"/>
        <w:rPr>
          <w:rFonts w:ascii="仿宋_GB2312" w:eastAsia="仿宋_GB2312"/>
          <w:szCs w:val="21"/>
        </w:rPr>
      </w:pPr>
      <w:r>
        <w:rPr>
          <w:rFonts w:hint="eastAsia" w:ascii="仿宋_GB2312" w:eastAsia="仿宋_GB2312"/>
          <w:szCs w:val="21"/>
        </w:rPr>
        <w:t>5、本基金的特有风险</w:t>
      </w:r>
    </w:p>
    <w:p w14:paraId="3B8DA20F">
      <w:pPr>
        <w:ind w:firstLine="420"/>
        <w:jc w:val="left"/>
        <w:rPr>
          <w:rFonts w:ascii="仿宋_GB2312" w:eastAsia="仿宋_GB2312"/>
          <w:szCs w:val="21"/>
        </w:rPr>
      </w:pPr>
      <w:r>
        <w:rPr>
          <w:rFonts w:hint="eastAsia" w:ascii="仿宋_GB2312" w:eastAsia="仿宋_GB2312"/>
          <w:szCs w:val="21"/>
        </w:rPr>
        <w:t>（1）主要投资于债券市场面临的资产配置风险</w:t>
      </w:r>
    </w:p>
    <w:p w14:paraId="4D059456">
      <w:pPr>
        <w:ind w:firstLine="420"/>
        <w:jc w:val="left"/>
        <w:rPr>
          <w:rFonts w:ascii="仿宋_GB2312" w:eastAsia="仿宋_GB2312"/>
          <w:szCs w:val="21"/>
        </w:rPr>
      </w:pPr>
      <w:r>
        <w:rPr>
          <w:rFonts w:hint="eastAsia" w:ascii="仿宋_GB2312" w:eastAsia="仿宋_GB2312"/>
          <w:szCs w:val="21"/>
        </w:rPr>
        <w:t>本基金为债券型基金，投资于债券资产的比例不低于基金资产的80%，因投资固定收益类资产而面临固定收益类资产市场的系统性风险和个券风险。</w:t>
      </w:r>
    </w:p>
    <w:p w14:paraId="1AA2B52D">
      <w:pPr>
        <w:ind w:firstLine="420"/>
        <w:jc w:val="left"/>
        <w:rPr>
          <w:rFonts w:ascii="仿宋_GB2312" w:eastAsia="仿宋_GB2312"/>
          <w:szCs w:val="21"/>
        </w:rPr>
      </w:pPr>
      <w:r>
        <w:rPr>
          <w:rFonts w:hint="eastAsia" w:ascii="仿宋_GB2312" w:eastAsia="仿宋_GB2312"/>
          <w:szCs w:val="21"/>
        </w:rPr>
        <w:t>本基金为二级债基，</w:t>
      </w:r>
      <w:r>
        <w:rPr>
          <w:rFonts w:hint="eastAsia" w:ascii="仿宋_GB2312" w:eastAsia="仿宋_GB2312"/>
          <w:bCs/>
          <w:szCs w:val="21"/>
        </w:rPr>
        <w:t>投资于股票（含存托凭证）、股票型基金、计入权益类资产的混合型基金、可转换债券（含可分离交易可转换债券）、可交换公司债券的比例占基金资产的</w:t>
      </w:r>
      <w:r>
        <w:rPr>
          <w:rFonts w:hint="eastAsia" w:ascii="仿宋_GB2312" w:eastAsia="仿宋_GB2312"/>
          <w:bCs/>
          <w:szCs w:val="21"/>
          <w:lang w:val="en-US" w:eastAsia="zh-CN"/>
        </w:rPr>
        <w:t>5</w:t>
      </w:r>
      <w:r>
        <w:rPr>
          <w:rFonts w:ascii="仿宋_GB2312" w:eastAsia="仿宋_GB2312"/>
          <w:bCs/>
          <w:szCs w:val="21"/>
        </w:rPr>
        <w:t>%-20%</w:t>
      </w:r>
      <w:r>
        <w:rPr>
          <w:rFonts w:hint="eastAsia" w:ascii="仿宋_GB2312" w:eastAsia="仿宋_GB2312"/>
          <w:bCs/>
          <w:szCs w:val="21"/>
        </w:rPr>
        <w:t>（其中，投资于境内股票资产（含</w:t>
      </w:r>
      <w:r>
        <w:rPr>
          <w:rFonts w:hint="eastAsia" w:ascii="仿宋_GB2312" w:eastAsia="仿宋_GB2312"/>
          <w:bCs/>
          <w:szCs w:val="21"/>
          <w:lang w:val="en-US" w:eastAsia="zh-CN"/>
        </w:rPr>
        <w:t>A股</w:t>
      </w:r>
      <w:r>
        <w:rPr>
          <w:rFonts w:hint="eastAsia" w:ascii="仿宋_GB2312" w:eastAsia="仿宋_GB2312"/>
          <w:bCs/>
          <w:szCs w:val="21"/>
          <w:lang w:eastAsia="zh-CN"/>
        </w:rPr>
        <w:t>ETF</w:t>
      </w:r>
      <w:r>
        <w:rPr>
          <w:rFonts w:hint="eastAsia" w:ascii="仿宋_GB2312" w:eastAsia="仿宋_GB2312"/>
          <w:bCs/>
          <w:szCs w:val="21"/>
        </w:rPr>
        <w:t>）的比例不低于基金资产的5%，投资于港股通标的股票的比例占股票资产的</w:t>
      </w:r>
      <w:r>
        <w:rPr>
          <w:rFonts w:ascii="仿宋_GB2312" w:eastAsia="仿宋_GB2312"/>
          <w:bCs/>
          <w:szCs w:val="21"/>
        </w:rPr>
        <w:t>0%-50%</w:t>
      </w:r>
      <w:r>
        <w:rPr>
          <w:rFonts w:hint="eastAsia" w:ascii="仿宋_GB2312" w:eastAsia="仿宋_GB2312"/>
          <w:bCs/>
          <w:szCs w:val="21"/>
        </w:rPr>
        <w:t>）</w:t>
      </w:r>
      <w:r>
        <w:rPr>
          <w:rFonts w:hint="eastAsia" w:ascii="仿宋_GB2312" w:eastAsia="仿宋_GB2312"/>
          <w:szCs w:val="21"/>
        </w:rPr>
        <w:t>，因此，境内和港股通标的股票市场变化均会影响到基金业绩表现，通常情况下本基金的预期风险水平高于纯债基金</w:t>
      </w:r>
      <w:r>
        <w:rPr>
          <w:rFonts w:hint="eastAsia" w:ascii="仿宋_GB2312" w:eastAsia="仿宋_GB2312"/>
          <w:szCs w:val="21"/>
          <w:lang w:eastAsia="zh-CN"/>
        </w:rPr>
        <w:t>。</w:t>
      </w:r>
    </w:p>
    <w:p w14:paraId="706213C7">
      <w:pPr>
        <w:ind w:firstLine="420"/>
        <w:jc w:val="left"/>
        <w:rPr>
          <w:rFonts w:ascii="仿宋_GB2312" w:eastAsia="仿宋_GB2312"/>
          <w:szCs w:val="21"/>
        </w:rPr>
      </w:pPr>
      <w:r>
        <w:rPr>
          <w:rFonts w:hint="eastAsia" w:ascii="仿宋_GB2312" w:eastAsia="仿宋_GB2312"/>
          <w:szCs w:val="21"/>
        </w:rPr>
        <w:t>（2）投资其他基金的特定风险</w:t>
      </w:r>
    </w:p>
    <w:p w14:paraId="3BB03E52">
      <w:pPr>
        <w:ind w:firstLine="420"/>
        <w:jc w:val="left"/>
        <w:rPr>
          <w:rFonts w:ascii="仿宋_GB2312" w:eastAsia="仿宋_GB2312"/>
          <w:szCs w:val="21"/>
        </w:rPr>
      </w:pPr>
      <w:r>
        <w:rPr>
          <w:rFonts w:hint="eastAsia" w:ascii="仿宋_GB2312" w:eastAsia="仿宋_GB2312"/>
          <w:szCs w:val="21"/>
        </w:rPr>
        <w:t>本基金可以投资经中国证监会依法核准或注册的公开募集证券投资基金（仅包含全市场的股票型ETF（含可投资境外市场的ETF）、公开募集不动产投资信托基金（以下简称“公募REITs”）及本基金管理人管理的股票型基金、计入权益类资产的混合型基金，不含香港互认基金、QDII基金（可投资境外市场的股票型ETF除外）、基金中基金和其他投资范围包含基金的基金、货币市场基金），本基金对被投资基金的评估具有一定的主观性，将在基金投资决策中给基金带来一定的不确定性的风险。</w:t>
      </w:r>
    </w:p>
    <w:p w14:paraId="3E0930CD">
      <w:pPr>
        <w:ind w:firstLine="420"/>
        <w:jc w:val="left"/>
        <w:rPr>
          <w:rFonts w:ascii="仿宋_GB2312" w:eastAsia="仿宋_GB2312"/>
          <w:szCs w:val="21"/>
        </w:rPr>
      </w:pPr>
      <w:r>
        <w:rPr>
          <w:rFonts w:hint="eastAsia" w:ascii="仿宋_GB2312" w:eastAsia="仿宋_GB2312"/>
          <w:szCs w:val="21"/>
        </w:rPr>
        <w:t>1）被投资基金的波动会受到宏观经济环境、行业周期、基金经理管理能力和基金管理人自身经营状况等因素的影响。因此，本基金整体表现可能受所投资基金的影响。</w:t>
      </w:r>
    </w:p>
    <w:p w14:paraId="16B1D0BF">
      <w:pPr>
        <w:ind w:firstLine="420"/>
        <w:jc w:val="left"/>
        <w:rPr>
          <w:rFonts w:ascii="仿宋_GB2312" w:eastAsia="仿宋_GB2312"/>
          <w:szCs w:val="21"/>
        </w:rPr>
      </w:pPr>
      <w:r>
        <w:rPr>
          <w:rFonts w:hint="eastAsia" w:ascii="仿宋_GB2312" w:eastAsia="仿宋_GB2312"/>
          <w:szCs w:val="21"/>
        </w:rPr>
        <w:t>2）本基金管理人运用本基金的基金财产申购自身管理的基金的（ETF除外），应当通过直销渠道申购且不得收取申购费、赎回费（按照相关法规、基金招募说明书约定应当收取，并计入基金财产的赎回费用除外）、销售服务费（如有）等销售费用。但如果本基金管理人运用本基金的基金财产申购非自身管理的基金的，将会承担本基金以及本基金所投资或持有基金份额的相关费用，本基金对上述费用的支付将对收益水平造成影响。</w:t>
      </w:r>
    </w:p>
    <w:p w14:paraId="757130AA">
      <w:pPr>
        <w:ind w:firstLine="420"/>
        <w:jc w:val="left"/>
        <w:rPr>
          <w:rFonts w:ascii="仿宋_GB2312" w:eastAsia="仿宋_GB2312"/>
          <w:szCs w:val="21"/>
        </w:rPr>
      </w:pPr>
      <w:r>
        <w:rPr>
          <w:rFonts w:hint="eastAsia" w:ascii="仿宋_GB2312" w:eastAsia="仿宋_GB2312"/>
          <w:szCs w:val="21"/>
        </w:rPr>
        <w:t>3）投资可上市交易基金的二级市场风险</w:t>
      </w:r>
    </w:p>
    <w:p w14:paraId="5856953A">
      <w:pPr>
        <w:ind w:firstLine="420"/>
        <w:jc w:val="left"/>
        <w:rPr>
          <w:rFonts w:ascii="仿宋_GB2312" w:eastAsia="仿宋_GB2312"/>
          <w:szCs w:val="21"/>
        </w:rPr>
      </w:pPr>
      <w:r>
        <w:rPr>
          <w:rFonts w:hint="eastAsia" w:ascii="仿宋_GB2312" w:eastAsia="仿宋_GB2312"/>
          <w:szCs w:val="21"/>
        </w:rPr>
        <w:t>本基金可通过二级市场进行ETF的买卖交易，由此可能面临交易量不足所引起的流动性风险、交易价格与基金份额净值之间的折溢价风险以及被投资基金暂停交易或退市的风险等</w:t>
      </w:r>
      <w:r>
        <w:rPr>
          <w:rFonts w:hint="eastAsia" w:ascii="仿宋_GB2312" w:eastAsia="仿宋_GB2312"/>
          <w:szCs w:val="21"/>
          <w:lang w:eastAsia="zh-CN"/>
        </w:rPr>
        <w:t>。</w:t>
      </w:r>
    </w:p>
    <w:p w14:paraId="55948FDE">
      <w:pPr>
        <w:ind w:firstLine="420"/>
        <w:jc w:val="left"/>
        <w:rPr>
          <w:rFonts w:ascii="仿宋_GB2312" w:eastAsia="仿宋_GB2312"/>
          <w:szCs w:val="21"/>
        </w:rPr>
      </w:pPr>
      <w:r>
        <w:rPr>
          <w:rFonts w:hint="eastAsia" w:ascii="仿宋_GB2312" w:eastAsia="仿宋_GB2312"/>
          <w:szCs w:val="21"/>
        </w:rPr>
        <w:t>（3）</w:t>
      </w:r>
      <w:r>
        <w:rPr>
          <w:rFonts w:ascii="仿宋_GB2312" w:eastAsia="仿宋_GB2312"/>
          <w:szCs w:val="21"/>
        </w:rPr>
        <w:t>投资</w:t>
      </w:r>
      <w:r>
        <w:rPr>
          <w:rFonts w:hint="eastAsia" w:ascii="仿宋_GB2312" w:eastAsia="仿宋_GB2312"/>
          <w:szCs w:val="21"/>
        </w:rPr>
        <w:t>资产支持证券</w:t>
      </w:r>
      <w:r>
        <w:rPr>
          <w:rFonts w:ascii="仿宋_GB2312" w:eastAsia="仿宋_GB2312"/>
          <w:szCs w:val="21"/>
        </w:rPr>
        <w:t>的特定风险</w:t>
      </w:r>
    </w:p>
    <w:p w14:paraId="30CE0F0E">
      <w:pPr>
        <w:ind w:firstLine="420"/>
        <w:jc w:val="left"/>
        <w:rPr>
          <w:rFonts w:ascii="仿宋_GB2312" w:eastAsia="仿宋_GB2312"/>
          <w:szCs w:val="21"/>
        </w:rPr>
      </w:pPr>
      <w:r>
        <w:rPr>
          <w:rFonts w:hint="eastAsia" w:ascii="仿宋_GB2312" w:eastAsia="仿宋_GB2312"/>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r>
        <w:rPr>
          <w:rFonts w:hint="eastAsia" w:ascii="仿宋_GB2312" w:eastAsia="仿宋_GB2312"/>
          <w:szCs w:val="21"/>
          <w:lang w:eastAsia="zh-CN"/>
        </w:rPr>
        <w:t>。</w:t>
      </w:r>
    </w:p>
    <w:p w14:paraId="16043115">
      <w:pPr>
        <w:ind w:firstLine="420"/>
        <w:jc w:val="left"/>
        <w:rPr>
          <w:rFonts w:ascii="仿宋_GB2312" w:eastAsia="仿宋_GB2312"/>
          <w:szCs w:val="21"/>
        </w:rPr>
      </w:pPr>
      <w:r>
        <w:rPr>
          <w:rFonts w:hint="eastAsia" w:ascii="仿宋_GB2312" w:eastAsia="仿宋_GB2312"/>
          <w:szCs w:val="21"/>
        </w:rPr>
        <w:t>（4）投资流通受限证券的特定风险</w:t>
      </w:r>
    </w:p>
    <w:p w14:paraId="60143520">
      <w:pPr>
        <w:ind w:firstLine="420"/>
        <w:jc w:val="left"/>
        <w:rPr>
          <w:rFonts w:ascii="仿宋_GB2312" w:eastAsia="仿宋_GB2312"/>
          <w:szCs w:val="21"/>
        </w:rPr>
      </w:pPr>
      <w:r>
        <w:rPr>
          <w:rFonts w:hint="eastAsia" w:ascii="仿宋_GB2312" w:eastAsia="仿宋_GB2312"/>
          <w:szCs w:val="21"/>
        </w:rPr>
        <w:t>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r>
        <w:rPr>
          <w:rFonts w:hint="eastAsia" w:ascii="仿宋_GB2312" w:eastAsia="仿宋_GB2312"/>
          <w:szCs w:val="21"/>
          <w:lang w:eastAsia="zh-CN"/>
        </w:rPr>
        <w:t>。</w:t>
      </w:r>
    </w:p>
    <w:p w14:paraId="391198DA">
      <w:pPr>
        <w:ind w:firstLine="420"/>
        <w:jc w:val="left"/>
        <w:rPr>
          <w:rFonts w:ascii="仿宋_GB2312" w:eastAsia="仿宋_GB2312"/>
          <w:szCs w:val="21"/>
        </w:rPr>
      </w:pPr>
      <w:r>
        <w:rPr>
          <w:rFonts w:hint="eastAsia" w:ascii="仿宋_GB2312" w:eastAsia="仿宋_GB2312"/>
          <w:szCs w:val="21"/>
        </w:rPr>
        <w:t>（5）投资港股通标的股票的特定风险</w:t>
      </w:r>
    </w:p>
    <w:p w14:paraId="0D9C2394">
      <w:pPr>
        <w:ind w:firstLine="420"/>
        <w:jc w:val="left"/>
        <w:rPr>
          <w:rFonts w:ascii="仿宋_GB2312" w:eastAsia="仿宋_GB2312"/>
          <w:szCs w:val="21"/>
        </w:rPr>
      </w:pPr>
      <w:r>
        <w:rPr>
          <w:rFonts w:hint="eastAsia" w:ascii="仿宋_GB2312" w:eastAsia="仿宋_GB2312"/>
          <w:szCs w:val="21"/>
        </w:rPr>
        <w:t>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通标的股票或选择不将基金资产投资于港股通标的股票，基金资产并非必然投资港股通标的股票</w:t>
      </w:r>
      <w:r>
        <w:rPr>
          <w:rFonts w:hint="eastAsia" w:ascii="仿宋_GB2312" w:eastAsia="仿宋_GB2312"/>
          <w:szCs w:val="21"/>
          <w:lang w:eastAsia="zh-CN"/>
        </w:rPr>
        <w:t>。</w:t>
      </w:r>
    </w:p>
    <w:p w14:paraId="7B8497E9">
      <w:pPr>
        <w:ind w:firstLine="420"/>
        <w:jc w:val="left"/>
        <w:rPr>
          <w:rFonts w:ascii="仿宋_GB2312" w:eastAsia="仿宋_GB2312"/>
          <w:szCs w:val="21"/>
        </w:rPr>
      </w:pPr>
      <w:r>
        <w:rPr>
          <w:rFonts w:hint="eastAsia" w:ascii="仿宋_GB2312" w:eastAsia="仿宋_GB2312"/>
          <w:szCs w:val="21"/>
        </w:rPr>
        <w:t>（6）本基金可投资创业板股票，创业板个股上市后的前五个交易日不设价格涨跌幅限制，第六个交易日开始涨跌幅限制比例为20%。</w:t>
      </w:r>
    </w:p>
    <w:p w14:paraId="1B8C8AC0">
      <w:pPr>
        <w:ind w:firstLine="420"/>
        <w:jc w:val="left"/>
        <w:rPr>
          <w:rFonts w:ascii="仿宋_GB2312" w:eastAsia="仿宋_GB2312"/>
          <w:szCs w:val="21"/>
        </w:rPr>
      </w:pPr>
      <w:r>
        <w:rPr>
          <w:rFonts w:hint="eastAsia" w:ascii="仿宋_GB2312" w:eastAsia="仿宋_GB2312"/>
          <w:szCs w:val="21"/>
        </w:rPr>
        <w:t>（7）投资科创板股票的特定风险</w:t>
      </w:r>
    </w:p>
    <w:p w14:paraId="0E232B1A">
      <w:pPr>
        <w:ind w:firstLine="420"/>
        <w:jc w:val="left"/>
        <w:rPr>
          <w:rFonts w:hint="eastAsia" w:ascii="仿宋_GB2312" w:eastAsia="仿宋_GB2312"/>
          <w:szCs w:val="21"/>
        </w:rPr>
      </w:pPr>
      <w:r>
        <w:rPr>
          <w:rFonts w:hint="eastAsia" w:ascii="仿宋_GB2312" w:eastAsia="仿宋_GB2312"/>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r>
        <w:rPr>
          <w:rFonts w:hint="eastAsia" w:ascii="仿宋_GB2312" w:eastAsia="仿宋_GB2312"/>
          <w:szCs w:val="21"/>
          <w:lang w:eastAsia="zh-CN"/>
        </w:rPr>
        <w:t>。</w:t>
      </w:r>
    </w:p>
    <w:p w14:paraId="086DE4C6">
      <w:pPr>
        <w:ind w:firstLine="420"/>
        <w:jc w:val="left"/>
        <w:rPr>
          <w:rFonts w:hint="eastAsia" w:ascii="仿宋_GB2312" w:eastAsia="仿宋_GB2312"/>
          <w:szCs w:val="21"/>
        </w:rPr>
      </w:pPr>
      <w:r>
        <w:rPr>
          <w:rFonts w:hint="eastAsia" w:ascii="仿宋_GB2312" w:eastAsia="仿宋_GB2312"/>
          <w:szCs w:val="21"/>
        </w:rPr>
        <w:t>（</w:t>
      </w:r>
      <w:r>
        <w:rPr>
          <w:rFonts w:hint="eastAsia" w:ascii="仿宋_GB2312" w:eastAsia="仿宋_GB2312"/>
          <w:szCs w:val="21"/>
          <w:lang w:eastAsia="zh-CN"/>
        </w:rPr>
        <w:t>8</w:t>
      </w:r>
      <w:r>
        <w:rPr>
          <w:rFonts w:hint="eastAsia" w:ascii="仿宋_GB2312" w:eastAsia="仿宋_GB2312"/>
          <w:szCs w:val="21"/>
        </w:rPr>
        <w:t>）投资公募REITs可能面临的风险</w:t>
      </w:r>
    </w:p>
    <w:p w14:paraId="6865C7AC">
      <w:pPr>
        <w:ind w:firstLine="420"/>
        <w:jc w:val="left"/>
        <w:rPr>
          <w:rFonts w:hint="eastAsia" w:ascii="仿宋_GB2312" w:eastAsia="仿宋_GB2312"/>
          <w:szCs w:val="21"/>
        </w:rPr>
      </w:pPr>
      <w:r>
        <w:rPr>
          <w:rFonts w:hint="eastAsia" w:ascii="仿宋_GB2312" w:eastAsia="仿宋_GB2312"/>
          <w:szCs w:val="21"/>
        </w:rPr>
        <w:t>本基金根据投资策略需要或市场环境变化，可选择将部分基金资产投资于公募REITs，但本基金并非必然投资公募REITs。投资公募REITs可能面临以下风险，包括但不限于：1）基金价格波动风险 2）不动产项目运营风险 3）基金份额交易价格折溢价风险 4）流动性风险 5）终止上市风险 6）政策调整风险 7）利益冲突风险 8）估值风险 9）市场风险 10）公募REITs相关法律法规和交易所业务规则，可能根据市场情况进行修改，或者制定新的法律法规和业务规则，投资者应当及时予以关注和了解。</w:t>
      </w:r>
    </w:p>
    <w:p w14:paraId="5793C849">
      <w:pPr>
        <w:ind w:firstLine="420"/>
        <w:jc w:val="left"/>
        <w:rPr>
          <w:rFonts w:ascii="仿宋_GB2312" w:eastAsia="仿宋_GB2312"/>
          <w:szCs w:val="21"/>
        </w:rPr>
      </w:pPr>
      <w:r>
        <w:rPr>
          <w:rFonts w:hint="eastAsia" w:ascii="仿宋_GB2312" w:eastAsia="仿宋_GB2312"/>
          <w:szCs w:val="21"/>
        </w:rPr>
        <w:t>（</w:t>
      </w:r>
      <w:r>
        <w:rPr>
          <w:rFonts w:hint="eastAsia" w:ascii="仿宋_GB2312" w:eastAsia="仿宋_GB2312"/>
          <w:szCs w:val="21"/>
          <w:lang w:val="en-US" w:eastAsia="zh-CN"/>
        </w:rPr>
        <w:t>9</w:t>
      </w:r>
      <w:r>
        <w:rPr>
          <w:rFonts w:hint="eastAsia" w:ascii="仿宋_GB2312" w:eastAsia="仿宋_GB2312"/>
          <w:szCs w:val="21"/>
        </w:rPr>
        <w:t>）</w:t>
      </w:r>
      <w:r>
        <w:rPr>
          <w:rFonts w:hint="eastAsia" w:ascii="仿宋_GB2312" w:eastAsia="仿宋_GB2312"/>
          <w:bCs/>
          <w:szCs w:val="21"/>
        </w:rPr>
        <w:t>投资存托凭证的特定风险</w:t>
      </w:r>
    </w:p>
    <w:p w14:paraId="335FAA7C">
      <w:pPr>
        <w:ind w:firstLine="420"/>
        <w:jc w:val="left"/>
        <w:rPr>
          <w:rFonts w:ascii="仿宋_GB2312" w:eastAsia="仿宋_GB2312"/>
          <w:szCs w:val="21"/>
        </w:rPr>
      </w:pPr>
      <w:r>
        <w:rPr>
          <w:rFonts w:hint="eastAsia" w:ascii="仿宋_GB2312" w:eastAsia="仿宋_GB2312"/>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14:paraId="6EEFD37B">
      <w:pPr>
        <w:ind w:firstLine="420"/>
        <w:jc w:val="left"/>
        <w:rPr>
          <w:rFonts w:ascii="仿宋_GB2312" w:eastAsia="仿宋_GB2312"/>
          <w:szCs w:val="21"/>
        </w:rPr>
      </w:pPr>
      <w:r>
        <w:rPr>
          <w:rFonts w:hint="eastAsia" w:ascii="仿宋_GB2312" w:eastAsia="仿宋_GB2312"/>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1AD79C2A">
      <w:pPr>
        <w:ind w:firstLine="420"/>
        <w:jc w:val="left"/>
        <w:rPr>
          <w:rFonts w:ascii="仿宋_GB2312" w:eastAsia="仿宋_GB2312"/>
          <w:szCs w:val="21"/>
        </w:rPr>
      </w:pPr>
      <w:r>
        <w:rPr>
          <w:rFonts w:hint="eastAsia" w:ascii="仿宋_GB2312" w:eastAsia="仿宋_GB2312"/>
          <w:szCs w:val="21"/>
        </w:rPr>
        <w:t>本基金可根据投资策略需要或市场环境的变化，选择将部分基金资产投资于存托凭证或选择不将基金资产投资于存托凭证，基金资产并非必然投资存托凭证</w:t>
      </w:r>
      <w:r>
        <w:rPr>
          <w:rFonts w:hint="eastAsia" w:ascii="仿宋_GB2312" w:eastAsia="仿宋_GB2312"/>
          <w:szCs w:val="21"/>
          <w:lang w:eastAsia="zh-CN"/>
        </w:rPr>
        <w:t>。</w:t>
      </w:r>
    </w:p>
    <w:p w14:paraId="39959FF6">
      <w:pPr>
        <w:ind w:firstLine="420"/>
        <w:jc w:val="left"/>
        <w:rPr>
          <w:rFonts w:ascii="仿宋_GB2312" w:eastAsia="仿宋_GB2312"/>
          <w:szCs w:val="21"/>
        </w:rPr>
      </w:pPr>
      <w:r>
        <w:rPr>
          <w:rFonts w:hint="eastAsia" w:ascii="仿宋_GB2312" w:eastAsia="仿宋_GB2312"/>
          <w:szCs w:val="21"/>
        </w:rPr>
        <w:t>（</w:t>
      </w:r>
      <w:r>
        <w:rPr>
          <w:rFonts w:hint="eastAsia" w:ascii="仿宋_GB2312" w:eastAsia="仿宋_GB2312"/>
          <w:szCs w:val="21"/>
          <w:lang w:val="en-US" w:eastAsia="zh-CN"/>
        </w:rPr>
        <w:t>10</w:t>
      </w:r>
      <w:r>
        <w:rPr>
          <w:rFonts w:hint="eastAsia" w:ascii="仿宋_GB2312" w:eastAsia="仿宋_GB2312"/>
          <w:szCs w:val="21"/>
        </w:rPr>
        <w:t>）投资国债期货的特定风险</w:t>
      </w:r>
    </w:p>
    <w:p w14:paraId="27A7A3E2">
      <w:pPr>
        <w:ind w:firstLine="420"/>
        <w:jc w:val="left"/>
        <w:rPr>
          <w:rFonts w:ascii="仿宋_GB2312" w:eastAsia="仿宋_GB2312"/>
          <w:szCs w:val="21"/>
        </w:rPr>
      </w:pPr>
      <w:r>
        <w:rPr>
          <w:rFonts w:hint="eastAsia" w:ascii="仿宋_GB2312" w:eastAsia="仿宋_GB2312"/>
          <w:szCs w:val="21"/>
        </w:rPr>
        <w:t>本基金可投资国债期货，国债期货的投资可能给本基金带来额外风险。国债期货的投资可能面临市场风险、基差风险、流动性风险。市场风险是因期货市场价格波动使所持有的期货合约价值发生变化的风险。基差风险是期货市场的特有风险之一，是指由于期货与现货之间价差的波动，影响套期保值或套利效果，使之发生意外损益的风险。流动性风险可分为两类：一类为流通量风险，是指期货合约无法及时以所希望的价格建立或了结头寸的风险，此类风险往往是由市场缺乏广度或深度导致的；另一类为资金量风险，是指资金量无法满足保证金要求，使得所持有的头寸面临被强制平仓的风险</w:t>
      </w:r>
      <w:r>
        <w:rPr>
          <w:rFonts w:hint="eastAsia" w:ascii="仿宋_GB2312" w:eastAsia="仿宋_GB2312"/>
          <w:szCs w:val="21"/>
          <w:lang w:eastAsia="zh-CN"/>
        </w:rPr>
        <w:t>。</w:t>
      </w:r>
    </w:p>
    <w:p w14:paraId="394C558F">
      <w:pPr>
        <w:ind w:firstLine="420"/>
        <w:jc w:val="left"/>
        <w:rPr>
          <w:rFonts w:ascii="仿宋_GB2312" w:eastAsia="仿宋_GB2312"/>
          <w:szCs w:val="21"/>
        </w:rPr>
      </w:pPr>
      <w:r>
        <w:rPr>
          <w:rFonts w:hint="eastAsia" w:ascii="仿宋_GB2312" w:eastAsia="仿宋_GB2312"/>
          <w:szCs w:val="21"/>
        </w:rPr>
        <w:t>（</w:t>
      </w:r>
      <w:r>
        <w:rPr>
          <w:rFonts w:hint="eastAsia" w:ascii="仿宋_GB2312" w:eastAsia="仿宋_GB2312"/>
          <w:szCs w:val="21"/>
          <w:lang w:val="en-US" w:eastAsia="zh-CN"/>
        </w:rPr>
        <w:t>11</w:t>
      </w:r>
      <w:r>
        <w:rPr>
          <w:rFonts w:hint="eastAsia" w:ascii="仿宋_GB2312" w:eastAsia="仿宋_GB2312"/>
          <w:szCs w:val="21"/>
        </w:rPr>
        <w:t>）信用衍生品投资风险</w:t>
      </w:r>
    </w:p>
    <w:p w14:paraId="344E7996">
      <w:pPr>
        <w:ind w:firstLine="420"/>
        <w:jc w:val="left"/>
        <w:rPr>
          <w:rFonts w:ascii="仿宋_GB2312" w:eastAsia="仿宋_GB2312"/>
          <w:szCs w:val="21"/>
        </w:rPr>
      </w:pPr>
      <w:r>
        <w:rPr>
          <w:rFonts w:hint="eastAsia" w:ascii="仿宋_GB2312" w:eastAsia="仿宋_GB2312"/>
          <w:szCs w:val="21"/>
        </w:rPr>
        <w:t>为对冲信用风险，本基金可能投资于信用衍生品，若投资信用衍生品可能面临流动性风险、偿付风险以及价格波动风险等。流动性风险是指信用衍生品在交易转让过程中，因无法找到交易对手或交易对手较少，导致难以将其以合理价格变现的风险。偿付风险是在信用衍生品的存续期内，由于不可控制的市场及环境变化，创设机构可能出现经营情况不佳，或创设机构的现金流与预期出现一定的偏差，从而影响信用衍生品结算的风险。价格波动风险是由于创设机构或所受保护债券主体，经营情况或利率环境出现变化，引起信用衍生品交易价格波动的风险</w:t>
      </w:r>
      <w:r>
        <w:rPr>
          <w:rFonts w:hint="eastAsia" w:ascii="仿宋_GB2312" w:eastAsia="仿宋_GB2312"/>
          <w:szCs w:val="21"/>
          <w:lang w:eastAsia="zh-CN"/>
        </w:rPr>
        <w:t>。</w:t>
      </w:r>
    </w:p>
    <w:p w14:paraId="22EABEC3">
      <w:pPr>
        <w:ind w:firstLine="420"/>
        <w:jc w:val="left"/>
        <w:rPr>
          <w:rFonts w:ascii="仿宋_GB2312" w:eastAsia="仿宋_GB2312"/>
          <w:szCs w:val="21"/>
        </w:rPr>
      </w:pPr>
      <w:r>
        <w:rPr>
          <w:rFonts w:hint="eastAsia" w:ascii="仿宋_GB2312" w:eastAsia="仿宋_GB2312"/>
          <w:szCs w:val="21"/>
        </w:rPr>
        <w:t>6、本基金法律文件风险收益特征表述与销售机构基金风险评价可能不一致的风险</w:t>
      </w:r>
    </w:p>
    <w:p w14:paraId="3CF9E381">
      <w:pPr>
        <w:ind w:firstLine="420"/>
        <w:jc w:val="left"/>
        <w:rPr>
          <w:rFonts w:ascii="仿宋_GB2312" w:eastAsia="仿宋_GB2312"/>
          <w:szCs w:val="21"/>
        </w:rPr>
      </w:pPr>
      <w:r>
        <w:rPr>
          <w:rFonts w:hint="eastAsia" w:ascii="仿宋_GB2312" w:eastAsia="仿宋_GB2312"/>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14:paraId="340ED2B7">
      <w:pPr>
        <w:ind w:firstLine="420"/>
        <w:jc w:val="left"/>
        <w:rPr>
          <w:rFonts w:ascii="仿宋_GB2312" w:eastAsia="仿宋_GB2312"/>
          <w:szCs w:val="21"/>
        </w:rPr>
      </w:pPr>
      <w:r>
        <w:rPr>
          <w:rFonts w:ascii="仿宋_GB2312" w:eastAsia="仿宋_GB2312"/>
          <w:szCs w:val="21"/>
        </w:rPr>
        <w:t>7</w:t>
      </w:r>
      <w:r>
        <w:rPr>
          <w:rFonts w:hint="eastAsia" w:ascii="仿宋_GB2312" w:eastAsia="仿宋_GB2312"/>
          <w:szCs w:val="21"/>
        </w:rPr>
        <w:t>、其他风险</w:t>
      </w:r>
    </w:p>
    <w:p w14:paraId="156B3D2B">
      <w:pPr>
        <w:jc w:val="left"/>
        <w:rPr>
          <w:rFonts w:ascii="仿宋_GB2312" w:eastAsia="仿宋_GB2312"/>
          <w:b/>
          <w:szCs w:val="21"/>
        </w:rPr>
      </w:pPr>
      <w:r>
        <w:rPr>
          <w:rFonts w:hint="eastAsia" w:ascii="仿宋_GB2312" w:eastAsia="仿宋_GB2312"/>
          <w:b/>
          <w:szCs w:val="21"/>
        </w:rPr>
        <w:t>（二）重要提示</w:t>
      </w:r>
    </w:p>
    <w:p w14:paraId="18FB3ACA">
      <w:pPr>
        <w:ind w:firstLine="420"/>
        <w:jc w:val="left"/>
        <w:rPr>
          <w:rFonts w:ascii="仿宋_GB2312" w:eastAsia="仿宋_GB2312"/>
          <w:szCs w:val="21"/>
        </w:rPr>
      </w:pPr>
      <w:r>
        <w:rPr>
          <w:rFonts w:hint="eastAsia" w:ascii="仿宋_GB2312" w:eastAsia="仿宋_GB2312"/>
          <w:szCs w:val="21"/>
        </w:rPr>
        <w:t>中国证监会对本基金募集的核准或注册，并不表明其对本基金的价值和收益作出实质性判断或保证，也不表明投资于本基金没有风险。</w:t>
      </w:r>
    </w:p>
    <w:p w14:paraId="66705BC3">
      <w:pPr>
        <w:ind w:firstLine="420"/>
        <w:jc w:val="left"/>
        <w:rPr>
          <w:rFonts w:ascii="仿宋_GB2312" w:eastAsia="仿宋_GB2312"/>
          <w:szCs w:val="21"/>
        </w:rPr>
      </w:pPr>
      <w:r>
        <w:rPr>
          <w:rFonts w:hint="eastAsia" w:ascii="仿宋_GB2312" w:eastAsia="仿宋_GB2312"/>
          <w:szCs w:val="21"/>
        </w:rPr>
        <w:t>基金管理人依照恪尽职守、诚实信用、谨慎勤勉的原则管理和运用基金财产，但不保证基金一定盈利，也不保证最低收益。</w:t>
      </w:r>
    </w:p>
    <w:p w14:paraId="5F700A9E">
      <w:pPr>
        <w:ind w:firstLine="420"/>
        <w:jc w:val="left"/>
        <w:rPr>
          <w:rFonts w:ascii="仿宋_GB2312" w:eastAsia="仿宋_GB2312"/>
          <w:szCs w:val="21"/>
        </w:rPr>
      </w:pPr>
      <w:r>
        <w:rPr>
          <w:rFonts w:hint="eastAsia" w:ascii="仿宋_GB2312" w:eastAsia="仿宋_GB2312"/>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14:paraId="3CC6B3F8">
      <w:pPr>
        <w:ind w:firstLine="420"/>
        <w:jc w:val="left"/>
        <w:rPr>
          <w:rFonts w:ascii="仿宋_GB2312" w:eastAsia="仿宋_GB2312"/>
          <w:szCs w:val="21"/>
        </w:rPr>
      </w:pPr>
      <w:r>
        <w:rPr>
          <w:rFonts w:hint="eastAsia" w:ascii="仿宋_GB2312" w:eastAsia="仿宋_GB2312"/>
          <w:szCs w:val="21"/>
        </w:rPr>
        <w:t>销售机构的风险等级评价与基金法律文件中风险收益特征的表述可能存在不同，投资人在购买本基金时需按照销售机构的要求完成风险承受能力与产品风险之间的匹配检验。</w:t>
      </w:r>
    </w:p>
    <w:p w14:paraId="593E5085">
      <w:pPr>
        <w:ind w:firstLine="420"/>
        <w:jc w:val="left"/>
        <w:rPr>
          <w:rFonts w:ascii="仿宋_GB2312" w:eastAsia="仿宋_GB2312"/>
          <w:b/>
          <w:szCs w:val="21"/>
        </w:rPr>
      </w:pPr>
      <w:r>
        <w:rPr>
          <w:rFonts w:hint="eastAsia" w:ascii="仿宋_GB2312" w:eastAsia="仿宋_GB2312"/>
          <w:b/>
          <w:szCs w:val="21"/>
        </w:rPr>
        <w:t>▲▲因基金合同而产生的或与基金合同有关的一切争议，如经友好协商未能解决的，任何一方均有权将争议提交上海国际经济贸易仲裁委员会，按其届时有效的仲裁规则进行仲裁。仲裁地点为上海市。</w:t>
      </w:r>
    </w:p>
    <w:p w14:paraId="279E5BCD">
      <w:pPr>
        <w:ind w:firstLine="420"/>
        <w:jc w:val="left"/>
        <w:rPr>
          <w:rFonts w:ascii="仿宋_GB2312" w:eastAsia="仿宋_GB2312"/>
          <w:szCs w:val="21"/>
        </w:rPr>
      </w:pPr>
      <w:r>
        <w:rPr>
          <w:rFonts w:hint="eastAsia" w:ascii="仿宋_GB2312" w:eastAsia="仿宋_GB2312"/>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14:paraId="429CFE69">
      <w:pPr>
        <w:jc w:val="left"/>
        <w:rPr>
          <w:rFonts w:ascii="仿宋_GB2312" w:eastAsia="仿宋_GB2312"/>
          <w:b/>
          <w:szCs w:val="21"/>
        </w:rPr>
      </w:pPr>
      <w:r>
        <w:rPr>
          <w:rFonts w:hint="eastAsia" w:ascii="仿宋_GB2312" w:eastAsia="仿宋_GB2312"/>
          <w:b/>
          <w:szCs w:val="21"/>
        </w:rPr>
        <w:t>五、其他资料查询方式</w:t>
      </w:r>
    </w:p>
    <w:p w14:paraId="469A16F3">
      <w:pPr>
        <w:ind w:firstLine="420"/>
        <w:jc w:val="left"/>
        <w:rPr>
          <w:rFonts w:ascii="仿宋_GB2312" w:eastAsia="仿宋_GB2312"/>
          <w:szCs w:val="21"/>
        </w:rPr>
      </w:pPr>
      <w:r>
        <w:rPr>
          <w:rFonts w:hint="eastAsia" w:ascii="仿宋_GB2312" w:eastAsia="仿宋_GB2312"/>
          <w:szCs w:val="21"/>
        </w:rPr>
        <w:t>以下资料详见交银施罗德基金官方网站[www.fund001.com][客服电话：400-700-5000]</w:t>
      </w:r>
    </w:p>
    <w:p w14:paraId="6187859D">
      <w:pPr>
        <w:ind w:firstLine="420"/>
        <w:jc w:val="left"/>
        <w:rPr>
          <w:rFonts w:ascii="仿宋_GB2312" w:eastAsia="仿宋_GB2312"/>
          <w:szCs w:val="21"/>
        </w:rPr>
      </w:pPr>
      <w:r>
        <w:rPr>
          <w:rFonts w:hint="eastAsia" w:ascii="仿宋_GB2312" w:eastAsia="仿宋_GB2312"/>
          <w:szCs w:val="21"/>
        </w:rPr>
        <w:t>●《交银施罗德佳盛债券型证券投资基金基金合同》、</w:t>
      </w:r>
    </w:p>
    <w:p w14:paraId="3585F3E5">
      <w:pPr>
        <w:ind w:firstLine="420"/>
        <w:jc w:val="left"/>
        <w:rPr>
          <w:rFonts w:ascii="仿宋_GB2312" w:eastAsia="仿宋_GB2312"/>
          <w:szCs w:val="21"/>
        </w:rPr>
      </w:pPr>
      <w:r>
        <w:rPr>
          <w:rFonts w:hint="eastAsia" w:ascii="仿宋_GB2312" w:eastAsia="仿宋_GB2312"/>
          <w:szCs w:val="21"/>
        </w:rPr>
        <w:t>《交银施罗德佳盛债券型证券投资基金托管协议》、</w:t>
      </w:r>
    </w:p>
    <w:p w14:paraId="0E0854B2">
      <w:pPr>
        <w:ind w:firstLine="420"/>
        <w:jc w:val="left"/>
        <w:rPr>
          <w:rFonts w:ascii="仿宋_GB2312" w:eastAsia="仿宋_GB2312"/>
          <w:szCs w:val="21"/>
        </w:rPr>
      </w:pPr>
      <w:r>
        <w:rPr>
          <w:rFonts w:hint="eastAsia" w:ascii="仿宋_GB2312" w:eastAsia="仿宋_GB2312"/>
          <w:szCs w:val="21"/>
        </w:rPr>
        <w:t>《交银施罗德佳盛债券型证券投资基金招募说明书》</w:t>
      </w:r>
    </w:p>
    <w:p w14:paraId="75741901">
      <w:pPr>
        <w:ind w:firstLine="420"/>
        <w:jc w:val="left"/>
        <w:rPr>
          <w:rFonts w:ascii="仿宋_GB2312" w:eastAsia="仿宋_GB2312"/>
          <w:szCs w:val="21"/>
        </w:rPr>
      </w:pPr>
      <w:r>
        <w:rPr>
          <w:rFonts w:hint="eastAsia" w:ascii="仿宋_GB2312" w:eastAsia="仿宋_GB2312"/>
          <w:szCs w:val="21"/>
        </w:rPr>
        <w:t>●定期报告，包括基金季度报告、中期报告和年度报告</w:t>
      </w:r>
    </w:p>
    <w:p w14:paraId="65421A53">
      <w:pPr>
        <w:ind w:firstLine="420"/>
        <w:jc w:val="left"/>
        <w:rPr>
          <w:rFonts w:ascii="仿宋_GB2312" w:eastAsia="仿宋_GB2312"/>
          <w:szCs w:val="21"/>
        </w:rPr>
      </w:pPr>
      <w:r>
        <w:rPr>
          <w:rFonts w:hint="eastAsia" w:ascii="仿宋_GB2312" w:eastAsia="仿宋_GB2312"/>
          <w:szCs w:val="21"/>
        </w:rPr>
        <w:t>●基金份额净值</w:t>
      </w:r>
    </w:p>
    <w:p w14:paraId="651660DD">
      <w:pPr>
        <w:ind w:firstLine="420"/>
        <w:jc w:val="left"/>
        <w:rPr>
          <w:rFonts w:ascii="仿宋_GB2312" w:eastAsia="仿宋_GB2312"/>
          <w:szCs w:val="21"/>
        </w:rPr>
      </w:pPr>
      <w:r>
        <w:rPr>
          <w:rFonts w:hint="eastAsia" w:ascii="仿宋_GB2312" w:eastAsia="仿宋_GB2312"/>
          <w:szCs w:val="21"/>
        </w:rPr>
        <w:t>●基金销售机构及联系方式</w:t>
      </w:r>
    </w:p>
    <w:p w14:paraId="4D69D7C1">
      <w:pPr>
        <w:ind w:firstLine="420"/>
        <w:jc w:val="left"/>
        <w:rPr>
          <w:rFonts w:ascii="仿宋_GB2312" w:eastAsia="仿宋_GB2312"/>
          <w:szCs w:val="21"/>
        </w:rPr>
      </w:pPr>
      <w:r>
        <w:rPr>
          <w:rFonts w:hint="eastAsia" w:ascii="仿宋_GB2312" w:eastAsia="仿宋_GB2312"/>
          <w:szCs w:val="21"/>
        </w:rPr>
        <w:t>●其他重要资料</w:t>
      </w:r>
    </w:p>
    <w:p w14:paraId="4526B480">
      <w:pPr>
        <w:jc w:val="left"/>
        <w:rPr>
          <w:rFonts w:ascii="仿宋_GB2312" w:eastAsia="仿宋_GB2312"/>
          <w:b/>
          <w:szCs w:val="21"/>
        </w:rPr>
      </w:pPr>
      <w:r>
        <w:rPr>
          <w:rFonts w:hint="eastAsia" w:ascii="仿宋_GB2312" w:eastAsia="仿宋_GB2312"/>
          <w:b/>
          <w:szCs w:val="21"/>
        </w:rPr>
        <w:t>六、其他情况说明</w:t>
      </w:r>
    </w:p>
    <w:p w14:paraId="3859E542">
      <w:pPr>
        <w:ind w:firstLine="420"/>
        <w:jc w:val="left"/>
        <w:rPr>
          <w:rFonts w:ascii="仿宋_GB2312" w:eastAsia="仿宋_GB2312"/>
          <w:szCs w:val="21"/>
        </w:rPr>
      </w:pPr>
      <w:r>
        <w:rPr>
          <w:rFonts w:hint="eastAsia" w:ascii="仿宋_GB2312" w:eastAsia="仿宋_GB2312"/>
          <w:szCs w:val="21"/>
        </w:rPr>
        <w:t>无。</w:t>
      </w:r>
    </w:p>
    <w:sectPr>
      <w:pgSz w:w="11906" w:h="16838"/>
      <w:pgMar w:top="720" w:right="720" w:bottom="720" w:left="72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roman"/>
    <w:pitch w:val="default"/>
    <w:sig w:usb0="00000000" w:usb1="00000000" w:usb2="00000010" w:usb3="00000000" w:csb0="00040000" w:csb1="00000000"/>
  </w:font>
  <w:font w:name="FZHTJW--GB1-0">
    <w:altName w:val="Segoe Print"/>
    <w:panose1 w:val="00000000000000000000"/>
    <w:charset w:val="00"/>
    <w:family w:val="roman"/>
    <w:pitch w:val="default"/>
    <w:sig w:usb0="00000000" w:usb1="00000000" w:usb2="00000000" w:usb3="00000000" w:csb0="00000000" w:csb1="00000000"/>
  </w:font>
  <w:font w:name="FZFSJW--GB1-0">
    <w:altName w:val="Segoe Print"/>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210"/>
    <w:rsid w:val="0000628E"/>
    <w:rsid w:val="0001677C"/>
    <w:rsid w:val="000259C4"/>
    <w:rsid w:val="0002699D"/>
    <w:rsid w:val="000316D5"/>
    <w:rsid w:val="00034C87"/>
    <w:rsid w:val="00076DDF"/>
    <w:rsid w:val="00094816"/>
    <w:rsid w:val="000A05F5"/>
    <w:rsid w:val="000A364A"/>
    <w:rsid w:val="000C5F24"/>
    <w:rsid w:val="000F07AF"/>
    <w:rsid w:val="000F2329"/>
    <w:rsid w:val="00113C4E"/>
    <w:rsid w:val="00122288"/>
    <w:rsid w:val="00131F08"/>
    <w:rsid w:val="00144A6B"/>
    <w:rsid w:val="00146A49"/>
    <w:rsid w:val="00183BB5"/>
    <w:rsid w:val="0019752C"/>
    <w:rsid w:val="001D3F51"/>
    <w:rsid w:val="001D7AF6"/>
    <w:rsid w:val="001E402A"/>
    <w:rsid w:val="001F6CE6"/>
    <w:rsid w:val="00203836"/>
    <w:rsid w:val="00226D15"/>
    <w:rsid w:val="002466FE"/>
    <w:rsid w:val="00265100"/>
    <w:rsid w:val="00266E90"/>
    <w:rsid w:val="00267760"/>
    <w:rsid w:val="00276E90"/>
    <w:rsid w:val="00284CB1"/>
    <w:rsid w:val="00287210"/>
    <w:rsid w:val="00294213"/>
    <w:rsid w:val="002A000D"/>
    <w:rsid w:val="002A4174"/>
    <w:rsid w:val="002B0BD1"/>
    <w:rsid w:val="002B77CD"/>
    <w:rsid w:val="002B78DD"/>
    <w:rsid w:val="002F4409"/>
    <w:rsid w:val="002F5DBC"/>
    <w:rsid w:val="00303ADB"/>
    <w:rsid w:val="0033232A"/>
    <w:rsid w:val="003338D0"/>
    <w:rsid w:val="00335FE8"/>
    <w:rsid w:val="00341F1E"/>
    <w:rsid w:val="00343729"/>
    <w:rsid w:val="00344184"/>
    <w:rsid w:val="00382693"/>
    <w:rsid w:val="003910C2"/>
    <w:rsid w:val="00395AB9"/>
    <w:rsid w:val="003A35CE"/>
    <w:rsid w:val="003C4E26"/>
    <w:rsid w:val="003E751E"/>
    <w:rsid w:val="00401C56"/>
    <w:rsid w:val="00414961"/>
    <w:rsid w:val="004168C0"/>
    <w:rsid w:val="00436CCE"/>
    <w:rsid w:val="00447692"/>
    <w:rsid w:val="00490EE1"/>
    <w:rsid w:val="00491227"/>
    <w:rsid w:val="004A275D"/>
    <w:rsid w:val="004B58F5"/>
    <w:rsid w:val="004B7A39"/>
    <w:rsid w:val="00503D29"/>
    <w:rsid w:val="0051444D"/>
    <w:rsid w:val="005343E7"/>
    <w:rsid w:val="00571C2D"/>
    <w:rsid w:val="00585D5F"/>
    <w:rsid w:val="005924F5"/>
    <w:rsid w:val="0059385A"/>
    <w:rsid w:val="005A3243"/>
    <w:rsid w:val="005B72DC"/>
    <w:rsid w:val="00614BFE"/>
    <w:rsid w:val="006240B9"/>
    <w:rsid w:val="00631646"/>
    <w:rsid w:val="0065396B"/>
    <w:rsid w:val="006666D3"/>
    <w:rsid w:val="00666D1C"/>
    <w:rsid w:val="006A53E7"/>
    <w:rsid w:val="006A5546"/>
    <w:rsid w:val="006C0AEE"/>
    <w:rsid w:val="006C5242"/>
    <w:rsid w:val="006C680B"/>
    <w:rsid w:val="006E4266"/>
    <w:rsid w:val="006F28ED"/>
    <w:rsid w:val="006F689C"/>
    <w:rsid w:val="00703619"/>
    <w:rsid w:val="0070430F"/>
    <w:rsid w:val="00722C51"/>
    <w:rsid w:val="00731188"/>
    <w:rsid w:val="007434D5"/>
    <w:rsid w:val="00756A51"/>
    <w:rsid w:val="00762837"/>
    <w:rsid w:val="00767851"/>
    <w:rsid w:val="0079421D"/>
    <w:rsid w:val="007A64C5"/>
    <w:rsid w:val="007C0812"/>
    <w:rsid w:val="007D6B10"/>
    <w:rsid w:val="007E24CA"/>
    <w:rsid w:val="007F4B44"/>
    <w:rsid w:val="00846EFA"/>
    <w:rsid w:val="008534B4"/>
    <w:rsid w:val="008539EF"/>
    <w:rsid w:val="00854EF9"/>
    <w:rsid w:val="00854FEF"/>
    <w:rsid w:val="00860D78"/>
    <w:rsid w:val="00863854"/>
    <w:rsid w:val="00880454"/>
    <w:rsid w:val="008838C6"/>
    <w:rsid w:val="00887343"/>
    <w:rsid w:val="00896FD7"/>
    <w:rsid w:val="008A6FA6"/>
    <w:rsid w:val="00902522"/>
    <w:rsid w:val="0090269C"/>
    <w:rsid w:val="00903B54"/>
    <w:rsid w:val="00922F1A"/>
    <w:rsid w:val="00934A67"/>
    <w:rsid w:val="009659BA"/>
    <w:rsid w:val="009728DC"/>
    <w:rsid w:val="009C04D0"/>
    <w:rsid w:val="009C0C41"/>
    <w:rsid w:val="009C47FD"/>
    <w:rsid w:val="009F01D0"/>
    <w:rsid w:val="009F4EAE"/>
    <w:rsid w:val="00A007DA"/>
    <w:rsid w:val="00A410EC"/>
    <w:rsid w:val="00A86BED"/>
    <w:rsid w:val="00A970C8"/>
    <w:rsid w:val="00AB59CB"/>
    <w:rsid w:val="00AC1DC1"/>
    <w:rsid w:val="00AE7D9C"/>
    <w:rsid w:val="00AF7A1E"/>
    <w:rsid w:val="00B32489"/>
    <w:rsid w:val="00B415E4"/>
    <w:rsid w:val="00B55409"/>
    <w:rsid w:val="00B8263A"/>
    <w:rsid w:val="00B9534D"/>
    <w:rsid w:val="00BC200C"/>
    <w:rsid w:val="00BE263B"/>
    <w:rsid w:val="00C04141"/>
    <w:rsid w:val="00C0525C"/>
    <w:rsid w:val="00C2694C"/>
    <w:rsid w:val="00C43176"/>
    <w:rsid w:val="00C53175"/>
    <w:rsid w:val="00C62634"/>
    <w:rsid w:val="00CA1AC0"/>
    <w:rsid w:val="00CB1CD4"/>
    <w:rsid w:val="00CD7637"/>
    <w:rsid w:val="00D04A15"/>
    <w:rsid w:val="00D12C4D"/>
    <w:rsid w:val="00D142C5"/>
    <w:rsid w:val="00D16918"/>
    <w:rsid w:val="00D21E6A"/>
    <w:rsid w:val="00D22A28"/>
    <w:rsid w:val="00D373CC"/>
    <w:rsid w:val="00D50D02"/>
    <w:rsid w:val="00D571CE"/>
    <w:rsid w:val="00DB319C"/>
    <w:rsid w:val="00DF3EF9"/>
    <w:rsid w:val="00DF4374"/>
    <w:rsid w:val="00E51B6D"/>
    <w:rsid w:val="00E57C58"/>
    <w:rsid w:val="00E91EE6"/>
    <w:rsid w:val="00EC097C"/>
    <w:rsid w:val="00ED554E"/>
    <w:rsid w:val="00EE0CCB"/>
    <w:rsid w:val="00EE785F"/>
    <w:rsid w:val="00EF2579"/>
    <w:rsid w:val="00F020C2"/>
    <w:rsid w:val="00F141B3"/>
    <w:rsid w:val="00F33107"/>
    <w:rsid w:val="00F61B83"/>
    <w:rsid w:val="00F75715"/>
    <w:rsid w:val="00F811C4"/>
    <w:rsid w:val="00FB77CC"/>
    <w:rsid w:val="00FC2918"/>
    <w:rsid w:val="00FF12C7"/>
    <w:rsid w:val="03C2567E"/>
    <w:rsid w:val="07E74A05"/>
    <w:rsid w:val="0AF50621"/>
    <w:rsid w:val="0BA40293"/>
    <w:rsid w:val="0DEA128E"/>
    <w:rsid w:val="12794C71"/>
    <w:rsid w:val="1EB162F3"/>
    <w:rsid w:val="21505B39"/>
    <w:rsid w:val="2215224F"/>
    <w:rsid w:val="2272771B"/>
    <w:rsid w:val="25566881"/>
    <w:rsid w:val="270A6E69"/>
    <w:rsid w:val="2BA008B6"/>
    <w:rsid w:val="2BAA03CB"/>
    <w:rsid w:val="2CFA54AA"/>
    <w:rsid w:val="2FD46532"/>
    <w:rsid w:val="307A37A6"/>
    <w:rsid w:val="36D41E85"/>
    <w:rsid w:val="3C517744"/>
    <w:rsid w:val="3C6D277E"/>
    <w:rsid w:val="3F651E10"/>
    <w:rsid w:val="429E583D"/>
    <w:rsid w:val="46373FB6"/>
    <w:rsid w:val="46AD0808"/>
    <w:rsid w:val="4DE2770C"/>
    <w:rsid w:val="52EE3099"/>
    <w:rsid w:val="536A7BE8"/>
    <w:rsid w:val="55E24503"/>
    <w:rsid w:val="62590066"/>
    <w:rsid w:val="65690647"/>
    <w:rsid w:val="66171A16"/>
    <w:rsid w:val="668C42B2"/>
    <w:rsid w:val="67C670AE"/>
    <w:rsid w:val="68421DF1"/>
    <w:rsid w:val="70E54659"/>
    <w:rsid w:val="760A4E02"/>
    <w:rsid w:val="7C844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字符"/>
    <w:basedOn w:val="9"/>
    <w:link w:val="2"/>
    <w:semiHidden/>
    <w:qFormat/>
    <w:uiPriority w:val="99"/>
  </w:style>
  <w:style w:type="character" w:customStyle="1" w:styleId="15">
    <w:name w:val="批注主题 字符"/>
    <w:basedOn w:val="14"/>
    <w:link w:val="6"/>
    <w:semiHidden/>
    <w:qFormat/>
    <w:uiPriority w:val="99"/>
    <w:rPr>
      <w:b/>
      <w:bCs/>
    </w:rPr>
  </w:style>
  <w:style w:type="character" w:customStyle="1" w:styleId="16">
    <w:name w:val="批注框文本 字符"/>
    <w:basedOn w:val="9"/>
    <w:link w:val="3"/>
    <w:semiHidden/>
    <w:qFormat/>
    <w:uiPriority w:val="99"/>
    <w:rPr>
      <w:sz w:val="18"/>
      <w:szCs w:val="18"/>
    </w:rPr>
  </w:style>
  <w:style w:type="paragraph" w:customStyle="1" w:styleId="17">
    <w:name w:val="修订1"/>
    <w:hidden/>
    <w:semiHidden/>
    <w:qFormat/>
    <w:uiPriority w:val="99"/>
    <w:rPr>
      <w:rFonts w:asciiTheme="minorHAnsi" w:hAnsiTheme="minorHAnsi" w:eastAsiaTheme="minorEastAsia" w:cstheme="minorBidi"/>
      <w:kern w:val="2"/>
      <w:sz w:val="21"/>
      <w:szCs w:val="22"/>
      <w:lang w:val="en-US" w:eastAsia="zh-CN" w:bidi="ar-SA"/>
    </w:rPr>
  </w:style>
  <w:style w:type="table" w:customStyle="1" w:styleId="18">
    <w:name w:val="网格型1"/>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修订2"/>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6350</Words>
  <Characters>6625</Characters>
  <Lines>61</Lines>
  <Paragraphs>17</Paragraphs>
  <TotalTime>7</TotalTime>
  <ScaleCrop>false</ScaleCrop>
  <LinksUpToDate>false</LinksUpToDate>
  <CharactersWithSpaces>6635</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2025-06-19T03:47:00Z</dcterms:created>
  <dc:creator>Cc</dc:creator>
  <cp:lastModifiedBy>zhangjing1</cp:lastModifiedBy>
  <cp:lastPrinted>2023-03-15T09:27:00Z</cp:lastPrinted>
  <dcterms:modified xsi:type="dcterms:W3CDTF">2026-10-27T02:23:44Z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469C5037F72C4551BC5AB6BDEFC4AB3C_13</vt:lpwstr>
  </property>
</Properties>
</file>