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F8000">
      <w:pPr>
        <w:rPr>
          <w:rFonts w:ascii="宋体" w:hAnsi="宋体"/>
          <w:sz w:val="24"/>
        </w:rPr>
      </w:pPr>
    </w:p>
    <w:p w14:paraId="78934036">
      <w:pPr>
        <w:ind w:right="-17" w:rightChars="-8"/>
        <w:rPr>
          <w:rFonts w:eastAsia="黑体"/>
          <w:sz w:val="32"/>
          <w:szCs w:val="32"/>
        </w:rPr>
      </w:pPr>
      <w:r>
        <w:rPr>
          <w:rFonts w:hint="eastAsia"/>
        </w:rPr>
        <mc:AlternateContent>
          <mc:Choice Requires="wps">
            <w:drawing>
              <wp:anchor distT="0" distB="0" distL="114300" distR="114300" simplePos="0" relativeHeight="251659264" behindDoc="0" locked="0" layoutInCell="1" allowOverlap="1">
                <wp:simplePos x="0" y="0"/>
                <wp:positionH relativeFrom="column">
                  <wp:posOffset>2691765</wp:posOffset>
                </wp:positionH>
                <wp:positionV relativeFrom="paragraph">
                  <wp:posOffset>198120</wp:posOffset>
                </wp:positionV>
                <wp:extent cx="1256665" cy="494665"/>
                <wp:effectExtent l="0" t="0" r="0" b="635"/>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256665" cy="494665"/>
                        </a:xfrm>
                        <a:prstGeom prst="rect">
                          <a:avLst/>
                        </a:prstGeom>
                        <a:noFill/>
                        <a:ln>
                          <a:noFill/>
                        </a:ln>
                      </wps:spPr>
                      <wps:txbx>
                        <w:txbxContent>
                          <w:p w14:paraId="4E0247E5">
                            <w:pPr>
                              <w:rPr>
                                <w:b/>
                                <w:sz w:val="28"/>
                                <w:szCs w:val="28"/>
                              </w:rPr>
                            </w:pPr>
                            <w:r>
                              <w:rPr>
                                <w:rFonts w:hint="eastAsia"/>
                                <w:b/>
                                <w:sz w:val="28"/>
                                <w:szCs w:val="28"/>
                              </w:rPr>
                              <w:t>编号：</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11.95pt;margin-top:15.6pt;height:38.95pt;width:98.95pt;z-index:251659264;mso-width-relative:page;mso-height-relative:page;" filled="f" stroked="f" coordsize="21600,21600" o:gfxdata="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FIfPR1gAAAAoBAAAPAAAAAAAA&#10;AAEAIAAAACIAAABkcnMvZG93bnJldi54bWxQSwECFAAUAAAACACHTuJATFTsGBQCAAAVBAAADgAA&#10;AAAAAAABACAAAAAlAQAAZHJzL2Uyb0RvYy54bWxQSwUGAAAAAAYABgBZAQAAqwUAAAAA&#10;">
                <v:fill on="f" focussize="0,0"/>
                <v:stroke on="f"/>
                <v:imagedata o:title=""/>
                <o:lock v:ext="edit" aspectratio="f"/>
                <v:textbox>
                  <w:txbxContent>
                    <w:p w14:paraId="4E0247E5">
                      <w:pPr>
                        <w:rPr>
                          <w:b/>
                          <w:sz w:val="28"/>
                          <w:szCs w:val="28"/>
                        </w:rPr>
                      </w:pPr>
                      <w:r>
                        <w:rPr>
                          <w:rFonts w:hint="eastAsia"/>
                          <w:b/>
                          <w:sz w:val="28"/>
                          <w:szCs w:val="28"/>
                        </w:rPr>
                        <w:t>编号：</w:t>
                      </w:r>
                    </w:p>
                  </w:txbxContent>
                </v:textbox>
              </v:shape>
            </w:pict>
          </mc:Fallback>
        </mc:AlternateContent>
      </w:r>
    </w:p>
    <w:p w14:paraId="05FEEF11">
      <w:pPr>
        <w:rPr>
          <w:rFonts w:eastAsia="黑体"/>
          <w:sz w:val="52"/>
          <w:szCs w:val="52"/>
        </w:rPr>
      </w:pPr>
    </w:p>
    <w:p w14:paraId="5097ACC6">
      <w:pPr>
        <w:tabs>
          <w:tab w:val="left" w:pos="3495"/>
        </w:tabs>
        <w:rPr>
          <w:rFonts w:eastAsia="黑体"/>
          <w:sz w:val="52"/>
          <w:szCs w:val="52"/>
        </w:rPr>
      </w:pPr>
    </w:p>
    <w:p w14:paraId="0935DF7A">
      <w:pPr>
        <w:tabs>
          <w:tab w:val="center" w:pos="4164"/>
          <w:tab w:val="left" w:pos="5455"/>
        </w:tabs>
        <w:ind w:right="-17" w:rightChars="-8"/>
        <w:jc w:val="center"/>
        <w:rPr>
          <w:rFonts w:eastAsia="黑体"/>
          <w:sz w:val="52"/>
          <w:szCs w:val="52"/>
        </w:rPr>
      </w:pPr>
    </w:p>
    <w:p w14:paraId="37A46419">
      <w:pPr>
        <w:tabs>
          <w:tab w:val="center" w:pos="4164"/>
          <w:tab w:val="left" w:pos="5455"/>
        </w:tabs>
        <w:ind w:right="-17" w:rightChars="-8"/>
        <w:jc w:val="center"/>
        <w:rPr>
          <w:rFonts w:eastAsia="黑体"/>
          <w:sz w:val="52"/>
          <w:szCs w:val="52"/>
        </w:rPr>
      </w:pPr>
    </w:p>
    <w:p w14:paraId="403F5A44">
      <w:pPr>
        <w:tabs>
          <w:tab w:val="center" w:pos="4164"/>
          <w:tab w:val="left" w:pos="5455"/>
        </w:tabs>
        <w:ind w:right="-17" w:rightChars="-8"/>
        <w:jc w:val="center"/>
        <w:rPr>
          <w:rFonts w:eastAsia="黑体"/>
          <w:sz w:val="52"/>
          <w:szCs w:val="52"/>
        </w:rPr>
      </w:pPr>
    </w:p>
    <w:p w14:paraId="5C56DE99">
      <w:pPr>
        <w:tabs>
          <w:tab w:val="center" w:pos="4164"/>
          <w:tab w:val="left" w:pos="5455"/>
        </w:tabs>
        <w:ind w:right="-17" w:rightChars="-8"/>
        <w:jc w:val="center"/>
        <w:rPr>
          <w:rFonts w:eastAsia="黑体"/>
          <w:sz w:val="52"/>
          <w:szCs w:val="52"/>
        </w:rPr>
      </w:pPr>
    </w:p>
    <w:p w14:paraId="70E41C36">
      <w:pPr>
        <w:jc w:val="center"/>
        <w:rPr>
          <w:rFonts w:ascii="宋体" w:hAnsi="宋体"/>
          <w:sz w:val="24"/>
        </w:rPr>
      </w:pPr>
    </w:p>
    <w:p w14:paraId="177A966C">
      <w:pPr>
        <w:jc w:val="center"/>
        <w:rPr>
          <w:b/>
          <w:sz w:val="52"/>
          <w:szCs w:val="52"/>
        </w:rPr>
      </w:pPr>
    </w:p>
    <w:p w14:paraId="50E348DB">
      <w:pPr>
        <w:jc w:val="center"/>
        <w:rPr>
          <w:rFonts w:ascii="仿宋_GB2312" w:eastAsia="仿宋_GB2312"/>
          <w:b/>
          <w:sz w:val="32"/>
          <w:szCs w:val="32"/>
        </w:rPr>
      </w:pPr>
    </w:p>
    <w:p w14:paraId="6C17D29F">
      <w:pPr>
        <w:jc w:val="center"/>
        <w:rPr>
          <w:rFonts w:ascii="黑体" w:hAnsi="黑体" w:eastAsia="黑体"/>
          <w:b/>
          <w:sz w:val="44"/>
          <w:szCs w:val="44"/>
        </w:rPr>
      </w:pPr>
      <w:r>
        <w:rPr>
          <w:rFonts w:hint="eastAsia" w:ascii="黑体" w:hAnsi="黑体" w:eastAsia="黑体"/>
          <w:b/>
          <w:sz w:val="44"/>
          <w:szCs w:val="44"/>
        </w:rPr>
        <w:t>交银施罗德佳盛债券型证券投资基金</w:t>
      </w:r>
    </w:p>
    <w:p w14:paraId="4E606C74">
      <w:pPr>
        <w:jc w:val="center"/>
        <w:rPr>
          <w:rFonts w:ascii="黑体" w:hAnsi="黑体" w:eastAsia="黑体"/>
          <w:b/>
          <w:sz w:val="44"/>
          <w:szCs w:val="44"/>
        </w:rPr>
      </w:pPr>
      <w:r>
        <w:rPr>
          <w:rFonts w:hint="eastAsia" w:ascii="黑体" w:hAnsi="黑体" w:eastAsia="黑体"/>
          <w:b/>
          <w:sz w:val="44"/>
          <w:szCs w:val="44"/>
        </w:rPr>
        <w:t>托管协议</w:t>
      </w:r>
    </w:p>
    <w:p w14:paraId="1FD86B60">
      <w:pPr>
        <w:jc w:val="center"/>
        <w:rPr>
          <w:rFonts w:ascii="宋体" w:hAnsi="宋体"/>
          <w:sz w:val="44"/>
          <w:szCs w:val="44"/>
        </w:rPr>
      </w:pPr>
    </w:p>
    <w:p w14:paraId="38ECBB38">
      <w:pPr>
        <w:jc w:val="center"/>
        <w:rPr>
          <w:rFonts w:ascii="宋体" w:hAnsi="宋体"/>
          <w:sz w:val="44"/>
          <w:szCs w:val="44"/>
        </w:rPr>
      </w:pPr>
    </w:p>
    <w:p w14:paraId="3783CD1C">
      <w:pPr>
        <w:jc w:val="center"/>
        <w:rPr>
          <w:rFonts w:ascii="宋体" w:hAnsi="宋体"/>
          <w:sz w:val="44"/>
          <w:szCs w:val="44"/>
        </w:rPr>
      </w:pPr>
    </w:p>
    <w:p w14:paraId="70F06C3E">
      <w:pPr>
        <w:jc w:val="center"/>
        <w:rPr>
          <w:rFonts w:ascii="宋体" w:hAnsi="宋体"/>
          <w:sz w:val="44"/>
          <w:szCs w:val="44"/>
        </w:rPr>
      </w:pPr>
    </w:p>
    <w:p w14:paraId="144EC7FD">
      <w:pPr>
        <w:rPr>
          <w:rFonts w:ascii="宋体"/>
          <w:sz w:val="30"/>
        </w:rPr>
      </w:pPr>
    </w:p>
    <w:p w14:paraId="7EF25830">
      <w:pPr>
        <w:spacing w:line="360" w:lineRule="auto"/>
        <w:ind w:right="26" w:firstLine="1280" w:firstLineChars="400"/>
        <w:outlineLvl w:val="0"/>
        <w:rPr>
          <w:rFonts w:ascii="宋体" w:hAnsi="宋体"/>
          <w:sz w:val="32"/>
          <w:szCs w:val="32"/>
        </w:rPr>
      </w:pPr>
      <w:bookmarkStart w:id="0" w:name="_Toc382819065"/>
      <w:bookmarkStart w:id="1" w:name="_Toc382818591"/>
      <w:r>
        <w:rPr>
          <w:rFonts w:hint="eastAsia" w:ascii="宋体" w:hAnsi="宋体"/>
          <w:sz w:val="32"/>
          <w:szCs w:val="32"/>
        </w:rPr>
        <w:t>基金管理人：</w:t>
      </w:r>
      <w:bookmarkEnd w:id="0"/>
      <w:bookmarkEnd w:id="1"/>
      <w:r>
        <w:rPr>
          <w:rFonts w:hint="eastAsia" w:ascii="宋体" w:hAnsi="宋体"/>
          <w:sz w:val="32"/>
          <w:szCs w:val="32"/>
        </w:rPr>
        <w:t>交银施罗德基金管理有限公司</w:t>
      </w:r>
    </w:p>
    <w:p w14:paraId="085BFAA4">
      <w:pPr>
        <w:spacing w:line="360" w:lineRule="auto"/>
        <w:ind w:right="26" w:firstLine="1280" w:firstLineChars="400"/>
        <w:outlineLvl w:val="0"/>
        <w:rPr>
          <w:rFonts w:ascii="宋体" w:hAnsi="宋体"/>
          <w:sz w:val="32"/>
          <w:szCs w:val="32"/>
        </w:rPr>
      </w:pPr>
      <w:bookmarkStart w:id="2" w:name="_Toc382819066"/>
      <w:bookmarkStart w:id="3" w:name="_Toc382818592"/>
      <w:r>
        <w:rPr>
          <w:rFonts w:hint="eastAsia" w:ascii="宋体" w:hAnsi="宋体"/>
          <w:sz w:val="32"/>
          <w:szCs w:val="32"/>
        </w:rPr>
        <w:t>基金托管人：上海浦东发展银行股份有限公司</w:t>
      </w:r>
      <w:bookmarkEnd w:id="2"/>
      <w:bookmarkEnd w:id="3"/>
    </w:p>
    <w:p w14:paraId="00BA62CC">
      <w:pPr>
        <w:autoSpaceDE w:val="0"/>
        <w:autoSpaceDN w:val="0"/>
        <w:spacing w:line="360" w:lineRule="auto"/>
        <w:ind w:left="2996" w:hanging="2996"/>
        <w:jc w:val="center"/>
        <w:textAlignment w:val="bottom"/>
        <w:rPr>
          <w:rFonts w:hAnsi="宋体"/>
          <w:b/>
          <w:sz w:val="28"/>
        </w:rPr>
      </w:pPr>
    </w:p>
    <w:p w14:paraId="6CDFF3D3">
      <w:pPr>
        <w:autoSpaceDE w:val="0"/>
        <w:autoSpaceDN w:val="0"/>
        <w:spacing w:line="360" w:lineRule="auto"/>
        <w:ind w:left="2996" w:hanging="2996"/>
        <w:jc w:val="center"/>
        <w:textAlignment w:val="bottom"/>
        <w:rPr>
          <w:rFonts w:hAnsi="宋体"/>
          <w:b/>
          <w:sz w:val="28"/>
        </w:rPr>
      </w:pPr>
      <w:r>
        <w:rPr>
          <w:rFonts w:hAnsi="宋体"/>
          <w:b/>
          <w:sz w:val="28"/>
        </w:rPr>
        <w:t>二〇二</w:t>
      </w:r>
      <w:r>
        <w:rPr>
          <w:rFonts w:hint="eastAsia" w:hAnsi="宋体"/>
          <w:b/>
          <w:sz w:val="28"/>
        </w:rPr>
        <w:t>六</w:t>
      </w:r>
      <w:r>
        <w:rPr>
          <w:rFonts w:hAnsi="宋体"/>
          <w:b/>
          <w:sz w:val="28"/>
        </w:rPr>
        <w:t>年</w:t>
      </w:r>
      <w:r>
        <w:rPr>
          <w:rFonts w:hint="eastAsia" w:hAnsi="宋体"/>
          <w:b/>
          <w:sz w:val="28"/>
          <w:lang w:val="en-US" w:eastAsia="zh-CN"/>
        </w:rPr>
        <w:t>十</w:t>
      </w:r>
      <w:r>
        <w:rPr>
          <w:rFonts w:hAnsi="宋体"/>
          <w:b/>
          <w:sz w:val="28"/>
        </w:rPr>
        <w:t>月</w:t>
      </w:r>
    </w:p>
    <w:p w14:paraId="28B040FB">
      <w:pPr>
        <w:spacing w:line="500" w:lineRule="atLeast"/>
        <w:ind w:left="2698" w:hanging="2699" w:hangingChars="896"/>
        <w:jc w:val="center"/>
        <w:outlineLvl w:val="0"/>
        <w:rPr>
          <w:rFonts w:ascii="宋体" w:hAnsi="宋体"/>
          <w:b/>
          <w:sz w:val="30"/>
          <w:szCs w:val="30"/>
        </w:rPr>
      </w:pPr>
    </w:p>
    <w:p w14:paraId="511C45EA">
      <w:pPr>
        <w:jc w:val="center"/>
        <w:rPr>
          <w:bCs/>
          <w:sz w:val="28"/>
        </w:rPr>
        <w:sectPr>
          <w:footerReference r:id="rId7" w:type="first"/>
          <w:headerReference r:id="rId3" w:type="default"/>
          <w:footerReference r:id="rId5" w:type="default"/>
          <w:headerReference r:id="rId4" w:type="even"/>
          <w:footerReference r:id="rId6" w:type="even"/>
          <w:pgSz w:w="11906" w:h="16838"/>
          <w:pgMar w:top="1440" w:right="1800" w:bottom="1440" w:left="1800" w:header="851" w:footer="992" w:gutter="0"/>
          <w:pgNumType w:start="1"/>
          <w:cols w:space="720" w:num="1"/>
          <w:titlePg/>
          <w:docGrid w:type="lines" w:linePitch="312" w:charSpace="0"/>
        </w:sectPr>
      </w:pPr>
    </w:p>
    <w:p w14:paraId="45D337FF">
      <w:pPr>
        <w:spacing w:line="500" w:lineRule="atLeast"/>
        <w:jc w:val="center"/>
        <w:outlineLvl w:val="0"/>
        <w:rPr>
          <w:rFonts w:ascii="宋体" w:hAnsi="宋体"/>
          <w:b/>
          <w:sz w:val="36"/>
          <w:szCs w:val="28"/>
        </w:rPr>
      </w:pPr>
      <w:bookmarkStart w:id="4" w:name="_Toc382818593"/>
      <w:bookmarkStart w:id="5" w:name="_Toc382819067"/>
      <w:r>
        <w:rPr>
          <w:rFonts w:hint="eastAsia" w:ascii="宋体" w:hAnsi="宋体"/>
          <w:b/>
          <w:sz w:val="32"/>
          <w:szCs w:val="28"/>
        </w:rPr>
        <w:t>目 录</w:t>
      </w:r>
      <w:bookmarkEnd w:id="4"/>
      <w:bookmarkEnd w:id="5"/>
    </w:p>
    <w:p w14:paraId="124E0C27">
      <w:pPr>
        <w:pStyle w:val="16"/>
        <w:tabs>
          <w:tab w:val="left" w:pos="440"/>
          <w:tab w:val="right" w:leader="dot" w:pos="8296"/>
        </w:tabs>
        <w:spacing w:line="360" w:lineRule="auto"/>
        <w:rPr>
          <w:rFonts w:ascii="Calibri" w:hAnsi="Calibri"/>
          <w:sz w:val="20"/>
          <w:szCs w:val="22"/>
        </w:rPr>
      </w:pPr>
      <w:r>
        <w:rPr>
          <w:rFonts w:ascii="宋体" w:hAnsi="宋体"/>
          <w:sz w:val="20"/>
          <w:szCs w:val="21"/>
        </w:rPr>
        <w:fldChar w:fldCharType="begin"/>
      </w:r>
      <w:r>
        <w:rPr>
          <w:rFonts w:ascii="宋体" w:hAnsi="宋体"/>
          <w:sz w:val="20"/>
          <w:szCs w:val="21"/>
        </w:rPr>
        <w:instrText xml:space="preserve"> </w:instrText>
      </w:r>
      <w:r>
        <w:rPr>
          <w:rFonts w:hint="eastAsia" w:ascii="宋体" w:hAnsi="宋体"/>
          <w:sz w:val="20"/>
          <w:szCs w:val="21"/>
        </w:rPr>
        <w:instrText xml:space="preserve">TOC \o "1-3" \h \z \u</w:instrText>
      </w:r>
      <w:r>
        <w:rPr>
          <w:rFonts w:ascii="宋体" w:hAnsi="宋体"/>
          <w:sz w:val="20"/>
          <w:szCs w:val="21"/>
        </w:rPr>
        <w:instrText xml:space="preserve"> </w:instrText>
      </w:r>
      <w:r>
        <w:rPr>
          <w:rFonts w:ascii="宋体" w:hAnsi="宋体"/>
          <w:sz w:val="20"/>
          <w:szCs w:val="21"/>
        </w:rPr>
        <w:fldChar w:fldCharType="separate"/>
      </w:r>
    </w:p>
    <w:p w14:paraId="48F422AE">
      <w:pPr>
        <w:pStyle w:val="16"/>
        <w:tabs>
          <w:tab w:val="right" w:leader="dot" w:pos="8296"/>
        </w:tabs>
        <w:spacing w:line="360" w:lineRule="auto"/>
        <w:rPr>
          <w:rFonts w:ascii="Calibri" w:hAnsi="Calibri"/>
          <w:sz w:val="24"/>
          <w:szCs w:val="22"/>
        </w:rPr>
      </w:pPr>
      <w:r>
        <w:fldChar w:fldCharType="begin"/>
      </w:r>
      <w:r>
        <w:instrText xml:space="preserve"> HYPERLINK \l "_Toc382819071" </w:instrText>
      </w:r>
      <w:r>
        <w:fldChar w:fldCharType="separate"/>
      </w:r>
      <w:r>
        <w:rPr>
          <w:rStyle w:val="21"/>
          <w:rFonts w:hint="eastAsia" w:ascii="宋体" w:hAnsi="宋体" w:cs="Arial"/>
          <w:sz w:val="24"/>
        </w:rPr>
        <w:t>一、 基金托管协议的依据、目的、原则和解释</w:t>
      </w:r>
      <w:r>
        <w:rPr>
          <w:sz w:val="24"/>
        </w:rPr>
        <w:tab/>
      </w:r>
      <w:r>
        <w:rPr>
          <w:sz w:val="24"/>
        </w:rPr>
        <w:fldChar w:fldCharType="begin"/>
      </w:r>
      <w:r>
        <w:rPr>
          <w:sz w:val="24"/>
        </w:rPr>
        <w:instrText xml:space="preserve"> PAGEREF _Toc382819071 \h </w:instrText>
      </w:r>
      <w:r>
        <w:rPr>
          <w:sz w:val="24"/>
        </w:rPr>
        <w:fldChar w:fldCharType="separate"/>
      </w:r>
      <w:r>
        <w:rPr>
          <w:sz w:val="24"/>
        </w:rPr>
        <w:t>2</w:t>
      </w:r>
      <w:r>
        <w:rPr>
          <w:sz w:val="24"/>
        </w:rPr>
        <w:fldChar w:fldCharType="end"/>
      </w:r>
      <w:r>
        <w:rPr>
          <w:sz w:val="24"/>
        </w:rPr>
        <w:fldChar w:fldCharType="end"/>
      </w:r>
    </w:p>
    <w:p w14:paraId="62C17883">
      <w:pPr>
        <w:pStyle w:val="16"/>
        <w:tabs>
          <w:tab w:val="right" w:leader="dot" w:pos="8296"/>
        </w:tabs>
        <w:spacing w:line="360" w:lineRule="auto"/>
        <w:rPr>
          <w:rFonts w:ascii="Calibri" w:hAnsi="Calibri"/>
          <w:sz w:val="24"/>
          <w:szCs w:val="22"/>
        </w:rPr>
      </w:pPr>
      <w:r>
        <w:fldChar w:fldCharType="begin"/>
      </w:r>
      <w:r>
        <w:instrText xml:space="preserve"> HYPERLINK \l "_Toc382819072" </w:instrText>
      </w:r>
      <w:r>
        <w:fldChar w:fldCharType="separate"/>
      </w:r>
      <w:r>
        <w:rPr>
          <w:rStyle w:val="21"/>
          <w:rFonts w:hint="eastAsia" w:ascii="宋体" w:hAnsi="宋体" w:cs="Arial"/>
          <w:sz w:val="24"/>
        </w:rPr>
        <w:t>二、 基金托管人对基金管理人的业务监督和核查</w:t>
      </w:r>
      <w:r>
        <w:rPr>
          <w:sz w:val="24"/>
        </w:rPr>
        <w:tab/>
      </w:r>
      <w:r>
        <w:rPr>
          <w:sz w:val="24"/>
        </w:rPr>
        <w:fldChar w:fldCharType="begin"/>
      </w:r>
      <w:r>
        <w:rPr>
          <w:sz w:val="24"/>
        </w:rPr>
        <w:instrText xml:space="preserve"> PAGEREF _Toc382819072 \h </w:instrText>
      </w:r>
      <w:r>
        <w:rPr>
          <w:sz w:val="24"/>
        </w:rPr>
        <w:fldChar w:fldCharType="separate"/>
      </w:r>
      <w:r>
        <w:rPr>
          <w:sz w:val="24"/>
        </w:rPr>
        <w:t>2</w:t>
      </w:r>
      <w:r>
        <w:rPr>
          <w:sz w:val="24"/>
        </w:rPr>
        <w:fldChar w:fldCharType="end"/>
      </w:r>
      <w:r>
        <w:rPr>
          <w:sz w:val="24"/>
        </w:rPr>
        <w:fldChar w:fldCharType="end"/>
      </w:r>
    </w:p>
    <w:p w14:paraId="0D6A4AEE">
      <w:pPr>
        <w:pStyle w:val="16"/>
        <w:tabs>
          <w:tab w:val="right" w:leader="dot" w:pos="8296"/>
        </w:tabs>
        <w:spacing w:line="360" w:lineRule="auto"/>
        <w:rPr>
          <w:rFonts w:ascii="Calibri" w:hAnsi="Calibri"/>
          <w:sz w:val="24"/>
          <w:szCs w:val="22"/>
        </w:rPr>
      </w:pPr>
      <w:r>
        <w:fldChar w:fldCharType="begin"/>
      </w:r>
      <w:r>
        <w:instrText xml:space="preserve"> HYPERLINK \l "_Toc382819076" </w:instrText>
      </w:r>
      <w:r>
        <w:fldChar w:fldCharType="separate"/>
      </w:r>
      <w:r>
        <w:rPr>
          <w:rStyle w:val="21"/>
          <w:rFonts w:hint="eastAsia" w:ascii="宋体" w:hAnsi="宋体" w:cs="Arial"/>
          <w:sz w:val="24"/>
        </w:rPr>
        <w:t>三、 基金管理人对基金托管人的业务核查</w:t>
      </w:r>
      <w:r>
        <w:rPr>
          <w:sz w:val="24"/>
        </w:rPr>
        <w:tab/>
      </w:r>
      <w:r>
        <w:rPr>
          <w:sz w:val="24"/>
        </w:rPr>
        <w:fldChar w:fldCharType="begin"/>
      </w:r>
      <w:r>
        <w:rPr>
          <w:sz w:val="24"/>
        </w:rPr>
        <w:instrText xml:space="preserve"> PAGEREF _Toc382819076 \h </w:instrText>
      </w:r>
      <w:r>
        <w:rPr>
          <w:sz w:val="24"/>
        </w:rPr>
        <w:fldChar w:fldCharType="separate"/>
      </w:r>
      <w:r>
        <w:rPr>
          <w:sz w:val="24"/>
        </w:rPr>
        <w:t>10</w:t>
      </w:r>
      <w:r>
        <w:rPr>
          <w:sz w:val="24"/>
        </w:rPr>
        <w:fldChar w:fldCharType="end"/>
      </w:r>
      <w:r>
        <w:rPr>
          <w:sz w:val="24"/>
        </w:rPr>
        <w:fldChar w:fldCharType="end"/>
      </w:r>
    </w:p>
    <w:p w14:paraId="699C7AE1">
      <w:pPr>
        <w:pStyle w:val="16"/>
        <w:tabs>
          <w:tab w:val="right" w:leader="dot" w:pos="8296"/>
        </w:tabs>
        <w:spacing w:line="360" w:lineRule="auto"/>
        <w:rPr>
          <w:rFonts w:ascii="Calibri" w:hAnsi="Calibri"/>
          <w:sz w:val="24"/>
          <w:szCs w:val="22"/>
        </w:rPr>
      </w:pPr>
      <w:r>
        <w:fldChar w:fldCharType="begin"/>
      </w:r>
      <w:r>
        <w:instrText xml:space="preserve"> HYPERLINK \l "_Toc382819078" </w:instrText>
      </w:r>
      <w:r>
        <w:fldChar w:fldCharType="separate"/>
      </w:r>
      <w:r>
        <w:rPr>
          <w:rStyle w:val="21"/>
          <w:rFonts w:hint="eastAsia" w:ascii="宋体" w:hAnsi="宋体" w:cs="Arial"/>
          <w:sz w:val="24"/>
        </w:rPr>
        <w:t>四、 基金财产保管</w:t>
      </w:r>
      <w:r>
        <w:rPr>
          <w:sz w:val="24"/>
        </w:rPr>
        <w:tab/>
      </w:r>
      <w:r>
        <w:rPr>
          <w:sz w:val="24"/>
        </w:rPr>
        <w:fldChar w:fldCharType="begin"/>
      </w:r>
      <w:r>
        <w:rPr>
          <w:sz w:val="24"/>
        </w:rPr>
        <w:instrText xml:space="preserve"> PAGEREF _Toc382819078 \h </w:instrText>
      </w:r>
      <w:r>
        <w:rPr>
          <w:sz w:val="24"/>
        </w:rPr>
        <w:fldChar w:fldCharType="separate"/>
      </w:r>
      <w:r>
        <w:rPr>
          <w:sz w:val="24"/>
        </w:rPr>
        <w:t>11</w:t>
      </w:r>
      <w:r>
        <w:rPr>
          <w:sz w:val="24"/>
        </w:rPr>
        <w:fldChar w:fldCharType="end"/>
      </w:r>
      <w:r>
        <w:rPr>
          <w:sz w:val="24"/>
        </w:rPr>
        <w:fldChar w:fldCharType="end"/>
      </w:r>
    </w:p>
    <w:p w14:paraId="07830FEA">
      <w:pPr>
        <w:pStyle w:val="16"/>
        <w:tabs>
          <w:tab w:val="right" w:leader="dot" w:pos="8296"/>
        </w:tabs>
        <w:spacing w:line="360" w:lineRule="auto"/>
        <w:rPr>
          <w:rFonts w:ascii="Calibri" w:hAnsi="Calibri"/>
          <w:sz w:val="24"/>
          <w:szCs w:val="22"/>
        </w:rPr>
      </w:pPr>
      <w:r>
        <w:fldChar w:fldCharType="begin"/>
      </w:r>
      <w:r>
        <w:instrText xml:space="preserve"> HYPERLINK \l "_Toc382819088" </w:instrText>
      </w:r>
      <w:r>
        <w:fldChar w:fldCharType="separate"/>
      </w:r>
      <w:r>
        <w:rPr>
          <w:rStyle w:val="21"/>
          <w:rFonts w:hint="eastAsia" w:ascii="宋体" w:hAnsi="宋体" w:cs="Arial"/>
          <w:sz w:val="24"/>
        </w:rPr>
        <w:t>五、 指令的发送、确认和执行</w:t>
      </w:r>
      <w:r>
        <w:rPr>
          <w:sz w:val="24"/>
        </w:rPr>
        <w:tab/>
      </w:r>
      <w:r>
        <w:rPr>
          <w:sz w:val="24"/>
        </w:rPr>
        <w:fldChar w:fldCharType="begin"/>
      </w:r>
      <w:r>
        <w:rPr>
          <w:sz w:val="24"/>
        </w:rPr>
        <w:instrText xml:space="preserve"> PAGEREF _Toc382819088 \h </w:instrText>
      </w:r>
      <w:r>
        <w:rPr>
          <w:sz w:val="24"/>
        </w:rPr>
        <w:fldChar w:fldCharType="separate"/>
      </w:r>
      <w:r>
        <w:rPr>
          <w:sz w:val="24"/>
        </w:rPr>
        <w:t>14</w:t>
      </w:r>
      <w:r>
        <w:rPr>
          <w:sz w:val="24"/>
        </w:rPr>
        <w:fldChar w:fldCharType="end"/>
      </w:r>
      <w:r>
        <w:rPr>
          <w:sz w:val="24"/>
        </w:rPr>
        <w:fldChar w:fldCharType="end"/>
      </w:r>
    </w:p>
    <w:p w14:paraId="2DC34D71">
      <w:pPr>
        <w:pStyle w:val="16"/>
        <w:tabs>
          <w:tab w:val="right" w:leader="dot" w:pos="8296"/>
        </w:tabs>
        <w:spacing w:line="360" w:lineRule="auto"/>
        <w:rPr>
          <w:rFonts w:ascii="Calibri" w:hAnsi="Calibri"/>
          <w:sz w:val="24"/>
          <w:szCs w:val="22"/>
        </w:rPr>
      </w:pPr>
      <w:r>
        <w:fldChar w:fldCharType="begin"/>
      </w:r>
      <w:r>
        <w:instrText xml:space="preserve"> HYPERLINK \l "_Toc382819097" </w:instrText>
      </w:r>
      <w:r>
        <w:fldChar w:fldCharType="separate"/>
      </w:r>
      <w:r>
        <w:rPr>
          <w:rStyle w:val="21"/>
          <w:rFonts w:hint="eastAsia" w:ascii="宋体" w:hAnsi="宋体" w:cs="Arial"/>
          <w:sz w:val="24"/>
        </w:rPr>
        <w:t>六、 交易及清算交收安排</w:t>
      </w:r>
      <w:r>
        <w:rPr>
          <w:sz w:val="24"/>
        </w:rPr>
        <w:tab/>
      </w:r>
      <w:r>
        <w:rPr>
          <w:sz w:val="24"/>
        </w:rPr>
        <w:fldChar w:fldCharType="begin"/>
      </w:r>
      <w:r>
        <w:rPr>
          <w:sz w:val="24"/>
        </w:rPr>
        <w:instrText xml:space="preserve"> PAGEREF _Toc382819097 \h </w:instrText>
      </w:r>
      <w:r>
        <w:rPr>
          <w:sz w:val="24"/>
        </w:rPr>
        <w:fldChar w:fldCharType="separate"/>
      </w:r>
      <w:r>
        <w:rPr>
          <w:sz w:val="24"/>
        </w:rPr>
        <w:t>17</w:t>
      </w:r>
      <w:r>
        <w:rPr>
          <w:sz w:val="24"/>
        </w:rPr>
        <w:fldChar w:fldCharType="end"/>
      </w:r>
      <w:r>
        <w:rPr>
          <w:sz w:val="24"/>
        </w:rPr>
        <w:fldChar w:fldCharType="end"/>
      </w:r>
    </w:p>
    <w:p w14:paraId="30FFF96A">
      <w:pPr>
        <w:pStyle w:val="16"/>
        <w:tabs>
          <w:tab w:val="right" w:leader="dot" w:pos="8296"/>
        </w:tabs>
        <w:spacing w:line="360" w:lineRule="auto"/>
        <w:rPr>
          <w:rFonts w:ascii="Calibri" w:hAnsi="Calibri"/>
          <w:sz w:val="24"/>
          <w:szCs w:val="22"/>
        </w:rPr>
      </w:pPr>
      <w:r>
        <w:fldChar w:fldCharType="begin"/>
      </w:r>
      <w:r>
        <w:instrText xml:space="preserve"> HYPERLINK \l "_Toc382819103" </w:instrText>
      </w:r>
      <w:r>
        <w:fldChar w:fldCharType="separate"/>
      </w:r>
      <w:r>
        <w:rPr>
          <w:rStyle w:val="21"/>
          <w:rFonts w:hint="eastAsia" w:ascii="宋体" w:hAnsi="宋体" w:cs="Arial"/>
          <w:sz w:val="24"/>
        </w:rPr>
        <w:t>七、 基金资产净值计算和会计核算</w:t>
      </w:r>
      <w:r>
        <w:rPr>
          <w:sz w:val="24"/>
        </w:rPr>
        <w:tab/>
      </w:r>
      <w:r>
        <w:rPr>
          <w:sz w:val="24"/>
        </w:rPr>
        <w:fldChar w:fldCharType="begin"/>
      </w:r>
      <w:r>
        <w:rPr>
          <w:sz w:val="24"/>
        </w:rPr>
        <w:instrText xml:space="preserve"> PAGEREF _Toc382819103 \h </w:instrText>
      </w:r>
      <w:r>
        <w:rPr>
          <w:sz w:val="24"/>
        </w:rPr>
        <w:fldChar w:fldCharType="separate"/>
      </w:r>
      <w:r>
        <w:rPr>
          <w:sz w:val="24"/>
        </w:rPr>
        <w:t>22</w:t>
      </w:r>
      <w:r>
        <w:rPr>
          <w:sz w:val="24"/>
        </w:rPr>
        <w:fldChar w:fldCharType="end"/>
      </w:r>
      <w:r>
        <w:rPr>
          <w:sz w:val="24"/>
        </w:rPr>
        <w:fldChar w:fldCharType="end"/>
      </w:r>
    </w:p>
    <w:p w14:paraId="786A0C27">
      <w:pPr>
        <w:pStyle w:val="16"/>
        <w:tabs>
          <w:tab w:val="right" w:leader="dot" w:pos="8296"/>
        </w:tabs>
        <w:spacing w:line="360" w:lineRule="auto"/>
        <w:rPr>
          <w:rFonts w:ascii="Calibri" w:hAnsi="Calibri"/>
          <w:sz w:val="24"/>
          <w:szCs w:val="22"/>
        </w:rPr>
      </w:pPr>
      <w:r>
        <w:fldChar w:fldCharType="begin"/>
      </w:r>
      <w:r>
        <w:instrText xml:space="preserve"> HYPERLINK \l "_Toc382819118" </w:instrText>
      </w:r>
      <w:r>
        <w:fldChar w:fldCharType="separate"/>
      </w:r>
      <w:r>
        <w:rPr>
          <w:rStyle w:val="21"/>
          <w:rFonts w:hint="eastAsia" w:ascii="宋体" w:hAnsi="宋体" w:cs="Arial"/>
          <w:sz w:val="24"/>
        </w:rPr>
        <w:t>八、 基金收益分配</w:t>
      </w:r>
      <w:r>
        <w:rPr>
          <w:sz w:val="24"/>
        </w:rPr>
        <w:tab/>
      </w:r>
      <w:r>
        <w:rPr>
          <w:sz w:val="24"/>
        </w:rPr>
        <w:fldChar w:fldCharType="begin"/>
      </w:r>
      <w:r>
        <w:rPr>
          <w:sz w:val="24"/>
        </w:rPr>
        <w:instrText xml:space="preserve"> PAGEREF _Toc382819118 \h </w:instrText>
      </w:r>
      <w:r>
        <w:rPr>
          <w:sz w:val="24"/>
        </w:rPr>
        <w:fldChar w:fldCharType="separate"/>
      </w:r>
      <w:r>
        <w:rPr>
          <w:sz w:val="24"/>
        </w:rPr>
        <w:t>26</w:t>
      </w:r>
      <w:r>
        <w:rPr>
          <w:sz w:val="24"/>
        </w:rPr>
        <w:fldChar w:fldCharType="end"/>
      </w:r>
      <w:r>
        <w:rPr>
          <w:sz w:val="24"/>
        </w:rPr>
        <w:fldChar w:fldCharType="end"/>
      </w:r>
    </w:p>
    <w:p w14:paraId="7B2D928E">
      <w:pPr>
        <w:pStyle w:val="16"/>
        <w:tabs>
          <w:tab w:val="right" w:leader="dot" w:pos="8296"/>
        </w:tabs>
        <w:spacing w:line="360" w:lineRule="auto"/>
        <w:rPr>
          <w:rFonts w:ascii="Calibri" w:hAnsi="Calibri"/>
          <w:sz w:val="24"/>
          <w:szCs w:val="22"/>
        </w:rPr>
      </w:pPr>
      <w:r>
        <w:fldChar w:fldCharType="begin"/>
      </w:r>
      <w:r>
        <w:instrText xml:space="preserve"> HYPERLINK \l "_Toc382819121" </w:instrText>
      </w:r>
      <w:r>
        <w:fldChar w:fldCharType="separate"/>
      </w:r>
      <w:r>
        <w:rPr>
          <w:rStyle w:val="21"/>
          <w:rFonts w:hint="eastAsia" w:ascii="宋体" w:hAnsi="宋体" w:cs="Arial"/>
          <w:sz w:val="24"/>
        </w:rPr>
        <w:t>九、 信息披露</w:t>
      </w:r>
      <w:r>
        <w:rPr>
          <w:sz w:val="24"/>
        </w:rPr>
        <w:tab/>
      </w:r>
      <w:r>
        <w:rPr>
          <w:sz w:val="24"/>
        </w:rPr>
        <w:fldChar w:fldCharType="begin"/>
      </w:r>
      <w:r>
        <w:rPr>
          <w:sz w:val="24"/>
        </w:rPr>
        <w:instrText xml:space="preserve"> PAGEREF _Toc382819121 \h </w:instrText>
      </w:r>
      <w:r>
        <w:rPr>
          <w:sz w:val="24"/>
        </w:rPr>
        <w:fldChar w:fldCharType="separate"/>
      </w:r>
      <w:r>
        <w:rPr>
          <w:sz w:val="24"/>
        </w:rPr>
        <w:t>26</w:t>
      </w:r>
      <w:r>
        <w:rPr>
          <w:sz w:val="24"/>
        </w:rPr>
        <w:fldChar w:fldCharType="end"/>
      </w:r>
      <w:r>
        <w:rPr>
          <w:sz w:val="24"/>
        </w:rPr>
        <w:fldChar w:fldCharType="end"/>
      </w:r>
    </w:p>
    <w:p w14:paraId="132304EE">
      <w:pPr>
        <w:pStyle w:val="16"/>
        <w:tabs>
          <w:tab w:val="right" w:leader="dot" w:pos="8296"/>
        </w:tabs>
        <w:spacing w:line="360" w:lineRule="auto"/>
        <w:rPr>
          <w:rFonts w:ascii="Calibri" w:hAnsi="Calibri"/>
          <w:sz w:val="24"/>
          <w:szCs w:val="22"/>
        </w:rPr>
      </w:pPr>
      <w:r>
        <w:fldChar w:fldCharType="begin"/>
      </w:r>
      <w:r>
        <w:instrText xml:space="preserve"> HYPERLINK \l "_Toc382819125" </w:instrText>
      </w:r>
      <w:r>
        <w:fldChar w:fldCharType="separate"/>
      </w:r>
      <w:r>
        <w:rPr>
          <w:rStyle w:val="21"/>
          <w:rFonts w:hint="eastAsia" w:ascii="宋体" w:hAnsi="宋体" w:cs="Arial"/>
          <w:sz w:val="24"/>
        </w:rPr>
        <w:t>十、 托管费用</w:t>
      </w:r>
      <w:r>
        <w:rPr>
          <w:sz w:val="24"/>
        </w:rPr>
        <w:tab/>
      </w:r>
      <w:r>
        <w:rPr>
          <w:sz w:val="24"/>
        </w:rPr>
        <w:fldChar w:fldCharType="begin"/>
      </w:r>
      <w:r>
        <w:rPr>
          <w:sz w:val="24"/>
        </w:rPr>
        <w:instrText xml:space="preserve"> PAGEREF _Toc382819125 \h </w:instrText>
      </w:r>
      <w:r>
        <w:rPr>
          <w:sz w:val="24"/>
        </w:rPr>
        <w:fldChar w:fldCharType="separate"/>
      </w:r>
      <w:r>
        <w:rPr>
          <w:sz w:val="24"/>
        </w:rPr>
        <w:t>28</w:t>
      </w:r>
      <w:r>
        <w:rPr>
          <w:sz w:val="24"/>
        </w:rPr>
        <w:fldChar w:fldCharType="end"/>
      </w:r>
      <w:r>
        <w:rPr>
          <w:sz w:val="24"/>
        </w:rPr>
        <w:fldChar w:fldCharType="end"/>
      </w:r>
    </w:p>
    <w:p w14:paraId="35806CC6">
      <w:pPr>
        <w:pStyle w:val="16"/>
        <w:tabs>
          <w:tab w:val="right" w:leader="dot" w:pos="8296"/>
        </w:tabs>
        <w:spacing w:line="360" w:lineRule="auto"/>
        <w:rPr>
          <w:rFonts w:ascii="Calibri" w:hAnsi="Calibri"/>
          <w:sz w:val="24"/>
          <w:szCs w:val="22"/>
        </w:rPr>
      </w:pPr>
      <w:r>
        <w:fldChar w:fldCharType="begin"/>
      </w:r>
      <w:r>
        <w:instrText xml:space="preserve"> HYPERLINK \l "_Toc382819126" </w:instrText>
      </w:r>
      <w:r>
        <w:fldChar w:fldCharType="separate"/>
      </w:r>
      <w:r>
        <w:rPr>
          <w:rStyle w:val="21"/>
          <w:rFonts w:hint="eastAsia" w:ascii="宋体" w:hAnsi="宋体" w:cs="Arial"/>
          <w:sz w:val="24"/>
        </w:rPr>
        <w:t>十一、 基金份额持有人名册的保管</w:t>
      </w:r>
      <w:r>
        <w:rPr>
          <w:sz w:val="24"/>
        </w:rPr>
        <w:tab/>
      </w:r>
      <w:r>
        <w:rPr>
          <w:sz w:val="24"/>
        </w:rPr>
        <w:fldChar w:fldCharType="begin"/>
      </w:r>
      <w:r>
        <w:rPr>
          <w:sz w:val="24"/>
        </w:rPr>
        <w:instrText xml:space="preserve"> PAGEREF _Toc382819126 \h </w:instrText>
      </w:r>
      <w:r>
        <w:rPr>
          <w:sz w:val="24"/>
        </w:rPr>
        <w:fldChar w:fldCharType="separate"/>
      </w:r>
      <w:r>
        <w:rPr>
          <w:sz w:val="24"/>
        </w:rPr>
        <w:t>28</w:t>
      </w:r>
      <w:r>
        <w:rPr>
          <w:sz w:val="24"/>
        </w:rPr>
        <w:fldChar w:fldCharType="end"/>
      </w:r>
      <w:r>
        <w:rPr>
          <w:sz w:val="24"/>
        </w:rPr>
        <w:fldChar w:fldCharType="end"/>
      </w:r>
    </w:p>
    <w:p w14:paraId="0B339A8A">
      <w:pPr>
        <w:pStyle w:val="16"/>
        <w:tabs>
          <w:tab w:val="right" w:leader="dot" w:pos="8296"/>
        </w:tabs>
        <w:spacing w:line="360" w:lineRule="auto"/>
        <w:rPr>
          <w:rFonts w:ascii="Calibri" w:hAnsi="Calibri"/>
          <w:sz w:val="24"/>
          <w:szCs w:val="22"/>
        </w:rPr>
      </w:pPr>
      <w:r>
        <w:fldChar w:fldCharType="begin"/>
      </w:r>
      <w:r>
        <w:instrText xml:space="preserve"> HYPERLINK \l "_Toc382819127" </w:instrText>
      </w:r>
      <w:r>
        <w:fldChar w:fldCharType="separate"/>
      </w:r>
      <w:r>
        <w:rPr>
          <w:rStyle w:val="21"/>
          <w:rFonts w:hint="eastAsia" w:ascii="宋体" w:hAnsi="宋体" w:cs="Arial"/>
          <w:sz w:val="24"/>
        </w:rPr>
        <w:t>十二、 基金有关文件和档案的保存</w:t>
      </w:r>
      <w:r>
        <w:rPr>
          <w:sz w:val="24"/>
        </w:rPr>
        <w:tab/>
      </w:r>
      <w:r>
        <w:rPr>
          <w:sz w:val="24"/>
        </w:rPr>
        <w:fldChar w:fldCharType="begin"/>
      </w:r>
      <w:r>
        <w:rPr>
          <w:sz w:val="24"/>
        </w:rPr>
        <w:instrText xml:space="preserve"> PAGEREF _Toc382819127 \h </w:instrText>
      </w:r>
      <w:r>
        <w:rPr>
          <w:sz w:val="24"/>
        </w:rPr>
        <w:fldChar w:fldCharType="separate"/>
      </w:r>
      <w:r>
        <w:rPr>
          <w:sz w:val="24"/>
        </w:rPr>
        <w:t>29</w:t>
      </w:r>
      <w:r>
        <w:rPr>
          <w:sz w:val="24"/>
        </w:rPr>
        <w:fldChar w:fldCharType="end"/>
      </w:r>
      <w:r>
        <w:rPr>
          <w:sz w:val="24"/>
        </w:rPr>
        <w:fldChar w:fldCharType="end"/>
      </w:r>
    </w:p>
    <w:p w14:paraId="1B54E90D">
      <w:pPr>
        <w:pStyle w:val="16"/>
        <w:tabs>
          <w:tab w:val="right" w:leader="dot" w:pos="8296"/>
        </w:tabs>
        <w:spacing w:line="360" w:lineRule="auto"/>
        <w:rPr>
          <w:rFonts w:ascii="Calibri" w:hAnsi="Calibri"/>
          <w:sz w:val="24"/>
          <w:szCs w:val="22"/>
        </w:rPr>
      </w:pPr>
      <w:r>
        <w:fldChar w:fldCharType="begin"/>
      </w:r>
      <w:r>
        <w:instrText xml:space="preserve"> HYPERLINK \l "_Toc382819128" </w:instrText>
      </w:r>
      <w:r>
        <w:fldChar w:fldCharType="separate"/>
      </w:r>
      <w:r>
        <w:rPr>
          <w:rStyle w:val="21"/>
          <w:rFonts w:hint="eastAsia" w:ascii="宋体" w:hAnsi="宋体" w:cs="Arial"/>
          <w:sz w:val="24"/>
        </w:rPr>
        <w:t>十三、 基金管理人和基金托管人的更换</w:t>
      </w:r>
      <w:r>
        <w:rPr>
          <w:sz w:val="24"/>
        </w:rPr>
        <w:tab/>
      </w:r>
      <w:r>
        <w:rPr>
          <w:sz w:val="24"/>
        </w:rPr>
        <w:fldChar w:fldCharType="begin"/>
      </w:r>
      <w:r>
        <w:rPr>
          <w:sz w:val="24"/>
        </w:rPr>
        <w:instrText xml:space="preserve"> PAGEREF _Toc382819128 \h </w:instrText>
      </w:r>
      <w:r>
        <w:rPr>
          <w:sz w:val="24"/>
        </w:rPr>
        <w:fldChar w:fldCharType="separate"/>
      </w:r>
      <w:r>
        <w:rPr>
          <w:sz w:val="24"/>
        </w:rPr>
        <w:t>29</w:t>
      </w:r>
      <w:r>
        <w:rPr>
          <w:sz w:val="24"/>
        </w:rPr>
        <w:fldChar w:fldCharType="end"/>
      </w:r>
      <w:r>
        <w:rPr>
          <w:sz w:val="24"/>
        </w:rPr>
        <w:fldChar w:fldCharType="end"/>
      </w:r>
    </w:p>
    <w:p w14:paraId="2018E7D0">
      <w:pPr>
        <w:pStyle w:val="16"/>
        <w:tabs>
          <w:tab w:val="right" w:leader="dot" w:pos="8296"/>
        </w:tabs>
        <w:spacing w:line="360" w:lineRule="auto"/>
        <w:rPr>
          <w:rFonts w:ascii="Calibri" w:hAnsi="Calibri"/>
          <w:sz w:val="24"/>
          <w:szCs w:val="22"/>
        </w:rPr>
      </w:pPr>
      <w:r>
        <w:fldChar w:fldCharType="begin"/>
      </w:r>
      <w:r>
        <w:instrText xml:space="preserve"> HYPERLINK \l "_Toc382819131" </w:instrText>
      </w:r>
      <w:r>
        <w:fldChar w:fldCharType="separate"/>
      </w:r>
      <w:r>
        <w:rPr>
          <w:rStyle w:val="21"/>
          <w:rFonts w:hint="eastAsia" w:ascii="宋体" w:hAnsi="宋体" w:cs="Arial"/>
          <w:sz w:val="24"/>
        </w:rPr>
        <w:t>十四、 禁止行为</w:t>
      </w:r>
      <w:r>
        <w:rPr>
          <w:sz w:val="24"/>
        </w:rPr>
        <w:tab/>
      </w:r>
      <w:r>
        <w:rPr>
          <w:sz w:val="24"/>
        </w:rPr>
        <w:fldChar w:fldCharType="begin"/>
      </w:r>
      <w:r>
        <w:rPr>
          <w:sz w:val="24"/>
        </w:rPr>
        <w:instrText xml:space="preserve"> PAGEREF _Toc382819131 \h </w:instrText>
      </w:r>
      <w:r>
        <w:rPr>
          <w:sz w:val="24"/>
        </w:rPr>
        <w:fldChar w:fldCharType="separate"/>
      </w:r>
      <w:r>
        <w:rPr>
          <w:sz w:val="24"/>
        </w:rPr>
        <w:t>32</w:t>
      </w:r>
      <w:r>
        <w:rPr>
          <w:sz w:val="24"/>
        </w:rPr>
        <w:fldChar w:fldCharType="end"/>
      </w:r>
      <w:r>
        <w:rPr>
          <w:sz w:val="24"/>
        </w:rPr>
        <w:fldChar w:fldCharType="end"/>
      </w:r>
    </w:p>
    <w:p w14:paraId="44F5FAC8">
      <w:pPr>
        <w:pStyle w:val="16"/>
        <w:tabs>
          <w:tab w:val="right" w:leader="dot" w:pos="8296"/>
        </w:tabs>
        <w:spacing w:line="360" w:lineRule="auto"/>
        <w:rPr>
          <w:rFonts w:ascii="Calibri" w:hAnsi="Calibri"/>
          <w:sz w:val="24"/>
          <w:szCs w:val="22"/>
        </w:rPr>
      </w:pPr>
      <w:r>
        <w:fldChar w:fldCharType="begin"/>
      </w:r>
      <w:r>
        <w:instrText xml:space="preserve"> HYPERLINK \l "_Toc382819132" </w:instrText>
      </w:r>
      <w:r>
        <w:fldChar w:fldCharType="separate"/>
      </w:r>
      <w:r>
        <w:rPr>
          <w:rStyle w:val="21"/>
          <w:rFonts w:hint="eastAsia" w:ascii="宋体" w:hAnsi="宋体" w:cs="Arial"/>
          <w:sz w:val="24"/>
        </w:rPr>
        <w:t>十五、 基金托管协议的变更、终止与基金财产的清算</w:t>
      </w:r>
      <w:r>
        <w:rPr>
          <w:sz w:val="24"/>
        </w:rPr>
        <w:tab/>
      </w:r>
      <w:r>
        <w:rPr>
          <w:sz w:val="24"/>
        </w:rPr>
        <w:fldChar w:fldCharType="begin"/>
      </w:r>
      <w:r>
        <w:rPr>
          <w:sz w:val="24"/>
        </w:rPr>
        <w:instrText xml:space="preserve"> PAGEREF _Toc382819132 \h </w:instrText>
      </w:r>
      <w:r>
        <w:rPr>
          <w:sz w:val="24"/>
        </w:rPr>
        <w:fldChar w:fldCharType="separate"/>
      </w:r>
      <w:r>
        <w:rPr>
          <w:sz w:val="24"/>
        </w:rPr>
        <w:t>33</w:t>
      </w:r>
      <w:r>
        <w:rPr>
          <w:sz w:val="24"/>
        </w:rPr>
        <w:fldChar w:fldCharType="end"/>
      </w:r>
      <w:r>
        <w:rPr>
          <w:sz w:val="24"/>
        </w:rPr>
        <w:fldChar w:fldCharType="end"/>
      </w:r>
    </w:p>
    <w:p w14:paraId="6B26781B">
      <w:pPr>
        <w:pStyle w:val="16"/>
        <w:tabs>
          <w:tab w:val="right" w:leader="dot" w:pos="8296"/>
        </w:tabs>
        <w:spacing w:line="360" w:lineRule="auto"/>
        <w:rPr>
          <w:rFonts w:ascii="Calibri" w:hAnsi="Calibri"/>
          <w:sz w:val="24"/>
          <w:szCs w:val="22"/>
        </w:rPr>
      </w:pPr>
      <w:r>
        <w:fldChar w:fldCharType="begin"/>
      </w:r>
      <w:r>
        <w:instrText xml:space="preserve"> HYPERLINK \l "_Toc382819133" </w:instrText>
      </w:r>
      <w:r>
        <w:fldChar w:fldCharType="separate"/>
      </w:r>
      <w:r>
        <w:rPr>
          <w:rStyle w:val="21"/>
          <w:rFonts w:hint="eastAsia" w:ascii="宋体" w:hAnsi="宋体" w:cs="Arial"/>
          <w:sz w:val="24"/>
        </w:rPr>
        <w:t>十六、 违约责任</w:t>
      </w:r>
      <w:r>
        <w:rPr>
          <w:sz w:val="24"/>
        </w:rPr>
        <w:tab/>
      </w:r>
      <w:r>
        <w:rPr>
          <w:sz w:val="24"/>
        </w:rPr>
        <w:fldChar w:fldCharType="begin"/>
      </w:r>
      <w:r>
        <w:rPr>
          <w:sz w:val="24"/>
        </w:rPr>
        <w:instrText xml:space="preserve"> PAGEREF _Toc382819133 \h </w:instrText>
      </w:r>
      <w:r>
        <w:rPr>
          <w:sz w:val="24"/>
        </w:rPr>
        <w:fldChar w:fldCharType="separate"/>
      </w:r>
      <w:r>
        <w:rPr>
          <w:sz w:val="24"/>
        </w:rPr>
        <w:t>35</w:t>
      </w:r>
      <w:r>
        <w:rPr>
          <w:sz w:val="24"/>
        </w:rPr>
        <w:fldChar w:fldCharType="end"/>
      </w:r>
      <w:r>
        <w:rPr>
          <w:sz w:val="24"/>
        </w:rPr>
        <w:fldChar w:fldCharType="end"/>
      </w:r>
    </w:p>
    <w:p w14:paraId="26ABB0A8">
      <w:pPr>
        <w:pStyle w:val="16"/>
        <w:tabs>
          <w:tab w:val="right" w:leader="dot" w:pos="8296"/>
        </w:tabs>
        <w:spacing w:line="360" w:lineRule="auto"/>
        <w:rPr>
          <w:rFonts w:ascii="Calibri" w:hAnsi="Calibri"/>
          <w:sz w:val="24"/>
          <w:szCs w:val="22"/>
        </w:rPr>
      </w:pPr>
      <w:r>
        <w:fldChar w:fldCharType="begin"/>
      </w:r>
      <w:r>
        <w:instrText xml:space="preserve"> HYPERLINK \l "_Toc382819134" </w:instrText>
      </w:r>
      <w:r>
        <w:fldChar w:fldCharType="separate"/>
      </w:r>
      <w:r>
        <w:rPr>
          <w:rStyle w:val="21"/>
          <w:rFonts w:hint="eastAsia" w:ascii="宋体" w:hAnsi="宋体" w:cs="Arial"/>
          <w:sz w:val="24"/>
        </w:rPr>
        <w:t>十七、 适用法律及争议解决方式</w:t>
      </w:r>
      <w:r>
        <w:rPr>
          <w:sz w:val="24"/>
        </w:rPr>
        <w:tab/>
      </w:r>
      <w:r>
        <w:rPr>
          <w:sz w:val="24"/>
        </w:rPr>
        <w:fldChar w:fldCharType="begin"/>
      </w:r>
      <w:r>
        <w:rPr>
          <w:sz w:val="24"/>
        </w:rPr>
        <w:instrText xml:space="preserve"> PAGEREF _Toc382819134 \h </w:instrText>
      </w:r>
      <w:r>
        <w:rPr>
          <w:sz w:val="24"/>
        </w:rPr>
        <w:fldChar w:fldCharType="separate"/>
      </w:r>
      <w:r>
        <w:rPr>
          <w:sz w:val="24"/>
        </w:rPr>
        <w:t>36</w:t>
      </w:r>
      <w:r>
        <w:rPr>
          <w:sz w:val="24"/>
        </w:rPr>
        <w:fldChar w:fldCharType="end"/>
      </w:r>
      <w:r>
        <w:rPr>
          <w:sz w:val="24"/>
        </w:rPr>
        <w:fldChar w:fldCharType="end"/>
      </w:r>
    </w:p>
    <w:p w14:paraId="081F53D0">
      <w:pPr>
        <w:pStyle w:val="16"/>
        <w:tabs>
          <w:tab w:val="right" w:leader="dot" w:pos="8296"/>
        </w:tabs>
        <w:spacing w:line="360" w:lineRule="auto"/>
        <w:rPr>
          <w:rFonts w:ascii="Calibri" w:hAnsi="Calibri"/>
          <w:sz w:val="24"/>
          <w:szCs w:val="22"/>
        </w:rPr>
      </w:pPr>
      <w:r>
        <w:fldChar w:fldCharType="begin"/>
      </w:r>
      <w:r>
        <w:instrText xml:space="preserve"> HYPERLINK \l "_Toc382819135" </w:instrText>
      </w:r>
      <w:r>
        <w:fldChar w:fldCharType="separate"/>
      </w:r>
      <w:r>
        <w:rPr>
          <w:rStyle w:val="21"/>
          <w:rFonts w:hint="eastAsia" w:ascii="宋体" w:hAnsi="宋体" w:cs="Arial"/>
          <w:sz w:val="24"/>
        </w:rPr>
        <w:t>十八、 基金托管协议的效力和文本</w:t>
      </w:r>
      <w:r>
        <w:rPr>
          <w:sz w:val="24"/>
        </w:rPr>
        <w:tab/>
      </w:r>
      <w:r>
        <w:rPr>
          <w:sz w:val="24"/>
        </w:rPr>
        <w:fldChar w:fldCharType="begin"/>
      </w:r>
      <w:r>
        <w:rPr>
          <w:sz w:val="24"/>
        </w:rPr>
        <w:instrText xml:space="preserve"> PAGEREF _Toc382819135 \h </w:instrText>
      </w:r>
      <w:r>
        <w:rPr>
          <w:sz w:val="24"/>
        </w:rPr>
        <w:fldChar w:fldCharType="separate"/>
      </w:r>
      <w:r>
        <w:rPr>
          <w:sz w:val="24"/>
        </w:rPr>
        <w:t>36</w:t>
      </w:r>
      <w:r>
        <w:rPr>
          <w:sz w:val="24"/>
        </w:rPr>
        <w:fldChar w:fldCharType="end"/>
      </w:r>
      <w:r>
        <w:rPr>
          <w:sz w:val="24"/>
        </w:rPr>
        <w:fldChar w:fldCharType="end"/>
      </w:r>
    </w:p>
    <w:p w14:paraId="4332B827">
      <w:pPr>
        <w:pStyle w:val="16"/>
        <w:tabs>
          <w:tab w:val="right" w:leader="dot" w:pos="8296"/>
        </w:tabs>
        <w:spacing w:line="360" w:lineRule="auto"/>
        <w:rPr>
          <w:rFonts w:ascii="Calibri" w:hAnsi="Calibri"/>
          <w:sz w:val="24"/>
          <w:szCs w:val="22"/>
        </w:rPr>
      </w:pPr>
      <w:r>
        <w:fldChar w:fldCharType="begin"/>
      </w:r>
      <w:r>
        <w:instrText xml:space="preserve"> HYPERLINK \l "_Toc382819136" </w:instrText>
      </w:r>
      <w:r>
        <w:fldChar w:fldCharType="separate"/>
      </w:r>
      <w:r>
        <w:rPr>
          <w:rStyle w:val="21"/>
          <w:rFonts w:hint="eastAsia" w:ascii="宋体" w:hAnsi="宋体"/>
          <w:sz w:val="24"/>
        </w:rPr>
        <w:t>十九、</w:t>
      </w:r>
      <w:r>
        <w:rPr>
          <w:rStyle w:val="21"/>
          <w:rFonts w:hint="eastAsia" w:ascii="宋体" w:hAnsi="宋体" w:cs="Arial"/>
          <w:sz w:val="24"/>
        </w:rPr>
        <w:t xml:space="preserve"> 其他事项</w:t>
      </w:r>
      <w:r>
        <w:rPr>
          <w:sz w:val="24"/>
        </w:rPr>
        <w:tab/>
      </w:r>
      <w:r>
        <w:rPr>
          <w:sz w:val="24"/>
        </w:rPr>
        <w:fldChar w:fldCharType="begin"/>
      </w:r>
      <w:r>
        <w:rPr>
          <w:sz w:val="24"/>
        </w:rPr>
        <w:instrText xml:space="preserve"> PAGEREF _Toc382819136 \h </w:instrText>
      </w:r>
      <w:r>
        <w:rPr>
          <w:sz w:val="24"/>
        </w:rPr>
        <w:fldChar w:fldCharType="separate"/>
      </w:r>
      <w:r>
        <w:rPr>
          <w:sz w:val="24"/>
        </w:rPr>
        <w:t>36</w:t>
      </w:r>
      <w:r>
        <w:rPr>
          <w:sz w:val="24"/>
        </w:rPr>
        <w:fldChar w:fldCharType="end"/>
      </w:r>
      <w:r>
        <w:rPr>
          <w:sz w:val="24"/>
        </w:rPr>
        <w:fldChar w:fldCharType="end"/>
      </w:r>
    </w:p>
    <w:p w14:paraId="243AA7B1">
      <w:pPr>
        <w:spacing w:line="360" w:lineRule="auto"/>
        <w:rPr>
          <w:rFonts w:ascii="仿宋_GB2312" w:eastAsia="仿宋_GB2312"/>
          <w:sz w:val="24"/>
        </w:rPr>
      </w:pPr>
      <w:r>
        <w:rPr>
          <w:rFonts w:ascii="宋体" w:hAnsi="宋体"/>
          <w:sz w:val="20"/>
          <w:szCs w:val="21"/>
        </w:rPr>
        <w:fldChar w:fldCharType="end"/>
      </w:r>
    </w:p>
    <w:p w14:paraId="3A4F265B">
      <w:pPr>
        <w:widowControl/>
        <w:jc w:val="left"/>
        <w:rPr>
          <w:rFonts w:ascii="仿宋_GB2312" w:eastAsia="仿宋_GB2312"/>
          <w:sz w:val="24"/>
        </w:rPr>
        <w:sectPr>
          <w:headerReference r:id="rId8" w:type="default"/>
          <w:footerReference r:id="rId9" w:type="default"/>
          <w:pgSz w:w="11906" w:h="16838"/>
          <w:pgMar w:top="1440" w:right="1800" w:bottom="1440" w:left="1800" w:header="851" w:footer="992" w:gutter="0"/>
          <w:pgNumType w:start="1"/>
          <w:cols w:space="720" w:num="1"/>
          <w:docGrid w:type="lines" w:linePitch="312" w:charSpace="0"/>
        </w:sectPr>
      </w:pPr>
    </w:p>
    <w:p w14:paraId="5BE41AAE">
      <w:pPr>
        <w:pStyle w:val="2"/>
        <w:keepNext w:val="0"/>
        <w:keepLines w:val="0"/>
        <w:numPr>
          <w:ilvl w:val="0"/>
          <w:numId w:val="0"/>
        </w:numPr>
        <w:tabs>
          <w:tab w:val="left" w:pos="420"/>
        </w:tabs>
        <w:autoSpaceDE w:val="0"/>
        <w:autoSpaceDN w:val="0"/>
        <w:adjustRightInd w:val="0"/>
        <w:spacing w:before="360" w:after="360"/>
        <w:textAlignment w:val="baseline"/>
        <w:rPr>
          <w:rFonts w:hAnsi="黑体"/>
          <w:b w:val="0"/>
          <w:szCs w:val="32"/>
        </w:rPr>
      </w:pPr>
      <w:bookmarkStart w:id="6" w:name="_Toc382818594"/>
      <w:bookmarkStart w:id="7" w:name="_Toc382819068"/>
      <w:r>
        <w:rPr>
          <w:rFonts w:hint="eastAsia" w:hAnsi="黑体"/>
          <w:b w:val="0"/>
          <w:szCs w:val="32"/>
        </w:rPr>
        <w:t>交银施罗德佳盛债券型证券投资基金托管协议</w:t>
      </w:r>
      <w:bookmarkEnd w:id="6"/>
      <w:bookmarkEnd w:id="7"/>
    </w:p>
    <w:p w14:paraId="03D93B67">
      <w:pPr>
        <w:rPr>
          <w:lang w:val="zh-CN"/>
        </w:rPr>
      </w:pPr>
    </w:p>
    <w:p w14:paraId="34E95D2C">
      <w:pPr>
        <w:rPr>
          <w:lang w:val="zh-CN"/>
        </w:rPr>
      </w:pPr>
    </w:p>
    <w:p w14:paraId="5186A65D">
      <w:pPr>
        <w:pStyle w:val="3"/>
        <w:keepNext w:val="0"/>
        <w:keepLines w:val="0"/>
        <w:autoSpaceDE w:val="0"/>
        <w:autoSpaceDN w:val="0"/>
        <w:adjustRightInd w:val="0"/>
        <w:spacing w:before="0" w:after="0" w:line="360" w:lineRule="auto"/>
        <w:ind w:firstLine="472" w:firstLineChars="196"/>
        <w:textAlignment w:val="baseline"/>
        <w:rPr>
          <w:rFonts w:ascii="宋体" w:hAnsi="宋体" w:eastAsia="宋体"/>
          <w:sz w:val="24"/>
        </w:rPr>
      </w:pPr>
      <w:bookmarkStart w:id="8" w:name="_Toc382819069"/>
      <w:r>
        <w:rPr>
          <w:rFonts w:hint="eastAsia" w:ascii="宋体" w:hAnsi="宋体" w:eastAsia="宋体" w:cs="Arial"/>
          <w:kern w:val="0"/>
          <w:sz w:val="24"/>
          <w:szCs w:val="24"/>
        </w:rPr>
        <w:t>基金管理人：</w:t>
      </w:r>
      <w:bookmarkEnd w:id="8"/>
      <w:r>
        <w:rPr>
          <w:rFonts w:hint="eastAsia" w:ascii="宋体" w:hAnsi="宋体" w:eastAsia="宋体"/>
          <w:sz w:val="24"/>
        </w:rPr>
        <w:t>交银施罗德基金管理有限公司</w:t>
      </w:r>
    </w:p>
    <w:p w14:paraId="02149666">
      <w:pPr>
        <w:spacing w:line="360" w:lineRule="auto"/>
        <w:ind w:firstLine="480" w:firstLineChars="200"/>
        <w:rPr>
          <w:rFonts w:ascii="宋体" w:hAnsi="宋体"/>
          <w:sz w:val="24"/>
        </w:rPr>
      </w:pPr>
      <w:r>
        <w:rPr>
          <w:rFonts w:hint="eastAsia" w:ascii="宋体" w:hAnsi="宋体"/>
          <w:sz w:val="24"/>
        </w:rPr>
        <w:t>住所：中国（上海）自由贸易试验区银城中路188号交通银行大楼二层（裙）</w:t>
      </w:r>
    </w:p>
    <w:p w14:paraId="4901E2E2">
      <w:pPr>
        <w:spacing w:line="360" w:lineRule="auto"/>
        <w:ind w:firstLine="480" w:firstLineChars="200"/>
        <w:rPr>
          <w:rFonts w:hint="eastAsia" w:ascii="宋体" w:hAnsi="宋体" w:eastAsia="宋体"/>
          <w:sz w:val="24"/>
          <w:lang w:eastAsia="zh-CN"/>
        </w:rPr>
      </w:pPr>
      <w:r>
        <w:rPr>
          <w:rFonts w:hint="eastAsia" w:ascii="宋体" w:hAnsi="宋体"/>
          <w:sz w:val="24"/>
        </w:rPr>
        <w:t>法定代表人：</w:t>
      </w:r>
      <w:r>
        <w:rPr>
          <w:rFonts w:hint="eastAsia" w:ascii="宋体" w:hAnsi="宋体"/>
          <w:sz w:val="24"/>
          <w:lang w:eastAsia="zh-CN"/>
        </w:rPr>
        <w:t>袁庆伟（代任）</w:t>
      </w:r>
    </w:p>
    <w:p w14:paraId="6D6A0CF0">
      <w:pPr>
        <w:spacing w:line="360" w:lineRule="auto"/>
        <w:ind w:firstLine="480" w:firstLineChars="200"/>
        <w:rPr>
          <w:rFonts w:ascii="宋体" w:hAnsi="宋体"/>
          <w:sz w:val="24"/>
        </w:rPr>
      </w:pPr>
      <w:r>
        <w:rPr>
          <w:rFonts w:hint="eastAsia" w:ascii="宋体" w:hAnsi="宋体"/>
          <w:sz w:val="24"/>
        </w:rPr>
        <w:t>成立时间：2005年8月4日</w:t>
      </w:r>
    </w:p>
    <w:p w14:paraId="1311EA44">
      <w:pPr>
        <w:spacing w:line="360" w:lineRule="auto"/>
        <w:ind w:firstLine="480" w:firstLineChars="200"/>
        <w:rPr>
          <w:rFonts w:ascii="宋体" w:hAnsi="宋体"/>
          <w:sz w:val="24"/>
        </w:rPr>
      </w:pPr>
      <w:r>
        <w:rPr>
          <w:rFonts w:hint="eastAsia" w:ascii="宋体" w:hAnsi="宋体"/>
          <w:sz w:val="24"/>
        </w:rPr>
        <w:t>批准设立机关及批准设立文号：中国证监会证监基金字[2005]128号</w:t>
      </w:r>
    </w:p>
    <w:p w14:paraId="34448627">
      <w:pPr>
        <w:spacing w:line="360" w:lineRule="auto"/>
        <w:ind w:firstLine="480" w:firstLineChars="200"/>
        <w:rPr>
          <w:rFonts w:ascii="宋体" w:hAnsi="宋体"/>
          <w:sz w:val="24"/>
        </w:rPr>
      </w:pPr>
      <w:r>
        <w:rPr>
          <w:rFonts w:hint="eastAsia" w:ascii="宋体" w:hAnsi="宋体"/>
          <w:sz w:val="24"/>
        </w:rPr>
        <w:t>注册资本：2亿元人民币</w:t>
      </w:r>
    </w:p>
    <w:p w14:paraId="753CE45D">
      <w:pPr>
        <w:spacing w:line="360" w:lineRule="auto"/>
        <w:ind w:firstLine="480" w:firstLineChars="200"/>
        <w:rPr>
          <w:rFonts w:ascii="宋体" w:hAnsi="宋体"/>
          <w:sz w:val="24"/>
        </w:rPr>
      </w:pPr>
      <w:r>
        <w:rPr>
          <w:rFonts w:hint="eastAsia" w:ascii="宋体" w:hAnsi="宋体"/>
          <w:sz w:val="24"/>
        </w:rPr>
        <w:t>组织形式: 有限责任公司</w:t>
      </w:r>
      <w:bookmarkStart w:id="89" w:name="_GoBack"/>
      <w:bookmarkEnd w:id="89"/>
    </w:p>
    <w:p w14:paraId="396F3650">
      <w:pPr>
        <w:spacing w:line="360" w:lineRule="auto"/>
        <w:ind w:firstLine="480" w:firstLineChars="200"/>
        <w:rPr>
          <w:rFonts w:ascii="宋体" w:hAnsi="宋体"/>
          <w:sz w:val="24"/>
        </w:rPr>
      </w:pPr>
      <w:r>
        <w:rPr>
          <w:rFonts w:hint="eastAsia" w:ascii="宋体" w:hAnsi="宋体"/>
          <w:sz w:val="24"/>
        </w:rPr>
        <w:t>存续期间：持续经营</w:t>
      </w:r>
    </w:p>
    <w:p w14:paraId="74F40855">
      <w:pPr>
        <w:tabs>
          <w:tab w:val="left" w:pos="1320"/>
        </w:tabs>
        <w:spacing w:line="360" w:lineRule="auto"/>
        <w:ind w:firstLine="480" w:firstLineChars="200"/>
        <w:rPr>
          <w:rFonts w:ascii="宋体" w:hAnsi="宋体"/>
          <w:sz w:val="24"/>
        </w:rPr>
      </w:pPr>
      <w:r>
        <w:rPr>
          <w:rFonts w:hint="eastAsia" w:ascii="宋体" w:hAnsi="宋体"/>
          <w:sz w:val="24"/>
        </w:rPr>
        <w:t>电话：（021）61055050</w:t>
      </w:r>
    </w:p>
    <w:p w14:paraId="66CA9E38">
      <w:pPr>
        <w:ind w:firstLine="630"/>
      </w:pPr>
    </w:p>
    <w:p w14:paraId="3D1BCD0D">
      <w:pPr>
        <w:ind w:firstLine="630"/>
      </w:pPr>
    </w:p>
    <w:p w14:paraId="1820CD02">
      <w:pPr>
        <w:ind w:firstLine="630"/>
      </w:pPr>
    </w:p>
    <w:p w14:paraId="172C3650">
      <w:pPr>
        <w:spacing w:line="360" w:lineRule="auto"/>
        <w:ind w:firstLine="482" w:firstLineChars="200"/>
        <w:rPr>
          <w:rFonts w:ascii="宋体" w:hAnsi="宋体"/>
          <w:b/>
          <w:sz w:val="24"/>
        </w:rPr>
      </w:pPr>
    </w:p>
    <w:p w14:paraId="11BE56C9">
      <w:pPr>
        <w:pStyle w:val="3"/>
        <w:keepNext w:val="0"/>
        <w:keepLines w:val="0"/>
        <w:autoSpaceDE w:val="0"/>
        <w:autoSpaceDN w:val="0"/>
        <w:adjustRightInd w:val="0"/>
        <w:spacing w:before="0" w:after="0" w:line="360" w:lineRule="auto"/>
        <w:ind w:firstLine="472" w:firstLineChars="196"/>
        <w:textAlignment w:val="baseline"/>
        <w:rPr>
          <w:rFonts w:ascii="宋体" w:hAnsi="宋体" w:eastAsia="宋体"/>
          <w:bCs w:val="0"/>
          <w:sz w:val="24"/>
          <w:szCs w:val="24"/>
        </w:rPr>
      </w:pPr>
      <w:bookmarkStart w:id="9" w:name="_Toc382819070"/>
      <w:r>
        <w:rPr>
          <w:rFonts w:hint="eastAsia" w:ascii="宋体" w:hAnsi="宋体" w:eastAsia="宋体" w:cs="Arial"/>
          <w:kern w:val="0"/>
          <w:sz w:val="24"/>
          <w:szCs w:val="24"/>
        </w:rPr>
        <w:t>基金托管人：</w:t>
      </w:r>
      <w:r>
        <w:rPr>
          <w:rFonts w:hint="eastAsia" w:ascii="宋体" w:hAnsi="宋体" w:eastAsia="宋体"/>
          <w:bCs w:val="0"/>
          <w:sz w:val="24"/>
          <w:szCs w:val="24"/>
        </w:rPr>
        <w:t>上海浦东发展银行股份有限公司</w:t>
      </w:r>
      <w:bookmarkEnd w:id="9"/>
    </w:p>
    <w:p w14:paraId="76A27898">
      <w:pPr>
        <w:spacing w:line="360" w:lineRule="auto"/>
        <w:ind w:firstLine="480" w:firstLineChars="200"/>
        <w:rPr>
          <w:rFonts w:ascii="宋体" w:hAnsi="宋体"/>
          <w:sz w:val="24"/>
        </w:rPr>
      </w:pPr>
      <w:r>
        <w:rPr>
          <w:rFonts w:hint="eastAsia" w:ascii="宋体" w:hAnsi="宋体"/>
          <w:sz w:val="24"/>
        </w:rPr>
        <w:t>住所：上海市中山东一路12号</w:t>
      </w:r>
    </w:p>
    <w:p w14:paraId="1251D42B">
      <w:pPr>
        <w:spacing w:line="360" w:lineRule="auto"/>
        <w:ind w:firstLine="480" w:firstLineChars="200"/>
        <w:rPr>
          <w:rFonts w:ascii="宋体" w:hAnsi="宋体"/>
          <w:sz w:val="24"/>
        </w:rPr>
      </w:pPr>
      <w:r>
        <w:rPr>
          <w:rFonts w:hint="eastAsia" w:ascii="宋体" w:hAnsi="宋体"/>
          <w:sz w:val="24"/>
        </w:rPr>
        <w:t>办公地址：上海博成路1388号浦银中心A栋</w:t>
      </w:r>
    </w:p>
    <w:p w14:paraId="5EA7A820">
      <w:pPr>
        <w:spacing w:line="360" w:lineRule="auto"/>
        <w:ind w:firstLine="480" w:firstLineChars="200"/>
        <w:rPr>
          <w:rFonts w:ascii="宋体" w:hAnsi="宋体"/>
          <w:sz w:val="24"/>
        </w:rPr>
      </w:pPr>
      <w:r>
        <w:rPr>
          <w:rFonts w:hint="eastAsia" w:ascii="宋体" w:hAnsi="宋体"/>
          <w:sz w:val="24"/>
        </w:rPr>
        <w:t>法定代表人：张为忠</w:t>
      </w:r>
    </w:p>
    <w:p w14:paraId="7D5CBB27">
      <w:pPr>
        <w:spacing w:line="360" w:lineRule="auto"/>
        <w:ind w:firstLine="480" w:firstLineChars="200"/>
        <w:rPr>
          <w:rFonts w:ascii="宋体" w:hAnsi="宋体"/>
          <w:sz w:val="24"/>
        </w:rPr>
      </w:pPr>
      <w:r>
        <w:rPr>
          <w:rFonts w:hint="eastAsia" w:ascii="宋体" w:hAnsi="宋体"/>
          <w:sz w:val="24"/>
        </w:rPr>
        <w:t>成立日期：1992年10月19日</w:t>
      </w:r>
    </w:p>
    <w:p w14:paraId="32FAB2BE">
      <w:pPr>
        <w:spacing w:line="360" w:lineRule="auto"/>
        <w:ind w:firstLine="480" w:firstLineChars="200"/>
        <w:rPr>
          <w:rFonts w:ascii="宋体" w:hAnsi="宋体"/>
          <w:sz w:val="24"/>
        </w:rPr>
      </w:pPr>
      <w:r>
        <w:rPr>
          <w:rFonts w:hint="eastAsia" w:ascii="宋体" w:hAnsi="宋体"/>
          <w:sz w:val="24"/>
        </w:rPr>
        <w:t>基金托管业务资格批准机关：中国证监会</w:t>
      </w:r>
    </w:p>
    <w:p w14:paraId="411D6566">
      <w:pPr>
        <w:spacing w:line="360" w:lineRule="auto"/>
        <w:ind w:firstLine="480" w:firstLineChars="200"/>
        <w:rPr>
          <w:rFonts w:ascii="宋体" w:hAnsi="宋体"/>
          <w:sz w:val="24"/>
        </w:rPr>
      </w:pPr>
      <w:r>
        <w:rPr>
          <w:rFonts w:hint="eastAsia" w:ascii="宋体" w:hAnsi="宋体"/>
          <w:sz w:val="24"/>
        </w:rPr>
        <w:t>基金托管业务资格文号：证监基金字[2003]105号</w:t>
      </w:r>
    </w:p>
    <w:p w14:paraId="1DA2196E">
      <w:pPr>
        <w:spacing w:line="360" w:lineRule="auto"/>
        <w:ind w:firstLine="480" w:firstLineChars="200"/>
        <w:rPr>
          <w:rFonts w:ascii="宋体" w:hAnsi="宋体"/>
          <w:sz w:val="24"/>
        </w:rPr>
      </w:pPr>
      <w:r>
        <w:rPr>
          <w:rFonts w:hint="eastAsia"/>
          <w:bCs/>
          <w:sz w:val="24"/>
        </w:rPr>
        <w:t>批准设立机关和批准设立文号：</w:t>
      </w:r>
      <w:r>
        <w:rPr>
          <w:bCs/>
          <w:sz w:val="24"/>
        </w:rPr>
        <w:t>中国人民银行</w:t>
      </w:r>
      <w:r>
        <w:rPr>
          <w:rFonts w:hint="eastAsia"/>
          <w:bCs/>
          <w:sz w:val="24"/>
        </w:rPr>
        <w:t>银复（1992）601号文</w:t>
      </w:r>
    </w:p>
    <w:p w14:paraId="465E12C1">
      <w:pPr>
        <w:spacing w:line="360" w:lineRule="auto"/>
        <w:ind w:firstLine="480" w:firstLineChars="200"/>
        <w:rPr>
          <w:rFonts w:ascii="宋体" w:hAnsi="宋体"/>
          <w:sz w:val="24"/>
        </w:rPr>
      </w:pPr>
      <w:r>
        <w:rPr>
          <w:rFonts w:hint="eastAsia" w:ascii="宋体" w:hAnsi="宋体"/>
          <w:sz w:val="24"/>
        </w:rPr>
        <w:t>组织形式：股份有限公司（上市）</w:t>
      </w:r>
    </w:p>
    <w:p w14:paraId="2CA37D74">
      <w:pPr>
        <w:spacing w:line="360" w:lineRule="auto"/>
        <w:ind w:firstLine="480" w:firstLineChars="200"/>
        <w:rPr>
          <w:rFonts w:ascii="宋体" w:hAnsi="宋体"/>
          <w:sz w:val="24"/>
        </w:rPr>
      </w:pPr>
      <w:r>
        <w:rPr>
          <w:rFonts w:hint="eastAsia" w:ascii="宋体" w:hAnsi="宋体"/>
          <w:sz w:val="24"/>
        </w:rPr>
        <w:t>注册资本：</w:t>
      </w:r>
      <w:r>
        <w:rPr>
          <w:rFonts w:ascii="宋体" w:hAnsi="宋体"/>
          <w:sz w:val="24"/>
        </w:rPr>
        <w:t>293.52</w:t>
      </w:r>
      <w:r>
        <w:rPr>
          <w:rFonts w:hint="eastAsia" w:ascii="宋体" w:hAnsi="宋体"/>
          <w:sz w:val="24"/>
        </w:rPr>
        <w:t>亿元人民币</w:t>
      </w:r>
    </w:p>
    <w:p w14:paraId="0F92486C">
      <w:pPr>
        <w:spacing w:line="360" w:lineRule="auto"/>
        <w:ind w:firstLine="480" w:firstLineChars="200"/>
        <w:rPr>
          <w:rFonts w:ascii="宋体" w:hAnsi="宋体"/>
          <w:sz w:val="24"/>
        </w:rPr>
      </w:pPr>
      <w:r>
        <w:rPr>
          <w:rFonts w:hint="eastAsia" w:ascii="宋体" w:hAnsi="宋体"/>
          <w:sz w:val="24"/>
        </w:rPr>
        <w:t>经营期限：永久存续</w:t>
      </w:r>
    </w:p>
    <w:p w14:paraId="16B9BFB9">
      <w:pPr>
        <w:spacing w:line="360" w:lineRule="auto"/>
        <w:ind w:firstLine="480" w:firstLineChars="200"/>
        <w:rPr>
          <w:rFonts w:ascii="宋体" w:hAnsi="宋体"/>
          <w:sz w:val="24"/>
        </w:rPr>
      </w:pPr>
    </w:p>
    <w:p w14:paraId="27F5593A">
      <w:pPr>
        <w:spacing w:line="360" w:lineRule="auto"/>
        <w:ind w:firstLine="480" w:firstLineChars="200"/>
        <w:rPr>
          <w:rFonts w:ascii="宋体" w:hAnsi="宋体"/>
          <w:sz w:val="24"/>
        </w:rPr>
      </w:pPr>
    </w:p>
    <w:p w14:paraId="657A540C">
      <w:pPr>
        <w:pStyle w:val="2"/>
        <w:keepNext w:val="0"/>
        <w:keepLines w:val="0"/>
        <w:numPr>
          <w:ilvl w:val="0"/>
          <w:numId w:val="2"/>
        </w:numPr>
        <w:tabs>
          <w:tab w:val="left" w:pos="420"/>
        </w:tabs>
        <w:autoSpaceDE w:val="0"/>
        <w:autoSpaceDN w:val="0"/>
        <w:adjustRightInd w:val="0"/>
        <w:spacing w:before="360" w:after="360"/>
        <w:textAlignment w:val="baseline"/>
        <w:rPr>
          <w:rFonts w:ascii="宋体" w:hAnsi="宋体" w:eastAsia="宋体" w:cs="Arial"/>
          <w:sz w:val="21"/>
          <w:szCs w:val="21"/>
        </w:rPr>
      </w:pPr>
      <w:bookmarkStart w:id="10" w:name="_Toc382819071"/>
      <w:r>
        <w:rPr>
          <w:rFonts w:hint="eastAsia" w:ascii="宋体" w:hAnsi="宋体" w:eastAsia="宋体" w:cs="Arial"/>
          <w:sz w:val="21"/>
          <w:szCs w:val="21"/>
        </w:rPr>
        <w:t>基金托管协议的依据、目的、原则和解释</w:t>
      </w:r>
      <w:bookmarkEnd w:id="10"/>
    </w:p>
    <w:p w14:paraId="49972759">
      <w:pPr>
        <w:spacing w:line="360" w:lineRule="auto"/>
        <w:ind w:firstLine="420" w:firstLineChars="200"/>
        <w:rPr>
          <w:rFonts w:ascii="宋体" w:hAnsi="宋体"/>
          <w:szCs w:val="21"/>
        </w:rPr>
      </w:pPr>
      <w:r>
        <w:rPr>
          <w:rFonts w:hint="eastAsia" w:ascii="宋体" w:hAnsi="宋体"/>
          <w:szCs w:val="21"/>
        </w:rPr>
        <w:t>（一）依据</w:t>
      </w:r>
    </w:p>
    <w:p w14:paraId="07D531DC">
      <w:pPr>
        <w:spacing w:line="360" w:lineRule="auto"/>
        <w:ind w:firstLine="420" w:firstLineChars="200"/>
        <w:rPr>
          <w:rFonts w:ascii="宋体" w:hAnsi="宋体"/>
          <w:szCs w:val="21"/>
        </w:rPr>
      </w:pPr>
      <w:r>
        <w:rPr>
          <w:rFonts w:hint="eastAsia" w:ascii="宋体" w:hAnsi="宋体"/>
          <w:szCs w:val="21"/>
        </w:rPr>
        <w:t>本协议依据《中华人民共和国民法典》、《中华人民共和国证券法》、《中华人民共和国证券投资基金法》（以下简称《基金法》）、《公开募集证券投资基金运作管理办法》（以下简称《运作办法》）、《</w:t>
      </w:r>
      <w:r>
        <w:rPr>
          <w:rFonts w:hint="eastAsia" w:ascii="宋体" w:hAnsi="宋体"/>
          <w:bCs/>
          <w:szCs w:val="21"/>
        </w:rPr>
        <w:t>公开募集</w:t>
      </w:r>
      <w:r>
        <w:rPr>
          <w:rFonts w:ascii="宋体" w:hAnsi="宋体"/>
          <w:bCs/>
          <w:szCs w:val="21"/>
        </w:rPr>
        <w:t>证券投资基金销售机构监督管理办法</w:t>
      </w:r>
      <w:r>
        <w:rPr>
          <w:rFonts w:hint="eastAsia" w:ascii="宋体" w:hAnsi="宋体"/>
          <w:szCs w:val="21"/>
        </w:rPr>
        <w:t>》、《公开募集证券投资基金信息披露管理办法》（以下简称《信息披露办法》）、</w:t>
      </w:r>
      <w:r>
        <w:rPr>
          <w:rFonts w:ascii="宋体" w:hAnsi="宋体"/>
          <w:szCs w:val="21"/>
        </w:rPr>
        <w:t>《公开募集开放式证券投资基金流动性风险管理规定》（以下简称《流动性风险管理规定》）、</w:t>
      </w:r>
      <w:r>
        <w:rPr>
          <w:rFonts w:hint="eastAsia" w:ascii="宋体" w:hAnsi="宋体"/>
          <w:szCs w:val="21"/>
        </w:rPr>
        <w:t>《证券投资基金托管业务管理办法》、《商业银行托管业务监督管理办法（试行）》、《证券投资基金信息披露内容与格式准则第7号〈托管协议的内容与格式〉》、《交银施罗德佳盛债券型证券投资基金基金合同》（以下简称《基金合同》或基金合同）及其他有关法律、法规制定。</w:t>
      </w:r>
    </w:p>
    <w:p w14:paraId="332FB749">
      <w:pPr>
        <w:spacing w:line="360" w:lineRule="auto"/>
        <w:ind w:firstLine="420" w:firstLineChars="200"/>
        <w:rPr>
          <w:rFonts w:ascii="宋体" w:hAnsi="宋体"/>
          <w:szCs w:val="21"/>
        </w:rPr>
      </w:pPr>
      <w:r>
        <w:rPr>
          <w:rFonts w:hint="eastAsia" w:ascii="宋体" w:hAnsi="宋体"/>
          <w:szCs w:val="21"/>
        </w:rPr>
        <w:t>（二）目的</w:t>
      </w:r>
    </w:p>
    <w:p w14:paraId="3DEDB1E9">
      <w:pPr>
        <w:spacing w:line="360" w:lineRule="auto"/>
        <w:ind w:firstLine="420" w:firstLineChars="200"/>
        <w:rPr>
          <w:rFonts w:ascii="宋体" w:hAnsi="宋体"/>
          <w:szCs w:val="21"/>
        </w:rPr>
      </w:pPr>
      <w:r>
        <w:rPr>
          <w:rFonts w:hint="eastAsia" w:ascii="宋体" w:hAnsi="宋体"/>
          <w:szCs w:val="21"/>
        </w:rPr>
        <w:t>本协议的目的是明确基金托管人与基金管理人之间在基金财产的保管、投资运作、净值计算、收益分配、信息披露及相互监督等有关事宜中的权利、义务及职责，确保基金财产的安全，保护基金份额持有人的合法权益。</w:t>
      </w:r>
    </w:p>
    <w:p w14:paraId="4A3853EA">
      <w:pPr>
        <w:spacing w:line="360" w:lineRule="auto"/>
        <w:ind w:firstLine="420" w:firstLineChars="200"/>
        <w:rPr>
          <w:rFonts w:ascii="宋体" w:hAnsi="宋体"/>
          <w:szCs w:val="21"/>
        </w:rPr>
      </w:pPr>
      <w:r>
        <w:rPr>
          <w:rFonts w:hint="eastAsia" w:ascii="宋体" w:hAnsi="宋体"/>
          <w:szCs w:val="21"/>
        </w:rPr>
        <w:t>（三）原则</w:t>
      </w:r>
    </w:p>
    <w:p w14:paraId="0A072F2F">
      <w:pPr>
        <w:spacing w:line="360" w:lineRule="auto"/>
        <w:ind w:firstLine="420" w:firstLineChars="200"/>
        <w:rPr>
          <w:rFonts w:ascii="宋体" w:hAnsi="宋体"/>
          <w:szCs w:val="21"/>
        </w:rPr>
      </w:pPr>
      <w:r>
        <w:rPr>
          <w:rFonts w:hint="eastAsia" w:ascii="宋体" w:hAnsi="宋体"/>
          <w:szCs w:val="21"/>
        </w:rPr>
        <w:t>基金管理人和基金托管人本着平等自愿、诚实信用、充分保护基金份额持有人合法权益的原则，经协商一致，签订本协议。</w:t>
      </w:r>
    </w:p>
    <w:p w14:paraId="53F0CEAE">
      <w:pPr>
        <w:spacing w:after="120" w:line="360" w:lineRule="auto"/>
        <w:ind w:firstLine="420" w:firstLineChars="200"/>
        <w:rPr>
          <w:rFonts w:ascii="宋体" w:hAnsi="宋体"/>
          <w:szCs w:val="21"/>
        </w:rPr>
      </w:pPr>
      <w:r>
        <w:rPr>
          <w:rFonts w:hint="eastAsia" w:ascii="宋体" w:hAnsi="宋体"/>
          <w:szCs w:val="21"/>
        </w:rPr>
        <w:t>（四）解释</w:t>
      </w:r>
    </w:p>
    <w:p w14:paraId="7FE139DA">
      <w:pPr>
        <w:spacing w:after="120" w:line="360" w:lineRule="auto"/>
        <w:ind w:firstLine="420" w:firstLineChars="200"/>
        <w:rPr>
          <w:rFonts w:ascii="宋体" w:hAnsi="宋体"/>
          <w:szCs w:val="21"/>
        </w:rPr>
      </w:pPr>
      <w:r>
        <w:rPr>
          <w:rFonts w:hint="eastAsia" w:ascii="宋体" w:hAnsi="宋体"/>
          <w:szCs w:val="21"/>
        </w:rPr>
        <w:t>除非本协议另有约定，本协议所有术语与《基金合同》的相应术语具有相同含义。</w:t>
      </w:r>
    </w:p>
    <w:p w14:paraId="4FFC4CF9">
      <w:pPr>
        <w:spacing w:after="120" w:line="360" w:lineRule="auto"/>
        <w:ind w:firstLine="420" w:firstLineChars="200"/>
        <w:rPr>
          <w:rFonts w:ascii="宋体" w:hAnsi="宋体"/>
          <w:szCs w:val="21"/>
        </w:rPr>
      </w:pPr>
      <w:r>
        <w:rPr>
          <w:rFonts w:hint="eastAsia" w:ascii="宋体" w:hAnsi="宋体"/>
          <w:szCs w:val="21"/>
        </w:rPr>
        <w:t>（五）若本基金实施侧袋机制的，侧袋机制实施期间的相关安排见基金合同和招募说明书的规定。</w:t>
      </w:r>
    </w:p>
    <w:p w14:paraId="0155C269">
      <w:pPr>
        <w:pStyle w:val="2"/>
        <w:keepNext w:val="0"/>
        <w:keepLines w:val="0"/>
        <w:numPr>
          <w:ilvl w:val="0"/>
          <w:numId w:val="2"/>
        </w:numPr>
        <w:tabs>
          <w:tab w:val="left" w:pos="420"/>
        </w:tabs>
        <w:autoSpaceDE w:val="0"/>
        <w:autoSpaceDN w:val="0"/>
        <w:adjustRightInd w:val="0"/>
        <w:spacing w:before="360" w:after="360"/>
        <w:textAlignment w:val="baseline"/>
        <w:rPr>
          <w:rFonts w:ascii="宋体" w:hAnsi="宋体" w:eastAsia="宋体" w:cs="Arial"/>
          <w:sz w:val="21"/>
          <w:szCs w:val="21"/>
        </w:rPr>
      </w:pPr>
      <w:bookmarkStart w:id="11" w:name="_Toc382819072"/>
      <w:r>
        <w:rPr>
          <w:rFonts w:hint="eastAsia" w:ascii="宋体" w:hAnsi="宋体" w:eastAsia="宋体" w:cs="Arial"/>
          <w:sz w:val="21"/>
          <w:szCs w:val="21"/>
        </w:rPr>
        <w:t>基金托管人对基金管理人的业务监督和核查</w:t>
      </w:r>
      <w:bookmarkEnd w:id="11"/>
    </w:p>
    <w:p w14:paraId="366392BE">
      <w:pPr>
        <w:pStyle w:val="3"/>
        <w:keepNext w:val="0"/>
        <w:keepLines w:val="0"/>
        <w:autoSpaceDE w:val="0"/>
        <w:autoSpaceDN w:val="0"/>
        <w:adjustRightInd w:val="0"/>
        <w:spacing w:before="156" w:beforeLines="50" w:after="156" w:afterLines="50"/>
        <w:ind w:firstLine="315" w:firstLineChars="150"/>
        <w:textAlignment w:val="baseline"/>
        <w:rPr>
          <w:rFonts w:ascii="宋体" w:hAnsi="宋体" w:eastAsia="宋体"/>
          <w:b w:val="0"/>
          <w:sz w:val="21"/>
          <w:szCs w:val="21"/>
        </w:rPr>
      </w:pPr>
      <w:bookmarkStart w:id="12" w:name="_Toc382819073"/>
      <w:r>
        <w:rPr>
          <w:rFonts w:hint="eastAsia" w:ascii="宋体" w:hAnsi="宋体" w:eastAsia="宋体"/>
          <w:b w:val="0"/>
          <w:sz w:val="21"/>
          <w:szCs w:val="21"/>
        </w:rPr>
        <w:t>（一）基金托管人对基金管理人的投资行为行使监督权</w:t>
      </w:r>
      <w:bookmarkEnd w:id="12"/>
    </w:p>
    <w:p w14:paraId="4E4176CB">
      <w:pPr>
        <w:widowControl/>
        <w:spacing w:line="360" w:lineRule="auto"/>
        <w:ind w:firstLine="420" w:firstLineChars="200"/>
        <w:jc w:val="left"/>
        <w:rPr>
          <w:rFonts w:ascii="宋体" w:hAnsi="宋体"/>
          <w:szCs w:val="21"/>
        </w:rPr>
      </w:pPr>
      <w:r>
        <w:rPr>
          <w:rFonts w:hint="eastAsia" w:ascii="宋体" w:hAnsi="宋体"/>
          <w:szCs w:val="21"/>
        </w:rPr>
        <w:t>1.基金托管人根据有关法律法规的规定和《基金合同》的约定，对下述基金投资范围、投资对象进行监督。</w:t>
      </w:r>
    </w:p>
    <w:p w14:paraId="35330929">
      <w:pPr>
        <w:widowControl/>
        <w:spacing w:line="324" w:lineRule="auto"/>
        <w:ind w:firstLine="420" w:firstLineChars="200"/>
        <w:jc w:val="left"/>
        <w:rPr>
          <w:rFonts w:ascii="宋体" w:hAnsi="宋体" w:cs="宋体"/>
          <w:kern w:val="0"/>
          <w:szCs w:val="21"/>
        </w:rPr>
      </w:pPr>
      <w:bookmarkStart w:id="13" w:name="_Hlk207917109"/>
      <w:r>
        <w:rPr>
          <w:rFonts w:hint="eastAsia" w:ascii="宋体" w:hAnsi="宋体"/>
          <w:szCs w:val="21"/>
        </w:rPr>
        <w:t>本</w:t>
      </w:r>
      <w:r>
        <w:rPr>
          <w:rFonts w:hint="eastAsia" w:ascii="宋体" w:hAnsi="宋体" w:cs="宋体"/>
          <w:kern w:val="0"/>
          <w:szCs w:val="21"/>
        </w:rPr>
        <w:t>基金将投资于以下金融工具：</w:t>
      </w:r>
    </w:p>
    <w:p w14:paraId="5410CCC4">
      <w:pPr>
        <w:widowControl/>
        <w:spacing w:line="324" w:lineRule="auto"/>
        <w:ind w:firstLine="420" w:firstLineChars="200"/>
        <w:jc w:val="left"/>
        <w:rPr>
          <w:rFonts w:ascii="宋体" w:hAnsi="宋体" w:cs="宋体"/>
          <w:kern w:val="0"/>
          <w:szCs w:val="21"/>
        </w:rPr>
      </w:pPr>
      <w:r>
        <w:rPr>
          <w:rFonts w:hint="eastAsia" w:ascii="宋体" w:hAnsi="宋体" w:cs="宋体"/>
          <w:kern w:val="0"/>
          <w:szCs w:val="21"/>
        </w:rPr>
        <w:t>本基金的投资范围为具有良好流动性的金融工具，包括国内依法发行上市的股票（含主板、创业板、科创板及其他经中国证监会核准或注册上市的股票、存托凭证）、港股通标的股票、经中国证监会依法核准或注册的公开募集证券投资基金（仅包含全市场的股票型ETF（含可投资境外市场的ETF）、公开募集不动产投资信托基金（以下简称“公募REITs”）及本基金管理人管理的股票型基金、计入权益类资产的混合型基金，不含香港互认基金、QDII基金（可投资境外市场的股票型ETF除外）、基金中基金和其他投资范围包含基金的基金、货币市场基金）、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国债期货、信用衍生品以及法律法规或中国证监会允许基金投资的其他金融工具（但须符合中国证监会相关规定）。</w:t>
      </w:r>
    </w:p>
    <w:p w14:paraId="16D628C9">
      <w:pPr>
        <w:widowControl/>
        <w:spacing w:line="324" w:lineRule="auto"/>
        <w:ind w:firstLine="420" w:firstLineChars="200"/>
        <w:jc w:val="left"/>
        <w:rPr>
          <w:rFonts w:ascii="宋体" w:hAnsi="宋体" w:cs="宋体"/>
          <w:kern w:val="0"/>
          <w:szCs w:val="21"/>
        </w:rPr>
      </w:pPr>
      <w:r>
        <w:rPr>
          <w:rFonts w:hint="eastAsia" w:ascii="宋体" w:hAnsi="宋体" w:cs="宋体"/>
          <w:kern w:val="0"/>
          <w:szCs w:val="21"/>
        </w:rPr>
        <w:t>如法律法规或监管机构以后允许基金投资其他品种，基金管理人在履行适当程序后，可以将其纳入投资范围。</w:t>
      </w:r>
    </w:p>
    <w:p w14:paraId="5C06EFFA">
      <w:pPr>
        <w:widowControl/>
        <w:spacing w:line="324" w:lineRule="auto"/>
        <w:ind w:firstLine="420" w:firstLineChars="200"/>
        <w:jc w:val="left"/>
        <w:rPr>
          <w:rFonts w:ascii="宋体" w:hAnsi="宋体"/>
          <w:kern w:val="0"/>
          <w:szCs w:val="21"/>
        </w:rPr>
      </w:pPr>
      <w:r>
        <w:rPr>
          <w:rFonts w:hint="eastAsia" w:ascii="宋体" w:hAnsi="宋体"/>
          <w:kern w:val="0"/>
          <w:szCs w:val="21"/>
        </w:rPr>
        <w:t>《基金合同》已明确约定基金投资风格或证券选择标准的，基金管理人应按照基金托管人要求的格式提供投资品种，以便基金托管人运用相关技术系统，对基金实际投资是否符合《基金合同》关于证券选择标准的约定进行监督，对存在疑义的事项进行核查。</w:t>
      </w:r>
    </w:p>
    <w:p w14:paraId="5177CE49">
      <w:pPr>
        <w:widowControl/>
        <w:spacing w:line="324" w:lineRule="auto"/>
        <w:ind w:firstLine="420" w:firstLineChars="200"/>
        <w:jc w:val="left"/>
        <w:rPr>
          <w:rFonts w:ascii="宋体" w:hAnsi="宋体"/>
          <w:kern w:val="0"/>
          <w:szCs w:val="21"/>
        </w:rPr>
      </w:pPr>
      <w:r>
        <w:rPr>
          <w:rFonts w:hint="eastAsia" w:ascii="宋体" w:hAnsi="宋体"/>
          <w:kern w:val="0"/>
          <w:szCs w:val="21"/>
        </w:rPr>
        <w:t>本基金不得投资于相关法律、法规、部门规章及《基金合同》禁止投资的投资工具。</w:t>
      </w:r>
    </w:p>
    <w:p w14:paraId="2F2DBD55">
      <w:pPr>
        <w:spacing w:after="120" w:line="324" w:lineRule="auto"/>
        <w:ind w:firstLine="420" w:firstLineChars="200"/>
        <w:rPr>
          <w:rFonts w:ascii="宋体" w:hAnsi="宋体"/>
          <w:szCs w:val="21"/>
        </w:rPr>
      </w:pPr>
      <w:r>
        <w:rPr>
          <w:rFonts w:hint="eastAsia" w:ascii="宋体" w:hAnsi="宋体"/>
          <w:szCs w:val="21"/>
        </w:rPr>
        <w:t>2.基金托管人根据有关法律法规的规定及《基金合同》的约定对下述基金投融资比例进行监督：</w:t>
      </w:r>
    </w:p>
    <w:p w14:paraId="32328D38">
      <w:pPr>
        <w:spacing w:line="324" w:lineRule="auto"/>
        <w:ind w:firstLine="480"/>
        <w:outlineLvl w:val="1"/>
        <w:rPr>
          <w:rFonts w:ascii="宋体" w:hAnsi="宋体"/>
          <w:szCs w:val="21"/>
        </w:rPr>
      </w:pPr>
      <w:r>
        <w:rPr>
          <w:rFonts w:hint="eastAsia" w:ascii="宋体" w:hAnsi="宋体"/>
          <w:szCs w:val="21"/>
        </w:rPr>
        <w:t>（1）按法律法规的规定及《基金合同》的约定，本基金的投资资产配置比例为：</w:t>
      </w:r>
    </w:p>
    <w:p w14:paraId="1AB848B9">
      <w:pPr>
        <w:spacing w:line="324" w:lineRule="auto"/>
        <w:ind w:firstLine="480"/>
        <w:rPr>
          <w:rFonts w:ascii="宋体" w:hAnsi="宋体"/>
          <w:szCs w:val="21"/>
        </w:rPr>
      </w:pPr>
      <w:r>
        <w:rPr>
          <w:rFonts w:hint="eastAsia" w:ascii="宋体" w:hAnsi="宋体"/>
          <w:szCs w:val="21"/>
        </w:rPr>
        <w:t>基金的投资组合比例为：本基金投资于债券资产的比例不低于基金资产的80%；投资于股票（含存托凭证）、股票型基金、计入权益类资产的混合型基金、可转换债券（含可分离交易可转换债券）、可交换公司债券的比例占基金资产的5%-20%（其中，投资于境内股票资产（含A股ETF）的比例不低于基金资产的5%，投资于港股通标的股票的比例占股票资产的0%-50%）；上述应计入权益类资产的混合型基金需符合下列两个条件之一：①基金合同中约定股票（含存托凭证）投资占基金资产的比例不低于60%的混合型基金；②最近四个季度披露的股票（含存托凭证）投资占基金资产的比例均不低于60%的混合型基金。本基金投资于经中国证监会依法核准或注册的公开募集的基金份额的比例不超过基金资产净值的10%。每个交易日日终在扣除国债期货合约需缴纳的交易保证金后，本基金持有的现金或者到期日在一年以内的政府债券的比例合计不低于基金资产净值的5%，其中现金不包括结算备付金、存出保证金、应收申购款等。</w:t>
      </w:r>
    </w:p>
    <w:p w14:paraId="461E3154">
      <w:pPr>
        <w:spacing w:line="360" w:lineRule="auto"/>
        <w:ind w:firstLine="420"/>
        <w:rPr>
          <w:rFonts w:ascii="宋体" w:hAnsi="宋体"/>
          <w:szCs w:val="21"/>
        </w:rPr>
      </w:pPr>
      <w:r>
        <w:rPr>
          <w:rFonts w:hint="eastAsia" w:ascii="宋体" w:hAnsi="宋体"/>
          <w:szCs w:val="21"/>
        </w:rPr>
        <w:t>如果法律法规或中国证监会变更投资品种的投资比例限制，基金管理人在履行适当程序后，可以调整上述投资品种的投资比例。</w:t>
      </w:r>
    </w:p>
    <w:p w14:paraId="28C629B6">
      <w:pPr>
        <w:spacing w:line="360" w:lineRule="auto"/>
        <w:ind w:firstLine="420"/>
        <w:rPr>
          <w:rFonts w:ascii="宋体" w:hAnsi="宋体"/>
          <w:szCs w:val="21"/>
        </w:rPr>
      </w:pPr>
      <w:r>
        <w:rPr>
          <w:rFonts w:hint="eastAsia" w:ascii="宋体" w:hAnsi="宋体"/>
          <w:szCs w:val="21"/>
        </w:rPr>
        <w:t>因基金规模或市场变化等因素导致投资组合不符合上述规定的，基金管理人应在合理的期限内调整基金的投资组合，以符合上述比例限定。法律法规另有规定时，从其规定。</w:t>
      </w:r>
    </w:p>
    <w:p w14:paraId="7D2E28B8">
      <w:pPr>
        <w:spacing w:line="324" w:lineRule="auto"/>
        <w:ind w:firstLine="480"/>
        <w:outlineLvl w:val="1"/>
        <w:rPr>
          <w:rFonts w:ascii="宋体" w:hAnsi="宋体"/>
          <w:szCs w:val="21"/>
        </w:rPr>
      </w:pPr>
      <w:r>
        <w:rPr>
          <w:rFonts w:hint="eastAsia" w:ascii="宋体" w:hAnsi="宋体"/>
          <w:szCs w:val="21"/>
        </w:rPr>
        <w:t xml:space="preserve">（2）根据法律法规的规定及《基金合同》的约定，本基金投资组合遵循以下投资限制： </w:t>
      </w:r>
    </w:p>
    <w:p w14:paraId="1E7571C5">
      <w:pPr>
        <w:spacing w:line="324" w:lineRule="auto"/>
        <w:ind w:firstLine="480"/>
        <w:rPr>
          <w:rFonts w:ascii="宋体" w:hAnsi="宋体"/>
          <w:bCs/>
          <w:szCs w:val="21"/>
        </w:rPr>
      </w:pPr>
      <w:r>
        <w:rPr>
          <w:rFonts w:hint="eastAsia" w:ascii="宋体" w:hAnsi="宋体"/>
          <w:bCs/>
          <w:szCs w:val="21"/>
        </w:rPr>
        <w:t>1）本基金投资于债券资产的比例不低于基金资产的80%；投资于股票（含存托凭证）、股票型基金、计入权益类资产的混合型基金、可转换债券（含可分离交易可转换债券）、可交换公司债券的比例占基金资产的5%-20%（其中，投资于境内股票资产（含A股ETF）的比例不低于基金资产的5%，投资于港股通标的股票的比例占股票资产的0%-50%）；上述应计入权益类资产的混合型基金需符合下列两个条件之一：①基金合同中约定股票（含存托凭证）投资占基金资产的比例不低于60%的混合型基金；②最近四个季度披露的股票（含存托凭证）投资占基金资产的比例均不低于60%的混合型基金；本基金投资于经中国证监会依法核准或注册的公开募集的基金份额的比例不超过基金资产净值的10%；</w:t>
      </w:r>
    </w:p>
    <w:p w14:paraId="0A737768">
      <w:pPr>
        <w:spacing w:line="324" w:lineRule="auto"/>
        <w:ind w:firstLine="480"/>
        <w:rPr>
          <w:rFonts w:ascii="宋体" w:hAnsi="宋体"/>
          <w:bCs/>
          <w:szCs w:val="21"/>
        </w:rPr>
      </w:pPr>
      <w:r>
        <w:rPr>
          <w:rFonts w:hint="eastAsia" w:ascii="宋体" w:hAnsi="宋体"/>
          <w:bCs/>
          <w:szCs w:val="21"/>
        </w:rPr>
        <w:t>2）每个交易日日终在扣除国债期货合约需缴纳的交易保证金后，本基金持有的现金或者到期日在一年以内的政府债券的比例合计不低于基金资产净值的5%，其中现金不包括结算备付金、存出保证金、应收申购款等；</w:t>
      </w:r>
    </w:p>
    <w:p w14:paraId="03D16A87">
      <w:pPr>
        <w:spacing w:line="324" w:lineRule="auto"/>
        <w:ind w:firstLine="480"/>
        <w:rPr>
          <w:rFonts w:ascii="宋体" w:hAnsi="宋体"/>
          <w:bCs/>
          <w:szCs w:val="21"/>
        </w:rPr>
      </w:pPr>
      <w:r>
        <w:rPr>
          <w:rFonts w:hint="eastAsia" w:ascii="宋体" w:hAnsi="宋体"/>
          <w:bCs/>
          <w:szCs w:val="21"/>
        </w:rPr>
        <w:t>3）本基金持有一家公司发行的证券（不含本基金所投资的基金份额，同一家公司在内地和香港同时上市的A+H 股合计计算），其市值不超过基金资产净值的10％；</w:t>
      </w:r>
    </w:p>
    <w:p w14:paraId="1D56ADA9">
      <w:pPr>
        <w:spacing w:line="324" w:lineRule="auto"/>
        <w:ind w:firstLine="480"/>
        <w:rPr>
          <w:rFonts w:ascii="宋体" w:hAnsi="宋体"/>
          <w:bCs/>
          <w:szCs w:val="21"/>
        </w:rPr>
      </w:pPr>
      <w:r>
        <w:rPr>
          <w:rFonts w:hint="eastAsia" w:ascii="宋体" w:hAnsi="宋体"/>
          <w:bCs/>
          <w:szCs w:val="21"/>
        </w:rPr>
        <w:t>4）本基金管理人管理的全部基金持有一家公司发行的证券（不含本基金所投资的基金份额，同一家公司在内地和香港同时上市的A+H 股合计计算），不超过该证券的10％，完全按照有关指数的构成比例进行证券投资的基金品种可以不受此条款规定的比例限制；</w:t>
      </w:r>
    </w:p>
    <w:p w14:paraId="310D2180">
      <w:pPr>
        <w:spacing w:line="324" w:lineRule="auto"/>
        <w:ind w:firstLine="480"/>
        <w:rPr>
          <w:rFonts w:ascii="宋体" w:hAnsi="宋体"/>
          <w:bCs/>
          <w:szCs w:val="21"/>
        </w:rPr>
      </w:pPr>
      <w:r>
        <w:rPr>
          <w:rFonts w:hint="eastAsia" w:ascii="宋体" w:hAnsi="宋体"/>
          <w:bCs/>
          <w:szCs w:val="21"/>
        </w:rPr>
        <w:t>5）本基金投资于同一原始权益人的各类资产支持证券的比例，不得超过基金资产净值的10％；</w:t>
      </w:r>
    </w:p>
    <w:p w14:paraId="0941DD5D">
      <w:pPr>
        <w:spacing w:line="324" w:lineRule="auto"/>
        <w:ind w:firstLine="480"/>
        <w:rPr>
          <w:rFonts w:ascii="宋体" w:hAnsi="宋体"/>
          <w:bCs/>
          <w:szCs w:val="21"/>
        </w:rPr>
      </w:pPr>
      <w:r>
        <w:rPr>
          <w:rFonts w:hint="eastAsia" w:ascii="宋体" w:hAnsi="宋体"/>
          <w:bCs/>
          <w:szCs w:val="21"/>
        </w:rPr>
        <w:t>6）本基金持有的全部资产支持证券，其市值不得超过基金资产净值的20％；</w:t>
      </w:r>
    </w:p>
    <w:p w14:paraId="09A95F32">
      <w:pPr>
        <w:spacing w:line="324" w:lineRule="auto"/>
        <w:ind w:firstLine="480"/>
        <w:rPr>
          <w:rFonts w:ascii="宋体" w:hAnsi="宋体"/>
          <w:bCs/>
          <w:szCs w:val="21"/>
        </w:rPr>
      </w:pPr>
      <w:r>
        <w:rPr>
          <w:rFonts w:hint="eastAsia" w:ascii="宋体" w:hAnsi="宋体"/>
          <w:bCs/>
          <w:szCs w:val="21"/>
        </w:rPr>
        <w:t>7）本基金持有的同一（指同一信用级别）资产支持证券的比例，不得超过该资产支持证券规模的10％；</w:t>
      </w:r>
    </w:p>
    <w:p w14:paraId="1B9FE236">
      <w:pPr>
        <w:spacing w:line="324" w:lineRule="auto"/>
        <w:ind w:firstLine="480"/>
        <w:rPr>
          <w:rFonts w:ascii="宋体" w:hAnsi="宋体"/>
          <w:bCs/>
          <w:szCs w:val="21"/>
        </w:rPr>
      </w:pPr>
      <w:r>
        <w:rPr>
          <w:rFonts w:hint="eastAsia" w:ascii="宋体" w:hAnsi="宋体"/>
          <w:bCs/>
          <w:szCs w:val="21"/>
        </w:rPr>
        <w:t>8）本基金管理人管理的全部基金投资于同一原始权益人的各类资产支持证券，不得超过其各类资产支持证券合计规模的10％；</w:t>
      </w:r>
    </w:p>
    <w:p w14:paraId="4A7CF00A">
      <w:pPr>
        <w:spacing w:line="324" w:lineRule="auto"/>
        <w:ind w:firstLine="480"/>
        <w:rPr>
          <w:rFonts w:ascii="宋体" w:hAnsi="宋体"/>
          <w:bCs/>
          <w:szCs w:val="21"/>
        </w:rPr>
      </w:pPr>
      <w:r>
        <w:rPr>
          <w:rFonts w:hint="eastAsia" w:ascii="宋体" w:hAnsi="宋体"/>
          <w:bCs/>
          <w:szCs w:val="21"/>
        </w:rPr>
        <w:t>9）基金财产参与股票发行申购，本基金所申报的金额不超过本基金的总资产，本基金所申报的股票数量不超过拟发行股票公司本次发行股票的总量；</w:t>
      </w:r>
    </w:p>
    <w:p w14:paraId="64CFA981">
      <w:pPr>
        <w:spacing w:line="324" w:lineRule="auto"/>
        <w:ind w:firstLine="480"/>
        <w:rPr>
          <w:rFonts w:ascii="宋体" w:hAnsi="宋体"/>
          <w:bCs/>
          <w:szCs w:val="21"/>
        </w:rPr>
      </w:pPr>
      <w:r>
        <w:rPr>
          <w:rFonts w:hint="eastAsia" w:ascii="宋体" w:hAnsi="宋体"/>
          <w:bCs/>
          <w:szCs w:val="21"/>
        </w:rPr>
        <w:t>10）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56D4417E">
      <w:pPr>
        <w:spacing w:line="324" w:lineRule="auto"/>
        <w:ind w:firstLine="480"/>
        <w:rPr>
          <w:rFonts w:ascii="宋体" w:hAnsi="宋体"/>
          <w:bCs/>
          <w:szCs w:val="21"/>
        </w:rPr>
      </w:pPr>
      <w:r>
        <w:rPr>
          <w:rFonts w:hint="eastAsia" w:ascii="宋体" w:hAnsi="宋体"/>
          <w:bCs/>
          <w:szCs w:val="21"/>
        </w:rPr>
        <w:t>11）本基金主动投资于流动性受限资产（含封闭运作基金、定期开放基金等流通受限基金）的市值合计不得超过基金资产净值的15%；因证券市场波动、上市公司股票停牌、基金规模变动等基金管理人之外的因素致使基金不符合该比例限制的，基金管理人不得主动新增流动性受限资产的投资；</w:t>
      </w:r>
    </w:p>
    <w:p w14:paraId="6E77A673">
      <w:pPr>
        <w:spacing w:line="324" w:lineRule="auto"/>
        <w:ind w:firstLine="480"/>
        <w:rPr>
          <w:rFonts w:ascii="宋体" w:hAnsi="宋体"/>
          <w:bCs/>
          <w:szCs w:val="21"/>
        </w:rPr>
      </w:pPr>
      <w:r>
        <w:rPr>
          <w:rFonts w:hint="eastAsia" w:ascii="宋体" w:hAnsi="宋体"/>
          <w:bCs/>
          <w:szCs w:val="21"/>
        </w:rPr>
        <w:t>12）本基金与私募类证券资管产品及中国证监会认定的其他主体为交易对手开展逆回购交易的，可接受质押品的资质要求应当与基金合同约定的投资范围保持一致；</w:t>
      </w:r>
    </w:p>
    <w:p w14:paraId="52D73149">
      <w:pPr>
        <w:spacing w:line="324" w:lineRule="auto"/>
        <w:ind w:firstLine="480"/>
        <w:rPr>
          <w:rFonts w:ascii="宋体" w:hAnsi="宋体"/>
          <w:bCs/>
          <w:szCs w:val="21"/>
        </w:rPr>
      </w:pPr>
      <w:r>
        <w:rPr>
          <w:rFonts w:hint="eastAsia" w:ascii="宋体" w:hAnsi="宋体"/>
          <w:bCs/>
          <w:szCs w:val="21"/>
        </w:rPr>
        <w:t>13）本基金不持有具有信用保护卖方属性的信用衍生品，不持有合约类信用衍生品；本基金投资的信用衍生品名义本金不得超过本基金中对应受保护债券面值的100%；本基金投资于同一信用保护卖方的各类信用衍生品名义本金合计不得超过基金资产净值的10%；因证券/期货市场波动、证券发行人合并、基金规模变动等基金管理人之外的因素致使基金不符合前述所规定比例限制的，基金管理人应在3个月之内进行调整；</w:t>
      </w:r>
    </w:p>
    <w:p w14:paraId="299499F3">
      <w:pPr>
        <w:spacing w:line="324" w:lineRule="auto"/>
        <w:ind w:firstLine="480"/>
        <w:rPr>
          <w:rFonts w:ascii="宋体" w:hAnsi="宋体"/>
          <w:bCs/>
          <w:szCs w:val="21"/>
        </w:rPr>
      </w:pPr>
      <w:r>
        <w:rPr>
          <w:rFonts w:hint="eastAsia" w:ascii="宋体" w:hAnsi="宋体"/>
          <w:bCs/>
          <w:szCs w:val="21"/>
        </w:rPr>
        <w:t>14）本基金参与国债期货交易，需遵守下列投资比例限制：</w:t>
      </w:r>
    </w:p>
    <w:p w14:paraId="2066FA40">
      <w:pPr>
        <w:spacing w:line="324" w:lineRule="auto"/>
        <w:ind w:firstLine="480"/>
        <w:rPr>
          <w:rFonts w:ascii="宋体" w:hAnsi="宋体"/>
          <w:bCs/>
          <w:szCs w:val="21"/>
        </w:rPr>
      </w:pPr>
      <w:r>
        <w:rPr>
          <w:rFonts w:hint="eastAsia" w:ascii="宋体" w:hAnsi="宋体"/>
          <w:bCs/>
          <w:szCs w:val="21"/>
        </w:rPr>
        <w:t>①在任何交易日日终，持有的买入国债期货合约价值，不得超过基金资产净值的15%；</w:t>
      </w:r>
    </w:p>
    <w:p w14:paraId="4F3F6BBE">
      <w:pPr>
        <w:spacing w:line="324" w:lineRule="auto"/>
        <w:ind w:firstLine="480"/>
        <w:rPr>
          <w:rFonts w:ascii="宋体" w:hAnsi="宋体"/>
          <w:bCs/>
          <w:szCs w:val="21"/>
        </w:rPr>
      </w:pPr>
      <w:r>
        <w:rPr>
          <w:rFonts w:hint="eastAsia" w:ascii="宋体" w:hAnsi="宋体"/>
          <w:bCs/>
          <w:szCs w:val="21"/>
        </w:rPr>
        <w:t>②在任何交易日日终，持有的卖出国债期货合约价值不得超过基金持有的债券总市值的30%；</w:t>
      </w:r>
    </w:p>
    <w:p w14:paraId="08E6DB93">
      <w:pPr>
        <w:spacing w:line="324" w:lineRule="auto"/>
        <w:ind w:firstLine="480"/>
        <w:rPr>
          <w:rFonts w:ascii="宋体" w:hAnsi="宋体"/>
          <w:bCs/>
          <w:szCs w:val="21"/>
        </w:rPr>
      </w:pPr>
      <w:r>
        <w:rPr>
          <w:rFonts w:hint="eastAsia" w:ascii="宋体" w:hAnsi="宋体"/>
          <w:bCs/>
          <w:szCs w:val="21"/>
        </w:rPr>
        <w:t>③基金在任何交易日内交易（不包括平仓）的国债期货合约的成交金额不得超过上一交易日基金资产净值的30%；</w:t>
      </w:r>
    </w:p>
    <w:p w14:paraId="1887D603">
      <w:pPr>
        <w:spacing w:line="324" w:lineRule="auto"/>
        <w:ind w:firstLine="480"/>
        <w:rPr>
          <w:rFonts w:ascii="宋体" w:hAnsi="宋体"/>
          <w:bCs/>
          <w:szCs w:val="21"/>
        </w:rPr>
      </w:pPr>
      <w:r>
        <w:rPr>
          <w:rFonts w:hint="eastAsia" w:ascii="宋体" w:hAnsi="宋体"/>
          <w:bCs/>
          <w:szCs w:val="21"/>
        </w:rPr>
        <w:t>④本基金所持有的债券（不含到期日在一年以内的政府债券）市值和买入、卖出国债期货合约价值，合计（轧差计算）应当符合基金合同关于债券投资比例的有关约定；</w:t>
      </w:r>
    </w:p>
    <w:p w14:paraId="2C9321DF">
      <w:pPr>
        <w:spacing w:line="324" w:lineRule="auto"/>
        <w:ind w:firstLine="480"/>
        <w:rPr>
          <w:rFonts w:ascii="宋体" w:hAnsi="宋体"/>
          <w:bCs/>
          <w:szCs w:val="21"/>
        </w:rPr>
      </w:pPr>
      <w:r>
        <w:rPr>
          <w:rFonts w:hint="eastAsia" w:ascii="宋体" w:hAnsi="宋体"/>
          <w:bCs/>
          <w:szCs w:val="21"/>
        </w:rPr>
        <w:t>15）本基金资产总值不超过基金资产净值的140%；</w:t>
      </w:r>
    </w:p>
    <w:p w14:paraId="3C720AC8">
      <w:pPr>
        <w:spacing w:line="324" w:lineRule="auto"/>
        <w:ind w:firstLine="480"/>
        <w:rPr>
          <w:rFonts w:ascii="宋体" w:hAnsi="宋体"/>
          <w:bCs/>
          <w:szCs w:val="21"/>
        </w:rPr>
      </w:pPr>
      <w:r>
        <w:rPr>
          <w:rFonts w:hint="eastAsia" w:ascii="宋体" w:hAnsi="宋体"/>
          <w:bCs/>
          <w:szCs w:val="21"/>
        </w:rPr>
        <w:t>16）本基金投资存托凭证的比例限制依照境内上市交易的股票执行；</w:t>
      </w:r>
    </w:p>
    <w:p w14:paraId="7DDB7B3A">
      <w:pPr>
        <w:spacing w:line="324" w:lineRule="auto"/>
        <w:ind w:firstLine="480"/>
        <w:rPr>
          <w:rFonts w:ascii="宋体" w:hAnsi="宋体"/>
          <w:bCs/>
          <w:szCs w:val="21"/>
        </w:rPr>
      </w:pPr>
      <w:r>
        <w:rPr>
          <w:rFonts w:hint="eastAsia" w:ascii="宋体" w:hAnsi="宋体"/>
          <w:bCs/>
          <w:szCs w:val="21"/>
        </w:rPr>
        <w:t>17）本基金投资其他基金时，被投资基金的运作期限不少于1年、最近定期报告披露的基金净资产应当不低于1亿元；</w:t>
      </w:r>
    </w:p>
    <w:p w14:paraId="73DB440B">
      <w:pPr>
        <w:spacing w:line="324" w:lineRule="auto"/>
        <w:ind w:firstLine="480"/>
        <w:rPr>
          <w:rFonts w:ascii="宋体" w:hAnsi="宋体"/>
          <w:bCs/>
          <w:szCs w:val="21"/>
        </w:rPr>
      </w:pPr>
      <w:r>
        <w:rPr>
          <w:rFonts w:hint="eastAsia" w:ascii="宋体" w:hAnsi="宋体"/>
          <w:bCs/>
          <w:szCs w:val="21"/>
        </w:rPr>
        <w:t>18）本基金管理人管理的全部基金（除ETF联接基金外）持有单只基金不得超过被投资基金净资产的20%，被投资基金净资产规模以最近定期报告披露的规模为准；</w:t>
      </w:r>
    </w:p>
    <w:p w14:paraId="4DA83C0B">
      <w:pPr>
        <w:spacing w:line="324" w:lineRule="auto"/>
        <w:ind w:firstLine="480"/>
        <w:rPr>
          <w:rFonts w:ascii="宋体" w:hAnsi="宋体"/>
          <w:bCs/>
          <w:szCs w:val="21"/>
        </w:rPr>
      </w:pPr>
      <w:r>
        <w:rPr>
          <w:rFonts w:hint="eastAsia" w:ascii="宋体" w:hAnsi="宋体"/>
          <w:bCs/>
          <w:szCs w:val="21"/>
        </w:rPr>
        <w:t>19）本基金不得持有具有复杂、衍生品性质的基金份额，包括分级基金和中国证监会认定的其他基金份额；</w:t>
      </w:r>
    </w:p>
    <w:p w14:paraId="3B48E2DF">
      <w:pPr>
        <w:spacing w:line="324" w:lineRule="auto"/>
        <w:ind w:firstLine="480"/>
        <w:rPr>
          <w:rFonts w:ascii="宋体" w:hAnsi="宋体"/>
          <w:bCs/>
          <w:szCs w:val="21"/>
        </w:rPr>
      </w:pPr>
      <w:r>
        <w:rPr>
          <w:rFonts w:hint="eastAsia" w:ascii="宋体" w:hAnsi="宋体"/>
          <w:bCs/>
          <w:szCs w:val="21"/>
        </w:rPr>
        <w:t>20）法律法规及中国证监会规定的和《基金合同》约定的其他投资限制。</w:t>
      </w:r>
    </w:p>
    <w:p w14:paraId="7B4329A5">
      <w:pPr>
        <w:spacing w:line="324" w:lineRule="auto"/>
        <w:ind w:firstLine="480"/>
        <w:rPr>
          <w:rFonts w:ascii="宋体" w:hAnsi="宋体"/>
          <w:bCs/>
          <w:szCs w:val="21"/>
        </w:rPr>
      </w:pPr>
      <w:r>
        <w:rPr>
          <w:rFonts w:hint="eastAsia" w:ascii="宋体" w:hAnsi="宋体"/>
          <w:bCs/>
          <w:szCs w:val="21"/>
        </w:rPr>
        <w:t>因证券/期货市场波动、基金规模变动、本基金所投资的基金发生流动性限制、暂停申购、赎回或二级市场交易停牌等基金管理人之外的因素致使本基金投资比例不符合上述第18）项规定的，基金管理人应当在20个交易日内进行调整；除上述2）、11）、12）、13）、18）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14:paraId="744D25E7">
      <w:pPr>
        <w:spacing w:line="324" w:lineRule="auto"/>
        <w:ind w:firstLine="480"/>
        <w:rPr>
          <w:rFonts w:ascii="宋体" w:hAnsi="宋体"/>
          <w:bCs/>
          <w:szCs w:val="21"/>
        </w:rPr>
      </w:pPr>
      <w:r>
        <w:rPr>
          <w:rFonts w:hint="eastAsia" w:ascii="宋体" w:hAnsi="宋体"/>
          <w:bCs/>
          <w:szCs w:val="21"/>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051C1E66">
      <w:pPr>
        <w:spacing w:line="324" w:lineRule="auto"/>
        <w:ind w:firstLine="480"/>
        <w:rPr>
          <w:rFonts w:ascii="宋体" w:hAnsi="宋体"/>
          <w:bCs/>
          <w:szCs w:val="21"/>
        </w:rPr>
      </w:pPr>
      <w:r>
        <w:rPr>
          <w:rFonts w:hint="eastAsia" w:ascii="宋体" w:hAnsi="宋体"/>
          <w:bCs/>
          <w:szCs w:val="21"/>
        </w:rPr>
        <w:t>法律法规或监管部门取消或变更上述限制，如适用于本基金，基金管理人在履行适当程序后，则本基金投资不再受相关限制或以变更后的规定为准。</w:t>
      </w:r>
    </w:p>
    <w:p w14:paraId="3DD9608D">
      <w:pPr>
        <w:spacing w:after="120" w:line="440" w:lineRule="exact"/>
        <w:ind w:firstLine="420" w:firstLineChars="200"/>
        <w:rPr>
          <w:rFonts w:ascii="宋体" w:hAnsi="宋体"/>
          <w:szCs w:val="21"/>
        </w:rPr>
      </w:pPr>
      <w:r>
        <w:rPr>
          <w:rFonts w:hint="eastAsia" w:ascii="宋体" w:hAnsi="宋体"/>
          <w:szCs w:val="21"/>
        </w:rPr>
        <w:t xml:space="preserve">3.基金托管人根据有关法律法规的规定及《基金合同》的约定对下述基金投资禁止行为进行监督： </w:t>
      </w:r>
    </w:p>
    <w:p w14:paraId="4D75F990">
      <w:pPr>
        <w:spacing w:line="360" w:lineRule="auto"/>
        <w:ind w:left="1" w:firstLine="472" w:firstLineChars="225"/>
        <w:rPr>
          <w:rFonts w:ascii="宋体" w:hAnsi="宋体"/>
          <w:szCs w:val="21"/>
        </w:rPr>
      </w:pPr>
      <w:r>
        <w:rPr>
          <w:rFonts w:hint="eastAsia" w:ascii="宋体" w:hAnsi="宋体"/>
          <w:szCs w:val="21"/>
        </w:rPr>
        <w:t>根据法律法规的规定及《基金合同》的约定，本基金禁止从事下列行为：</w:t>
      </w:r>
    </w:p>
    <w:p w14:paraId="0CE323FE">
      <w:pPr>
        <w:spacing w:line="360" w:lineRule="auto"/>
        <w:ind w:left="1" w:firstLine="472" w:firstLineChars="225"/>
        <w:rPr>
          <w:rFonts w:ascii="宋体" w:hAnsi="宋体"/>
          <w:bCs/>
          <w:szCs w:val="21"/>
        </w:rPr>
      </w:pPr>
      <w:r>
        <w:rPr>
          <w:rFonts w:hint="eastAsia" w:ascii="宋体" w:hAnsi="宋体"/>
          <w:bCs/>
          <w:szCs w:val="21"/>
        </w:rPr>
        <w:t>（</w:t>
      </w:r>
      <w:r>
        <w:rPr>
          <w:rFonts w:ascii="宋体" w:hAnsi="宋体"/>
          <w:bCs/>
          <w:szCs w:val="21"/>
        </w:rPr>
        <w:t>1）承销证券；</w:t>
      </w:r>
    </w:p>
    <w:p w14:paraId="060BB342">
      <w:pPr>
        <w:spacing w:line="360" w:lineRule="auto"/>
        <w:ind w:left="1" w:firstLine="472" w:firstLineChars="225"/>
        <w:rPr>
          <w:rFonts w:ascii="宋体" w:hAnsi="宋体"/>
          <w:bCs/>
          <w:szCs w:val="21"/>
        </w:rPr>
      </w:pPr>
      <w:r>
        <w:rPr>
          <w:rFonts w:hint="eastAsia" w:ascii="宋体" w:hAnsi="宋体"/>
          <w:bCs/>
          <w:szCs w:val="21"/>
        </w:rPr>
        <w:t>（</w:t>
      </w:r>
      <w:r>
        <w:rPr>
          <w:rFonts w:ascii="宋体" w:hAnsi="宋体"/>
          <w:bCs/>
          <w:szCs w:val="21"/>
        </w:rPr>
        <w:t>2）违反规定向他人贷款或者提供担保；</w:t>
      </w:r>
    </w:p>
    <w:p w14:paraId="20A9D322">
      <w:pPr>
        <w:spacing w:line="360" w:lineRule="auto"/>
        <w:ind w:left="1" w:firstLine="472" w:firstLineChars="225"/>
        <w:rPr>
          <w:rFonts w:ascii="宋体" w:hAnsi="宋体"/>
          <w:bCs/>
          <w:szCs w:val="21"/>
        </w:rPr>
      </w:pPr>
      <w:r>
        <w:rPr>
          <w:rFonts w:hint="eastAsia" w:ascii="宋体" w:hAnsi="宋体"/>
          <w:bCs/>
          <w:szCs w:val="21"/>
        </w:rPr>
        <w:t>（</w:t>
      </w:r>
      <w:r>
        <w:rPr>
          <w:rFonts w:ascii="宋体" w:hAnsi="宋体"/>
          <w:bCs/>
          <w:szCs w:val="21"/>
        </w:rPr>
        <w:t>3）从事承担无限责任的投资；</w:t>
      </w:r>
    </w:p>
    <w:p w14:paraId="5B5502F9">
      <w:pPr>
        <w:spacing w:line="360" w:lineRule="auto"/>
        <w:ind w:left="1" w:firstLine="472" w:firstLineChars="225"/>
        <w:rPr>
          <w:rFonts w:ascii="宋体" w:hAnsi="宋体"/>
          <w:bCs/>
          <w:szCs w:val="21"/>
        </w:rPr>
      </w:pPr>
      <w:r>
        <w:rPr>
          <w:rFonts w:hint="eastAsia" w:ascii="宋体" w:hAnsi="宋体"/>
          <w:bCs/>
          <w:szCs w:val="21"/>
        </w:rPr>
        <w:t>（4</w:t>
      </w:r>
      <w:r>
        <w:rPr>
          <w:rFonts w:ascii="宋体" w:hAnsi="宋体"/>
          <w:bCs/>
          <w:szCs w:val="21"/>
        </w:rPr>
        <w:t>）向其基金管理人、基金托管人出资；</w:t>
      </w:r>
    </w:p>
    <w:p w14:paraId="66D16B2C">
      <w:pPr>
        <w:spacing w:line="360" w:lineRule="auto"/>
        <w:ind w:left="1" w:firstLine="472" w:firstLineChars="225"/>
        <w:rPr>
          <w:rFonts w:ascii="宋体" w:hAnsi="宋体"/>
          <w:bCs/>
          <w:szCs w:val="21"/>
        </w:rPr>
      </w:pPr>
      <w:r>
        <w:rPr>
          <w:rFonts w:hint="eastAsia" w:ascii="宋体" w:hAnsi="宋体"/>
          <w:bCs/>
          <w:szCs w:val="21"/>
        </w:rPr>
        <w:t>（5</w:t>
      </w:r>
      <w:r>
        <w:rPr>
          <w:rFonts w:ascii="宋体" w:hAnsi="宋体"/>
          <w:bCs/>
          <w:szCs w:val="21"/>
        </w:rPr>
        <w:t>）从事内幕交易、操纵证券交易价格及其他不正当的证券交易活动；</w:t>
      </w:r>
    </w:p>
    <w:p w14:paraId="0F611E53">
      <w:pPr>
        <w:spacing w:line="360" w:lineRule="auto"/>
        <w:ind w:firstLine="420" w:firstLineChars="200"/>
        <w:rPr>
          <w:rFonts w:ascii="宋体" w:hAnsi="宋体"/>
          <w:b/>
          <w:szCs w:val="21"/>
          <w:u w:val="single"/>
        </w:rPr>
      </w:pPr>
      <w:r>
        <w:rPr>
          <w:rFonts w:hint="eastAsia" w:ascii="宋体" w:hAnsi="宋体"/>
          <w:bCs/>
          <w:szCs w:val="21"/>
        </w:rPr>
        <w:t>（6</w:t>
      </w:r>
      <w:r>
        <w:rPr>
          <w:rFonts w:ascii="宋体" w:hAnsi="宋体"/>
          <w:bCs/>
          <w:szCs w:val="21"/>
        </w:rPr>
        <w:t>）法律、行政法规和中国证监会规定禁止的其他活动。</w:t>
      </w:r>
    </w:p>
    <w:p w14:paraId="1FEFE8F1">
      <w:pPr>
        <w:spacing w:line="360" w:lineRule="auto"/>
        <w:ind w:left="1" w:firstLine="472" w:firstLineChars="225"/>
        <w:rPr>
          <w:rFonts w:ascii="宋体" w:hAnsi="宋体"/>
          <w:szCs w:val="21"/>
        </w:rPr>
      </w:pPr>
      <w:r>
        <w:rPr>
          <w:rFonts w:hint="eastAsia" w:ascii="宋体" w:hAnsi="宋体"/>
          <w:szCs w:val="21"/>
        </w:rPr>
        <w:t>如法律、行政法规或监管部门取消或变更上述规定，如适用于本基金，基金管理人在履行适当程序后，本基金可不受上述规定的限制或以变更后的规定为准。</w:t>
      </w:r>
    </w:p>
    <w:p w14:paraId="3B6F101A">
      <w:pPr>
        <w:spacing w:line="440" w:lineRule="exact"/>
        <w:ind w:firstLine="397"/>
        <w:rPr>
          <w:rFonts w:ascii="宋体" w:hAnsi="宋体"/>
          <w:szCs w:val="21"/>
        </w:rPr>
      </w:pPr>
      <w:r>
        <w:rPr>
          <w:rFonts w:hint="eastAsia" w:ascii="宋体" w:hAnsi="宋体" w:cs="宋体"/>
          <w:kern w:val="0"/>
          <w:szCs w:val="21"/>
        </w:rPr>
        <w:t>4.基金托管人依据有关法律法规的规定和《基金合同》的约定对于基金关联投资限制进行监督。</w:t>
      </w:r>
    </w:p>
    <w:p w14:paraId="57557F24">
      <w:pPr>
        <w:spacing w:after="120" w:line="440" w:lineRule="exact"/>
        <w:ind w:firstLine="420" w:firstLineChars="200"/>
        <w:rPr>
          <w:rFonts w:ascii="宋体" w:hAnsi="宋体"/>
          <w:szCs w:val="21"/>
        </w:rPr>
      </w:pPr>
      <w:r>
        <w:rPr>
          <w:rFonts w:hint="eastAsia" w:ascii="宋体" w:hAnsi="宋体"/>
          <w:szCs w:val="21"/>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6B11695F">
      <w:pPr>
        <w:spacing w:after="120" w:line="440" w:lineRule="exact"/>
        <w:ind w:firstLine="420" w:firstLineChars="200"/>
        <w:rPr>
          <w:rFonts w:ascii="宋体" w:hAnsi="宋体"/>
          <w:szCs w:val="21"/>
        </w:rPr>
      </w:pPr>
      <w:r>
        <w:rPr>
          <w:rFonts w:hint="eastAsia" w:ascii="宋体" w:hAnsi="宋体"/>
          <w:szCs w:val="21"/>
        </w:rPr>
        <w:t>如法律、行政法规或监管部门取消或变更上述规定，如适用于本基金，基金管理人在履行适当程序后，本基金可不受上述规定的限制或以变更后的规定为准。</w:t>
      </w:r>
    </w:p>
    <w:bookmarkEnd w:id="13"/>
    <w:p w14:paraId="2D566F63">
      <w:pPr>
        <w:spacing w:after="120" w:line="440" w:lineRule="exact"/>
        <w:ind w:firstLine="420" w:firstLineChars="200"/>
        <w:rPr>
          <w:rFonts w:ascii="宋体" w:hAnsi="宋体"/>
          <w:szCs w:val="21"/>
        </w:rPr>
      </w:pPr>
      <w:r>
        <w:rPr>
          <w:rFonts w:hint="eastAsia" w:ascii="宋体" w:hAnsi="宋体"/>
          <w:szCs w:val="21"/>
        </w:rPr>
        <w:t>如法律、法规或《基金合同》有关于基金从事关联交易的规定，基金管理人和基金托管人事先相互提供关联方清单及关联关系（以下称“关联交易名单”）。双方有责任确保向对方提供的关联交易名单的真实性、准确性、完整性，并负责及时将更新后的名单发送给对方。名单变更后双方应及时发送对方，经对方确认后，新的关联交易名单开始生效。基金托管人仅按基金管理人提供的基金关联方名单为限，进行监督。</w:t>
      </w:r>
    </w:p>
    <w:p w14:paraId="51D97CC7">
      <w:pPr>
        <w:spacing w:line="440" w:lineRule="exact"/>
        <w:ind w:firstLine="420" w:firstLineChars="200"/>
        <w:rPr>
          <w:rFonts w:ascii="宋体" w:hAnsi="宋体"/>
          <w:szCs w:val="21"/>
        </w:rPr>
      </w:pPr>
      <w:r>
        <w:rPr>
          <w:rFonts w:hint="eastAsia" w:ascii="宋体" w:hAnsi="宋体"/>
          <w:szCs w:val="21"/>
        </w:rPr>
        <w:t>5.基金托管人</w:t>
      </w:r>
      <w:r>
        <w:rPr>
          <w:rFonts w:hint="eastAsia" w:ascii="宋体" w:hAnsi="宋体" w:cs="宋体"/>
          <w:kern w:val="0"/>
          <w:szCs w:val="21"/>
        </w:rPr>
        <w:t>依据有关法律法规的规定和《基金合同》的约定</w:t>
      </w:r>
      <w:r>
        <w:rPr>
          <w:rFonts w:hint="eastAsia" w:ascii="宋体" w:hAnsi="宋体"/>
          <w:szCs w:val="21"/>
        </w:rPr>
        <w:t>对基金管理人参与银行间债券市场进行监督。</w:t>
      </w:r>
    </w:p>
    <w:p w14:paraId="06A58396">
      <w:pPr>
        <w:spacing w:line="440" w:lineRule="exact"/>
        <w:ind w:firstLine="420" w:firstLineChars="200"/>
        <w:rPr>
          <w:rFonts w:ascii="宋体" w:hAnsi="宋体"/>
          <w:szCs w:val="21"/>
        </w:rPr>
      </w:pPr>
      <w:r>
        <w:rPr>
          <w:rFonts w:hint="eastAsia" w:ascii="宋体" w:hAnsi="宋体"/>
          <w:szCs w:val="21"/>
        </w:rPr>
        <w:t>基金托管人根据基金管理人提供的银行间债券市场交易对手名单进行监督。基金管理人可以定期对银行间债券市场交易对手名单及结算方式进行更新，新名单确定前已与本次剔除的交易对手所进行但尚未结算的交易，仍应按照协议进行结算。如基金管理人在基金投资运作之前未向基金托管人提供银行间债券市场交易对手名单的，视为基金管理人认可全市场交易对手。</w:t>
      </w:r>
    </w:p>
    <w:p w14:paraId="3A5681EB">
      <w:pPr>
        <w:spacing w:line="440" w:lineRule="exact"/>
        <w:ind w:firstLine="420" w:firstLineChars="200"/>
        <w:rPr>
          <w:rFonts w:ascii="宋体" w:hAnsi="宋体"/>
          <w:szCs w:val="21"/>
        </w:rPr>
      </w:pPr>
      <w:r>
        <w:rPr>
          <w:rFonts w:hint="eastAsia" w:ascii="宋体" w:hAnsi="宋体"/>
          <w:szCs w:val="21"/>
        </w:rPr>
        <w:t>6.基金托管人依据有关法律法规的规定和《基金合同》的约定，对基金银行存款业务进行监督。</w:t>
      </w:r>
    </w:p>
    <w:p w14:paraId="2D5289DE">
      <w:pPr>
        <w:spacing w:line="440" w:lineRule="exact"/>
        <w:ind w:firstLine="451" w:firstLineChars="215"/>
        <w:rPr>
          <w:rFonts w:ascii="宋体" w:hAnsi="宋体"/>
          <w:kern w:val="0"/>
          <w:szCs w:val="21"/>
        </w:rPr>
      </w:pPr>
      <w:r>
        <w:rPr>
          <w:rFonts w:hint="eastAsia" w:ascii="宋体" w:hAnsi="宋体"/>
          <w:szCs w:val="21"/>
        </w:rPr>
        <w:t>基金管理人应当加强对基金投资银行存款风险的评估与研究，严格测算与控制投资银行存款的风险敞口，针对不同类型存款银行建立相关投资限制制度。</w:t>
      </w:r>
      <w:r>
        <w:rPr>
          <w:rFonts w:hint="eastAsia" w:ascii="宋体" w:hAnsi="宋体"/>
          <w:kern w:val="0"/>
          <w:szCs w:val="21"/>
        </w:rPr>
        <w:t>对于基金投资的银行存款，由于存款银行发生信用风险事件而造成损失时，如果基金托管人在运作过程中遵循</w:t>
      </w:r>
      <w:r>
        <w:rPr>
          <w:rFonts w:hint="eastAsia" w:ascii="宋体" w:hAnsi="宋体" w:cs="宋体"/>
          <w:kern w:val="0"/>
          <w:szCs w:val="21"/>
        </w:rPr>
        <w:t>有关法律法规的规定和《基金合同》的约定</w:t>
      </w:r>
      <w:r>
        <w:rPr>
          <w:rFonts w:hint="eastAsia" w:ascii="宋体" w:hAnsi="宋体"/>
          <w:kern w:val="0"/>
          <w:szCs w:val="21"/>
        </w:rPr>
        <w:t>监督流程，则对于由于存款银行信用风险引起的损失，不承担赔偿责任。</w:t>
      </w:r>
    </w:p>
    <w:p w14:paraId="6827AFBE">
      <w:pPr>
        <w:spacing w:line="440" w:lineRule="exact"/>
        <w:ind w:firstLine="451" w:firstLineChars="215"/>
        <w:rPr>
          <w:rFonts w:ascii="宋体" w:hAnsi="宋体"/>
          <w:szCs w:val="21"/>
        </w:rPr>
      </w:pPr>
      <w:r>
        <w:rPr>
          <w:rFonts w:hint="eastAsia" w:ascii="宋体" w:hAnsi="宋体"/>
          <w:szCs w:val="21"/>
        </w:rPr>
        <w:t>7.基金托管人对基金投资流通受限证券的监督</w:t>
      </w:r>
    </w:p>
    <w:p w14:paraId="4098715E">
      <w:pPr>
        <w:widowControl/>
        <w:spacing w:line="360" w:lineRule="auto"/>
        <w:ind w:firstLine="420" w:firstLineChars="200"/>
        <w:jc w:val="left"/>
        <w:rPr>
          <w:rFonts w:ascii="宋体" w:hAnsi="宋体"/>
          <w:szCs w:val="21"/>
        </w:rPr>
      </w:pPr>
      <w:r>
        <w:rPr>
          <w:rFonts w:hint="eastAsia" w:ascii="宋体" w:hAnsi="宋体"/>
          <w:szCs w:val="21"/>
        </w:rPr>
        <w:t>如下所指“流通受限证券”与本协议以及基金合同所指“流动性受限资产”定义存在不同。就流动性受限资产定义，请参照基金合同的“第二部分 释义”部分。</w:t>
      </w:r>
    </w:p>
    <w:p w14:paraId="2EE9F18B">
      <w:pPr>
        <w:spacing w:line="360" w:lineRule="auto"/>
        <w:ind w:firstLine="420" w:firstLineChars="200"/>
        <w:rPr>
          <w:rFonts w:ascii="宋体" w:hAnsi="宋体"/>
          <w:szCs w:val="21"/>
        </w:rPr>
      </w:pPr>
      <w:r>
        <w:rPr>
          <w:rFonts w:hint="eastAsia" w:ascii="宋体" w:hAnsi="宋体"/>
          <w:szCs w:val="21"/>
        </w:rPr>
        <w:t>基金管理人投资流通受限证券，应事先根据中国证监会相关规定，明确基金投资流通受限证券的比例，制订严格的投资决策流程和风险控制制度，防范流动性风险、法律风险和操作风险等各种风险。基金托管人对基金管理人是否遵守相关制度、流动性风险处置预案以及相关投资额度和比例等的情况进行监督。</w:t>
      </w:r>
    </w:p>
    <w:p w14:paraId="3E4E583D">
      <w:pPr>
        <w:spacing w:line="360" w:lineRule="auto"/>
        <w:ind w:firstLine="420" w:firstLineChars="200"/>
        <w:rPr>
          <w:rFonts w:ascii="宋体" w:hAnsi="宋体"/>
          <w:szCs w:val="21"/>
        </w:rPr>
      </w:pPr>
      <w:r>
        <w:rPr>
          <w:rFonts w:hint="eastAsia" w:ascii="宋体" w:hAnsi="宋体"/>
          <w:szCs w:val="21"/>
        </w:rPr>
        <w:t>（1）本基金投资的流通受限证券包括经中国证监会批准的非公开发行股票、公开发行股票网下配售部分等在发行时明确一定期限锁定期的可交易证券,不包括由于发布重大消息或其他原因而临时停牌的证券、已发行未上市证券、回购交易中的质押券等流通受限证券。本基金不投资有锁定期但锁定期不明确的证券。</w:t>
      </w:r>
    </w:p>
    <w:p w14:paraId="302F3C2E">
      <w:pPr>
        <w:spacing w:line="360" w:lineRule="auto"/>
        <w:ind w:firstLine="420" w:firstLineChars="200"/>
        <w:rPr>
          <w:rFonts w:ascii="宋体" w:hAnsi="宋体"/>
          <w:szCs w:val="21"/>
        </w:rPr>
      </w:pPr>
      <w:r>
        <w:rPr>
          <w:rFonts w:hint="eastAsia" w:ascii="宋体" w:hAnsi="宋体"/>
          <w:szCs w:val="21"/>
        </w:rPr>
        <w:t>（2）基金管理人投资非公开发行股票，应制订流动性风险处置预案并经其董事会批准。风险处置预案应包括但不限于因投资流通受限证券需要解决的基金投资比例限制失调、基金流动性困难以及相关损失等问题的应对解决措施，以及有关异常情况的处置。基金管理人应在首次投资流通受限证券前向基金托管人提供基金投资非公开发行股票的相关流动性风险处置预案。</w:t>
      </w:r>
    </w:p>
    <w:p w14:paraId="179D154A">
      <w:pPr>
        <w:spacing w:line="360" w:lineRule="auto"/>
        <w:ind w:firstLine="420" w:firstLineChars="200"/>
        <w:rPr>
          <w:rFonts w:ascii="宋体" w:hAnsi="宋体"/>
          <w:szCs w:val="21"/>
        </w:rPr>
      </w:pPr>
      <w:r>
        <w:rPr>
          <w:rFonts w:hint="eastAsia" w:ascii="宋体" w:hAnsi="宋体"/>
          <w:szCs w:val="21"/>
        </w:rPr>
        <w:t>基金管理人对本基金投资流通受限证券的流动性风险负责，确保对相关风险采取积极有效的措施，在合理的时间内有效解决基金运作的流动性问题。对本基金因投资流通受限证券导致的流动性风险，基金托管人不承担</w:t>
      </w:r>
      <w:r>
        <w:rPr>
          <w:rFonts w:hint="eastAsia" w:ascii="宋体" w:hAnsi="宋体"/>
          <w:szCs w:val="21"/>
          <w:lang w:eastAsia="zh-Hans"/>
        </w:rPr>
        <w:t>相应</w:t>
      </w:r>
      <w:r>
        <w:rPr>
          <w:rFonts w:hint="eastAsia" w:ascii="宋体" w:hAnsi="宋体"/>
          <w:szCs w:val="21"/>
        </w:rPr>
        <w:t>责任。如因基金管理人原因导致本基金出现损失的，基金托管人不承担</w:t>
      </w:r>
      <w:r>
        <w:rPr>
          <w:rFonts w:hint="eastAsia" w:ascii="宋体" w:hAnsi="宋体"/>
          <w:szCs w:val="21"/>
          <w:lang w:eastAsia="zh-Hans"/>
        </w:rPr>
        <w:t>相应</w:t>
      </w:r>
      <w:r>
        <w:rPr>
          <w:rFonts w:hint="eastAsia" w:ascii="宋体" w:hAnsi="宋体"/>
          <w:szCs w:val="21"/>
        </w:rPr>
        <w:t>责任。</w:t>
      </w:r>
    </w:p>
    <w:p w14:paraId="547CA8C0">
      <w:pPr>
        <w:spacing w:line="360" w:lineRule="auto"/>
        <w:ind w:firstLine="420" w:firstLineChars="200"/>
        <w:rPr>
          <w:rFonts w:ascii="宋体" w:hAnsi="宋体"/>
          <w:szCs w:val="21"/>
        </w:rPr>
      </w:pPr>
      <w:r>
        <w:rPr>
          <w:rFonts w:hint="eastAsia" w:ascii="宋体" w:hAnsi="宋体"/>
          <w:szCs w:val="21"/>
        </w:rPr>
        <w:t>（3）基金管理人应在基金投资非公开发行股票后按照相关法律法规规定，在中国证监会规定媒介披露所投资非公开发行股票的名称、数量、总成本、账面价值，以及总成本和账面价值占基金资产净值的比例、锁定期等信息。</w:t>
      </w:r>
    </w:p>
    <w:p w14:paraId="4C1A504D">
      <w:pPr>
        <w:spacing w:line="360" w:lineRule="auto"/>
        <w:ind w:firstLine="420" w:firstLineChars="200"/>
        <w:rPr>
          <w:rFonts w:ascii="宋体" w:hAnsi="宋体"/>
          <w:szCs w:val="21"/>
        </w:rPr>
      </w:pPr>
      <w:r>
        <w:rPr>
          <w:rFonts w:hint="eastAsia" w:ascii="宋体" w:hAnsi="宋体"/>
          <w:szCs w:val="21"/>
        </w:rPr>
        <w:t>有关基金投资的流通受限证券应保证登记存管在相关基金名下，基金管理人负责相关工作的落实和协调，并保证基金托管人能够正常查询。如因流通受限证券的登记存管不能保证基金托管人正常履行资产保管责任，有关此项基金资产存管的责任由基金管理人承担。</w:t>
      </w:r>
    </w:p>
    <w:p w14:paraId="6A5E2E8C">
      <w:pPr>
        <w:spacing w:line="360" w:lineRule="auto"/>
        <w:ind w:firstLine="420" w:firstLineChars="200"/>
        <w:rPr>
          <w:rFonts w:ascii="宋体" w:hAnsi="宋体"/>
          <w:szCs w:val="21"/>
        </w:rPr>
      </w:pPr>
      <w:r>
        <w:rPr>
          <w:rFonts w:hint="eastAsia" w:ascii="宋体" w:hAnsi="宋体"/>
          <w:szCs w:val="21"/>
        </w:rPr>
        <w:t>如基金管理人未遵守相关制度、流动性风险处置方案以及投资额度和比例限制要求，导致基金出现风险使基金托管人承担连带赔偿责任的，若基金托管人此前已切实履行监督职责的，基金管理人应赔偿基金托管人由此遭受的损失。</w:t>
      </w:r>
    </w:p>
    <w:p w14:paraId="09D7EA65">
      <w:pPr>
        <w:spacing w:line="360" w:lineRule="auto"/>
        <w:ind w:firstLine="420" w:firstLineChars="200"/>
        <w:rPr>
          <w:rFonts w:ascii="宋体" w:hAnsi="宋体"/>
          <w:szCs w:val="21"/>
        </w:rPr>
      </w:pPr>
      <w:r>
        <w:rPr>
          <w:rFonts w:hint="eastAsia" w:ascii="宋体" w:hAnsi="宋体"/>
          <w:szCs w:val="21"/>
        </w:rPr>
        <w:t>（4）本基金投资非公开发行股票，基金管理人应至少于执行投资指令之前两个工作日将有关资料书面提交基金托管人，并保证向基金托管人提供的有关资料真实、准确、完整。有关资料如有调整，基金管理人应及时提供调整后的资料。上述书面资料包括但不限于：</w:t>
      </w:r>
    </w:p>
    <w:p w14:paraId="43D4703D">
      <w:pPr>
        <w:spacing w:line="360" w:lineRule="auto"/>
        <w:ind w:firstLine="420" w:firstLineChars="200"/>
        <w:rPr>
          <w:rFonts w:ascii="宋体" w:hAnsi="宋体"/>
          <w:szCs w:val="21"/>
        </w:rPr>
      </w:pPr>
      <w:r>
        <w:rPr>
          <w:rFonts w:hint="eastAsia" w:ascii="宋体" w:hAnsi="宋体"/>
          <w:szCs w:val="21"/>
        </w:rPr>
        <w:t>1）中国证监会批准发行非公开发行股票的批准文件。</w:t>
      </w:r>
    </w:p>
    <w:p w14:paraId="60FEC6CC">
      <w:pPr>
        <w:spacing w:line="360" w:lineRule="auto"/>
        <w:ind w:firstLine="420" w:firstLineChars="200"/>
        <w:rPr>
          <w:rFonts w:ascii="宋体" w:hAnsi="宋体"/>
          <w:szCs w:val="21"/>
        </w:rPr>
      </w:pPr>
      <w:r>
        <w:rPr>
          <w:rFonts w:hint="eastAsia" w:ascii="宋体" w:hAnsi="宋体"/>
          <w:szCs w:val="21"/>
        </w:rPr>
        <w:t>2）有关非公开发行股票的发行数量、发行价格、锁定期等发行资料。</w:t>
      </w:r>
    </w:p>
    <w:p w14:paraId="161889DF">
      <w:pPr>
        <w:spacing w:line="360" w:lineRule="auto"/>
        <w:ind w:firstLine="420" w:firstLineChars="200"/>
        <w:rPr>
          <w:rFonts w:ascii="宋体" w:hAnsi="宋体"/>
          <w:szCs w:val="21"/>
        </w:rPr>
      </w:pPr>
      <w:r>
        <w:rPr>
          <w:rFonts w:hint="eastAsia" w:ascii="宋体" w:hAnsi="宋体"/>
          <w:szCs w:val="21"/>
        </w:rPr>
        <w:t>3）基金拟认购的数量、价格、总成本、账面价值。</w:t>
      </w:r>
    </w:p>
    <w:p w14:paraId="4226A098">
      <w:pPr>
        <w:spacing w:line="360" w:lineRule="auto"/>
        <w:ind w:firstLine="420" w:firstLineChars="200"/>
        <w:rPr>
          <w:rFonts w:ascii="宋体" w:hAnsi="宋体"/>
          <w:szCs w:val="21"/>
        </w:rPr>
      </w:pPr>
      <w:r>
        <w:rPr>
          <w:rFonts w:hint="eastAsia" w:ascii="宋体" w:hAnsi="宋体"/>
          <w:szCs w:val="21"/>
        </w:rPr>
        <w:t>4）该基金投资流通受限证券的投资额度和投资比例控制。</w:t>
      </w:r>
    </w:p>
    <w:p w14:paraId="0A977446">
      <w:pPr>
        <w:spacing w:after="120" w:line="360" w:lineRule="auto"/>
        <w:ind w:firstLine="420" w:firstLineChars="200"/>
        <w:rPr>
          <w:rFonts w:ascii="宋体" w:hAnsi="宋体"/>
          <w:szCs w:val="21"/>
        </w:rPr>
      </w:pPr>
      <w:r>
        <w:rPr>
          <w:rFonts w:hint="eastAsia" w:ascii="宋体" w:hAnsi="宋体"/>
          <w:szCs w:val="21"/>
        </w:rPr>
        <w:t>（5）</w:t>
      </w:r>
      <w:r>
        <w:rPr>
          <w:rFonts w:hint="eastAsia" w:ascii="宋体" w:hAnsi="宋体" w:cs="宋体"/>
          <w:color w:val="000000"/>
          <w:kern w:val="0"/>
          <w:szCs w:val="21"/>
        </w:rPr>
        <w:t>基金托管人应按照《关于基金投资非公开发行股票等流通受限证券有关问题的通知》规定，对基金管理人是否遵守法律法规进行监督，并审核基金管理人提供的有关书面信息。</w:t>
      </w:r>
      <w:r>
        <w:rPr>
          <w:rFonts w:hint="eastAsia" w:ascii="宋体" w:hAnsi="宋体"/>
          <w:szCs w:val="21"/>
        </w:rPr>
        <w:t>基金托管人认为上述资料可能导致基金出现风险的，有权要求基金管理人在投资流通受限证券前就该风险的消除或防范措施进行补充书面说明，并保留查看基金管理人风险管理部门就基金投资流通受限证券出具的风险评估报告等资料的权利。否则，基金托管人有权拒绝执行有关指令。因拒绝执行该指令造成基金财产损失的，基金托管人不承担</w:t>
      </w:r>
      <w:r>
        <w:rPr>
          <w:rFonts w:hint="eastAsia" w:ascii="宋体" w:hAnsi="宋体"/>
          <w:szCs w:val="21"/>
          <w:lang w:eastAsia="zh-Hans"/>
        </w:rPr>
        <w:t>相应</w:t>
      </w:r>
      <w:r>
        <w:rPr>
          <w:rFonts w:hint="eastAsia" w:ascii="宋体" w:hAnsi="宋体"/>
          <w:szCs w:val="21"/>
        </w:rPr>
        <w:t>责任，并有权报告中国证监会。</w:t>
      </w:r>
    </w:p>
    <w:p w14:paraId="40E9AAB8">
      <w:pPr>
        <w:spacing w:after="120" w:line="360" w:lineRule="auto"/>
        <w:ind w:firstLine="420" w:firstLineChars="200"/>
        <w:rPr>
          <w:rFonts w:ascii="宋体" w:hAnsi="宋体"/>
          <w:szCs w:val="21"/>
        </w:rPr>
      </w:pPr>
      <w:r>
        <w:rPr>
          <w:rFonts w:hint="eastAsia" w:ascii="宋体" w:hAnsi="宋体"/>
          <w:szCs w:val="21"/>
        </w:rPr>
        <w:t>如基金管理人和基金托管人无法就上述问题达成一致，应及时上报中国证监会请求解决。基金托管人履行了本协议规定的监督职责后，不承担</w:t>
      </w:r>
      <w:r>
        <w:rPr>
          <w:rFonts w:hint="eastAsia" w:ascii="宋体" w:hAnsi="宋体"/>
          <w:szCs w:val="21"/>
          <w:lang w:eastAsia="zh-Hans"/>
        </w:rPr>
        <w:t>相应</w:t>
      </w:r>
      <w:r>
        <w:rPr>
          <w:rFonts w:hint="eastAsia" w:ascii="宋体" w:hAnsi="宋体"/>
          <w:szCs w:val="21"/>
        </w:rPr>
        <w:t>责任。</w:t>
      </w:r>
    </w:p>
    <w:p w14:paraId="12B64F18">
      <w:pPr>
        <w:widowControl/>
        <w:spacing w:line="360" w:lineRule="auto"/>
        <w:ind w:firstLine="420" w:firstLineChars="200"/>
        <w:jc w:val="left"/>
        <w:rPr>
          <w:rFonts w:ascii="宋体" w:hAnsi="宋体"/>
          <w:szCs w:val="21"/>
        </w:rPr>
      </w:pPr>
      <w:r>
        <w:rPr>
          <w:rFonts w:hint="eastAsia" w:ascii="宋体" w:hAnsi="宋体"/>
          <w:szCs w:val="21"/>
        </w:rPr>
        <w:t>(6)相关法律法规对基金投资流通受限证券有新规定的，从其规定。</w:t>
      </w:r>
    </w:p>
    <w:p w14:paraId="589294A2">
      <w:pPr>
        <w:spacing w:after="120" w:line="360" w:lineRule="auto"/>
        <w:ind w:firstLine="420" w:firstLineChars="200"/>
        <w:rPr>
          <w:rFonts w:ascii="宋体" w:hAnsi="宋体"/>
          <w:szCs w:val="21"/>
        </w:rPr>
      </w:pPr>
      <w:r>
        <w:rPr>
          <w:rFonts w:hint="eastAsia" w:ascii="宋体" w:hAnsi="宋体"/>
          <w:szCs w:val="21"/>
        </w:rPr>
        <w:t>8. 基金托管人对基金投资中期票据的监督责任仅限于依据本协议相关规定对投资比例和投资限制进行事后监督；除此外，无其它监督责任。如发现异常情况，应及时以书面形式通知基金管理人。基金管理人应积极配合和协助基金托管人进行监督和核查。基金因投资中期票据导致的信用风险、流动性风险，基金托管人不承担</w:t>
      </w:r>
      <w:r>
        <w:rPr>
          <w:rFonts w:hint="eastAsia" w:ascii="宋体" w:hAnsi="宋体"/>
          <w:szCs w:val="21"/>
          <w:lang w:eastAsia="zh-Hans"/>
        </w:rPr>
        <w:t>相应</w:t>
      </w:r>
      <w:r>
        <w:rPr>
          <w:rFonts w:hint="eastAsia" w:ascii="宋体" w:hAnsi="宋体"/>
          <w:szCs w:val="21"/>
        </w:rPr>
        <w:t>责任。如因基金管理人原因导致基金出现损失的，基金托管人不承担</w:t>
      </w:r>
      <w:r>
        <w:rPr>
          <w:rFonts w:hint="eastAsia" w:ascii="宋体" w:hAnsi="宋体"/>
          <w:szCs w:val="21"/>
          <w:lang w:eastAsia="zh-Hans"/>
        </w:rPr>
        <w:t>相应</w:t>
      </w:r>
      <w:r>
        <w:rPr>
          <w:rFonts w:hint="eastAsia" w:ascii="宋体" w:hAnsi="宋体"/>
          <w:szCs w:val="21"/>
        </w:rPr>
        <w:t>责任。</w:t>
      </w:r>
    </w:p>
    <w:p w14:paraId="7367F544">
      <w:pPr>
        <w:spacing w:after="120" w:line="360" w:lineRule="auto"/>
        <w:ind w:firstLine="420" w:firstLineChars="200"/>
        <w:rPr>
          <w:rFonts w:ascii="宋体" w:hAnsi="宋体"/>
          <w:szCs w:val="21"/>
        </w:rPr>
      </w:pPr>
      <w:r>
        <w:rPr>
          <w:rFonts w:hint="eastAsia" w:ascii="宋体" w:hAnsi="宋体"/>
          <w:szCs w:val="21"/>
        </w:rPr>
        <w:t>（二）基金托管人应当依照法律法规和基金合同约定，加强对侧袋机制启用、特定资产处置和信息披露等方面的复核和监督。</w:t>
      </w:r>
    </w:p>
    <w:p w14:paraId="7E735A60">
      <w:pPr>
        <w:spacing w:after="120" w:line="360" w:lineRule="auto"/>
        <w:ind w:firstLine="420" w:firstLineChars="200"/>
        <w:rPr>
          <w:rFonts w:ascii="宋体" w:hAnsi="宋体"/>
          <w:szCs w:val="21"/>
        </w:rPr>
      </w:pPr>
      <w:r>
        <w:rPr>
          <w:rFonts w:hint="eastAsia" w:ascii="宋体" w:hAnsi="宋体"/>
          <w:szCs w:val="21"/>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1D605E49">
      <w:pPr>
        <w:pStyle w:val="3"/>
        <w:keepNext w:val="0"/>
        <w:keepLines w:val="0"/>
        <w:autoSpaceDE w:val="0"/>
        <w:autoSpaceDN w:val="0"/>
        <w:adjustRightInd w:val="0"/>
        <w:spacing w:before="0" w:after="0" w:line="360" w:lineRule="auto"/>
        <w:ind w:firstLine="315" w:firstLineChars="150"/>
        <w:textAlignment w:val="baseline"/>
        <w:rPr>
          <w:rFonts w:ascii="宋体" w:hAnsi="宋体" w:eastAsia="宋体"/>
          <w:b w:val="0"/>
          <w:sz w:val="21"/>
          <w:szCs w:val="21"/>
        </w:rPr>
      </w:pPr>
      <w:bookmarkStart w:id="14" w:name="_Toc382819074"/>
      <w:r>
        <w:rPr>
          <w:rFonts w:hint="eastAsia" w:ascii="宋体" w:hAnsi="宋体" w:eastAsia="宋体"/>
          <w:b w:val="0"/>
          <w:sz w:val="21"/>
          <w:szCs w:val="21"/>
        </w:rPr>
        <w:t>（三）基金托管人应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bookmarkEnd w:id="14"/>
    </w:p>
    <w:p w14:paraId="09CBDCDE">
      <w:pPr>
        <w:pStyle w:val="3"/>
        <w:keepNext w:val="0"/>
        <w:keepLines w:val="0"/>
        <w:autoSpaceDE w:val="0"/>
        <w:autoSpaceDN w:val="0"/>
        <w:adjustRightInd w:val="0"/>
        <w:spacing w:before="0" w:after="0" w:line="360" w:lineRule="auto"/>
        <w:ind w:firstLine="315" w:firstLineChars="150"/>
        <w:textAlignment w:val="baseline"/>
        <w:rPr>
          <w:rFonts w:ascii="宋体" w:hAnsi="宋体" w:eastAsia="宋体"/>
          <w:b w:val="0"/>
          <w:sz w:val="21"/>
          <w:szCs w:val="21"/>
        </w:rPr>
      </w:pPr>
      <w:bookmarkStart w:id="15" w:name="_Toc382819075"/>
      <w:r>
        <w:rPr>
          <w:rFonts w:hint="eastAsia" w:ascii="宋体" w:hAnsi="宋体" w:eastAsia="宋体"/>
          <w:b w:val="0"/>
          <w:sz w:val="21"/>
          <w:szCs w:val="21"/>
        </w:rPr>
        <w:t>（四）基金托管人发现基金管理人的投资运作及其他运作违反《基金法》、《基金合同》、基金托管协议等有关规定时，应及时以书面形式通知基金管理人限期纠正，基金管理人收到通知后应及时核对，并以书面形式向基金托管人发出回函，进行解释或举证。</w:t>
      </w:r>
      <w:bookmarkEnd w:id="15"/>
    </w:p>
    <w:p w14:paraId="5BD047A1">
      <w:pPr>
        <w:spacing w:line="360" w:lineRule="auto"/>
        <w:ind w:firstLine="420" w:firstLineChars="200"/>
        <w:rPr>
          <w:rFonts w:ascii="宋体" w:hAnsi="宋体"/>
          <w:szCs w:val="21"/>
        </w:rPr>
      </w:pPr>
      <w:r>
        <w:rPr>
          <w:rFonts w:hint="eastAsia" w:ascii="宋体" w:hAnsi="宋体"/>
          <w:szCs w:val="21"/>
        </w:rPr>
        <w:t>在限期内，基金托管人有权随时对通知事项进行复查，督促基金管理人改正。基金管理人对基金托管人通知的违规事项未能在限期内纠正的，基金托管人应报告中国证监会。</w:t>
      </w:r>
    </w:p>
    <w:p w14:paraId="2740D4FB">
      <w:pPr>
        <w:spacing w:line="440" w:lineRule="exact"/>
        <w:ind w:firstLine="420" w:firstLineChars="200"/>
        <w:rPr>
          <w:rFonts w:ascii="宋体" w:hAnsi="宋体"/>
          <w:szCs w:val="21"/>
        </w:rPr>
      </w:pPr>
      <w:r>
        <w:rPr>
          <w:rFonts w:hint="eastAsia" w:ascii="宋体" w:hAnsi="宋体"/>
          <w:szCs w:val="21"/>
        </w:rPr>
        <w:t>基金管理人应积极配合和协助基金托管人依照法律法规、《基金合同》和本托管协议对基金业务的监督和核查，对基金托管人发出的书面提示，必须在规定时间内答复基金托管人并改正，或就基金托管人的合理疑义进行解释或举证，对基金托管人按照法律法规、《基金合同》和本托管协议的要求需向中国证监会报送基金监督报告的，基金管理人应积极配合提供相关数据资料和制度等。</w:t>
      </w:r>
    </w:p>
    <w:p w14:paraId="05E17B49">
      <w:pPr>
        <w:spacing w:line="440" w:lineRule="exact"/>
        <w:ind w:firstLine="420" w:firstLineChars="200"/>
        <w:rPr>
          <w:rFonts w:ascii="宋体" w:hAnsi="宋体"/>
          <w:szCs w:val="21"/>
        </w:rPr>
      </w:pPr>
      <w:r>
        <w:rPr>
          <w:rFonts w:hint="eastAsia" w:ascii="宋体" w:hAnsi="宋体"/>
          <w:szCs w:val="21"/>
        </w:rPr>
        <w:t>若基金托管人发现基金管理人发出但未执行的投资指令或依据交易程序已经生效的投资指令违反法律、行政法规和其他有关规定，或者违反《基金合同》约定的，应当立即通知基金管理人，并报告中国证监会。基金管理人的上述违规失信行为给基金财产或基金份额持有人造成的损失，由基金管理人承担。</w:t>
      </w:r>
    </w:p>
    <w:p w14:paraId="2E5CDD82">
      <w:pPr>
        <w:spacing w:line="440" w:lineRule="exact"/>
        <w:ind w:firstLine="420" w:firstLineChars="200"/>
        <w:rPr>
          <w:rFonts w:ascii="宋体" w:hAnsi="宋体"/>
          <w:szCs w:val="21"/>
        </w:rPr>
      </w:pPr>
      <w:r>
        <w:rPr>
          <w:rFonts w:hint="eastAsia" w:ascii="宋体" w:hAnsi="宋体"/>
          <w:szCs w:val="21"/>
        </w:rPr>
        <w:t>对于必须于估值完成后方可获知的监控指标或依据交易程序已经成交的投资指令，基金托管人发现该投资指令违反法律法规或者违反《基金合同》约定的，应当立即通知基金管理人，并报告中国证监会。</w:t>
      </w:r>
    </w:p>
    <w:p w14:paraId="7D4CDD0C">
      <w:pPr>
        <w:spacing w:line="440" w:lineRule="exact"/>
        <w:ind w:firstLine="420" w:firstLineChars="200"/>
        <w:rPr>
          <w:rFonts w:ascii="宋体" w:hAnsi="宋体"/>
          <w:szCs w:val="21"/>
        </w:rPr>
      </w:pPr>
      <w:r>
        <w:rPr>
          <w:rFonts w:hint="eastAsia" w:ascii="宋体" w:hAnsi="宋体"/>
          <w:szCs w:val="21"/>
        </w:rPr>
        <w:t>基金托管人发现基金管理人有重大违规行为，应立即报告中国证监会，同时通知基金管理人限期纠正。</w:t>
      </w:r>
    </w:p>
    <w:p w14:paraId="786E9989">
      <w:pPr>
        <w:spacing w:line="440" w:lineRule="exact"/>
        <w:ind w:firstLine="420" w:firstLineChars="200"/>
        <w:rPr>
          <w:rFonts w:ascii="宋体" w:hAnsi="宋体"/>
          <w:szCs w:val="21"/>
        </w:rPr>
      </w:pPr>
      <w:r>
        <w:rPr>
          <w:rFonts w:hint="eastAsia" w:ascii="宋体" w:hAnsi="宋体"/>
          <w:szCs w:val="21"/>
        </w:rPr>
        <w:t>基金管理人无正当理由，拒绝、阻挠基金托管人根据本协议规定行使监督权，或采取拖延、欺诈等手段妨碍基金托管人进行有效监督，情节严重或经基金托管人提出警告仍不改正的，基金托管人应报告中国证监会。</w:t>
      </w:r>
    </w:p>
    <w:p w14:paraId="70D2AECF">
      <w:pPr>
        <w:pStyle w:val="2"/>
        <w:keepNext w:val="0"/>
        <w:keepLines w:val="0"/>
        <w:numPr>
          <w:ilvl w:val="0"/>
          <w:numId w:val="2"/>
        </w:numPr>
        <w:tabs>
          <w:tab w:val="left" w:pos="420"/>
        </w:tabs>
        <w:autoSpaceDE w:val="0"/>
        <w:autoSpaceDN w:val="0"/>
        <w:adjustRightInd w:val="0"/>
        <w:spacing w:before="360" w:after="360"/>
        <w:textAlignment w:val="baseline"/>
        <w:rPr>
          <w:rFonts w:ascii="宋体" w:hAnsi="宋体" w:eastAsia="宋体" w:cs="Arial"/>
          <w:sz w:val="21"/>
          <w:szCs w:val="21"/>
        </w:rPr>
      </w:pPr>
      <w:bookmarkStart w:id="16" w:name="_Toc382819076"/>
      <w:r>
        <w:rPr>
          <w:rFonts w:hint="eastAsia" w:ascii="宋体" w:hAnsi="宋体" w:eastAsia="宋体" w:cs="Arial"/>
          <w:sz w:val="21"/>
          <w:szCs w:val="21"/>
        </w:rPr>
        <w:t>基金管理人对基金托管人的业务核查</w:t>
      </w:r>
      <w:bookmarkEnd w:id="16"/>
    </w:p>
    <w:p w14:paraId="351B802B">
      <w:pPr>
        <w:spacing w:line="360" w:lineRule="auto"/>
        <w:ind w:firstLine="420" w:firstLineChars="200"/>
        <w:rPr>
          <w:rFonts w:ascii="宋体" w:hAnsi="宋体"/>
          <w:szCs w:val="21"/>
        </w:rPr>
      </w:pPr>
      <w:r>
        <w:rPr>
          <w:rFonts w:hint="eastAsia" w:ascii="宋体" w:hAnsi="宋体"/>
          <w:szCs w:val="21"/>
        </w:rPr>
        <w:t>基金管理人对基金托管人履行托管职责情况进行核查，核查事项包括但不限于基金托管人是否安全保管基金财产、是否分别开设基金财产的资金账户、证券账户、期货结算账户及投资所需其他账户、是否复核基金管理人计算的基金资产净值和各类基金份额净值、是否根据基金管理人指令办理清算交收、进行相关信息披露和监督基金投资运作等行为。</w:t>
      </w:r>
    </w:p>
    <w:p w14:paraId="54F1F00A">
      <w:pPr>
        <w:spacing w:line="360" w:lineRule="auto"/>
        <w:ind w:firstLine="420" w:firstLineChars="200"/>
        <w:rPr>
          <w:rFonts w:ascii="宋体" w:hAnsi="宋体"/>
          <w:szCs w:val="21"/>
        </w:rPr>
      </w:pPr>
      <w:r>
        <w:rPr>
          <w:rFonts w:hint="eastAsia" w:ascii="宋体" w:hAnsi="宋体"/>
          <w:szCs w:val="21"/>
        </w:rPr>
        <w:t>基金管理人发现基金托管人擅自挪用基金财产、未对基金财产实行分账管理、无故未执行或无故延迟执行基金管理人资金划拨指令、泄露基金投资信息等违反《基金法》、《基金合同》、本托管协议及其他有关规定时，基金管理人应及时以书面形式通知基金托管人限期纠正，基金托管人收到通知后应及时核对并以书面形式向基金管理人发出回函。在限期内，基金管理人有权随时对通知事项进行复查，督促基金托管人改正。基金托管人对基金管理人通知的违规事项未能在限期内纠正的，基金管理人应报告中国证监会。基金管理人发现基金托管人有重大违规行为，应立即报告中国证监会和银行业监督管理机构，同时通知基金托管人限期纠正。</w:t>
      </w:r>
    </w:p>
    <w:p w14:paraId="64F6C185">
      <w:pPr>
        <w:spacing w:line="360" w:lineRule="auto"/>
        <w:ind w:firstLine="420" w:firstLineChars="200"/>
        <w:rPr>
          <w:rFonts w:ascii="宋体" w:hAnsi="宋体"/>
          <w:szCs w:val="21"/>
        </w:rPr>
      </w:pPr>
      <w:r>
        <w:rPr>
          <w:rFonts w:hint="eastAsia" w:ascii="宋体" w:hAnsi="宋体"/>
          <w:szCs w:val="21"/>
        </w:rPr>
        <w:t>基金托管人应积极配合基金管理人的核查行为，包括但不限于：提交相关资料以供基金管理人核查托管财产的完整性和真实性，在规定时间内答复基金管理人并改正。</w:t>
      </w:r>
    </w:p>
    <w:p w14:paraId="738ED491">
      <w:pPr>
        <w:pStyle w:val="12"/>
        <w:rPr>
          <w:rFonts w:ascii="宋体" w:hAnsi="宋体" w:eastAsia="宋体"/>
          <w:sz w:val="21"/>
          <w:szCs w:val="21"/>
        </w:rPr>
      </w:pPr>
      <w:bookmarkStart w:id="17" w:name="_Toc382819077"/>
      <w:bookmarkStart w:id="18" w:name="_Toc382818598"/>
      <w:r>
        <w:rPr>
          <w:rFonts w:hint="eastAsia" w:ascii="宋体" w:hAnsi="宋体" w:eastAsia="宋体"/>
          <w:sz w:val="21"/>
          <w:szCs w:val="21"/>
        </w:rPr>
        <w:t>基金托管人无正当理由，拒绝、阻挠基金管理人根据本协议规定行使监督权，或采取拖延、欺诈等手段妨碍基金管理人进行有效监督，情节严重或经基金管理人提出警告仍不改正的，基金管理人应报告中国证监会。</w:t>
      </w:r>
      <w:bookmarkEnd w:id="17"/>
      <w:bookmarkEnd w:id="18"/>
    </w:p>
    <w:p w14:paraId="269B3D19">
      <w:pPr>
        <w:pStyle w:val="2"/>
        <w:keepNext w:val="0"/>
        <w:keepLines w:val="0"/>
        <w:numPr>
          <w:ilvl w:val="0"/>
          <w:numId w:val="2"/>
        </w:numPr>
        <w:tabs>
          <w:tab w:val="left" w:pos="420"/>
        </w:tabs>
        <w:autoSpaceDE w:val="0"/>
        <w:autoSpaceDN w:val="0"/>
        <w:adjustRightInd w:val="0"/>
        <w:spacing w:before="360" w:after="360"/>
        <w:textAlignment w:val="baseline"/>
        <w:rPr>
          <w:rFonts w:ascii="宋体" w:hAnsi="宋体" w:eastAsia="宋体" w:cs="Arial"/>
          <w:sz w:val="21"/>
          <w:szCs w:val="21"/>
        </w:rPr>
      </w:pPr>
      <w:bookmarkStart w:id="19" w:name="_Toc382819078"/>
      <w:r>
        <w:rPr>
          <w:rFonts w:hint="eastAsia" w:ascii="宋体" w:hAnsi="宋体" w:eastAsia="宋体" w:cs="Arial"/>
          <w:sz w:val="21"/>
          <w:szCs w:val="21"/>
        </w:rPr>
        <w:t>基金财产保管</w:t>
      </w:r>
      <w:bookmarkEnd w:id="19"/>
    </w:p>
    <w:p w14:paraId="5536F906">
      <w:pPr>
        <w:pStyle w:val="3"/>
        <w:keepNext w:val="0"/>
        <w:keepLines w:val="0"/>
        <w:autoSpaceDE w:val="0"/>
        <w:autoSpaceDN w:val="0"/>
        <w:adjustRightInd w:val="0"/>
        <w:spacing w:before="0" w:after="0" w:line="360" w:lineRule="auto"/>
        <w:ind w:firstLine="315" w:firstLineChars="150"/>
        <w:textAlignment w:val="baseline"/>
        <w:rPr>
          <w:rFonts w:ascii="宋体" w:hAnsi="宋体" w:eastAsia="宋体"/>
          <w:b w:val="0"/>
          <w:bCs w:val="0"/>
          <w:sz w:val="21"/>
          <w:szCs w:val="21"/>
        </w:rPr>
      </w:pPr>
      <w:bookmarkStart w:id="20" w:name="_Toc382819079"/>
      <w:r>
        <w:rPr>
          <w:rFonts w:hint="eastAsia" w:ascii="宋体" w:hAnsi="宋体" w:eastAsia="宋体"/>
          <w:b w:val="0"/>
          <w:bCs w:val="0"/>
          <w:sz w:val="21"/>
          <w:szCs w:val="21"/>
        </w:rPr>
        <w:t>（一）基金财产保管的原则</w:t>
      </w:r>
      <w:bookmarkEnd w:id="20"/>
    </w:p>
    <w:p w14:paraId="15D13E6A">
      <w:pPr>
        <w:spacing w:line="360" w:lineRule="auto"/>
        <w:ind w:firstLine="420" w:firstLineChars="200"/>
        <w:rPr>
          <w:rFonts w:ascii="宋体" w:hAnsi="宋体"/>
          <w:szCs w:val="21"/>
        </w:rPr>
      </w:pPr>
      <w:r>
        <w:rPr>
          <w:rFonts w:hint="eastAsia" w:ascii="宋体" w:hAnsi="宋体"/>
          <w:szCs w:val="21"/>
        </w:rPr>
        <w:t>1.基金财产应独立于基金管理人、基金托管人的固有财产。</w:t>
      </w:r>
    </w:p>
    <w:p w14:paraId="7EBB0C2B">
      <w:pPr>
        <w:spacing w:line="360" w:lineRule="auto"/>
        <w:ind w:firstLine="420" w:firstLineChars="200"/>
        <w:rPr>
          <w:rFonts w:ascii="宋体" w:hAnsi="宋体"/>
          <w:szCs w:val="21"/>
        </w:rPr>
      </w:pPr>
      <w:r>
        <w:rPr>
          <w:rFonts w:hint="eastAsia" w:ascii="宋体" w:hAnsi="宋体"/>
          <w:szCs w:val="21"/>
        </w:rPr>
        <w:t>2.基金托管人应按本协议规定安全保管托管财产。未经基金管理人的指令，不得自行运用、处分、分配基金的任何财产（基金托管人主动扣收的汇划费除外）。基金托管人不对处于自身实际控制之外的账户及财产承担责任。</w:t>
      </w:r>
    </w:p>
    <w:p w14:paraId="13882DF7">
      <w:pPr>
        <w:spacing w:line="360" w:lineRule="auto"/>
        <w:ind w:firstLine="420" w:firstLineChars="200"/>
        <w:rPr>
          <w:rFonts w:ascii="宋体" w:hAnsi="宋体"/>
          <w:szCs w:val="21"/>
        </w:rPr>
      </w:pPr>
      <w:r>
        <w:rPr>
          <w:rFonts w:hint="eastAsia" w:ascii="宋体" w:hAnsi="宋体"/>
          <w:szCs w:val="21"/>
        </w:rPr>
        <w:t>3.基金托管人按照规定为托管的基金财产开设资金账户、证券账户、期货结算账户及投资所需其他账户。</w:t>
      </w:r>
    </w:p>
    <w:p w14:paraId="29333A43">
      <w:pPr>
        <w:spacing w:line="360" w:lineRule="auto"/>
        <w:ind w:firstLine="420" w:firstLineChars="200"/>
        <w:rPr>
          <w:rFonts w:ascii="宋体" w:hAnsi="宋体"/>
          <w:szCs w:val="21"/>
        </w:rPr>
      </w:pPr>
      <w:r>
        <w:rPr>
          <w:rFonts w:hint="eastAsia" w:ascii="宋体" w:hAnsi="宋体"/>
          <w:szCs w:val="21"/>
        </w:rPr>
        <w:t>4.基金托管人对所托管的不同基金财产分别设置账户，与基金托管人的其他业务和其他基金的托管业务实行严格的分账管理，独立核算，确保基金财产的完整与独立。</w:t>
      </w:r>
    </w:p>
    <w:p w14:paraId="25F50385">
      <w:pPr>
        <w:spacing w:line="360" w:lineRule="auto"/>
        <w:ind w:firstLine="420" w:firstLineChars="200"/>
        <w:rPr>
          <w:rFonts w:ascii="宋体" w:hAnsi="宋体"/>
          <w:szCs w:val="21"/>
        </w:rPr>
      </w:pPr>
      <w:r>
        <w:rPr>
          <w:rFonts w:hint="eastAsia" w:ascii="宋体" w:hAnsi="宋体"/>
          <w:szCs w:val="21"/>
        </w:rPr>
        <w:t>5.对于因基金认（申）购、基金投资过程中产生的应收财产，应由基金管理人负责与有关当事人确定到账日期并通知基金托管人，到账日基金财产没有到达基金托管人处的，基金托管人应及时通知基金管理人采取措施进行催收。由此给基金造成损失的，基金管理人应负责向有关当事人追偿基金的损失，基金托管人对基金管理人的追偿行为应予以必要的协助与配合，但对基金财产的损失不承担责任。</w:t>
      </w:r>
    </w:p>
    <w:p w14:paraId="0BD96CDA">
      <w:pPr>
        <w:spacing w:line="360" w:lineRule="auto"/>
        <w:ind w:firstLine="420" w:firstLineChars="200"/>
        <w:rPr>
          <w:rFonts w:ascii="宋体" w:hAnsi="宋体"/>
          <w:szCs w:val="21"/>
        </w:rPr>
      </w:pPr>
      <w:r>
        <w:rPr>
          <w:rFonts w:hint="eastAsia" w:ascii="宋体" w:hAnsi="宋体"/>
          <w:szCs w:val="21"/>
        </w:rPr>
        <w:t>6</w:t>
      </w:r>
      <w:r>
        <w:rPr>
          <w:rFonts w:ascii="宋体" w:hAnsi="宋体"/>
          <w:szCs w:val="21"/>
        </w:rPr>
        <w:t>.</w:t>
      </w:r>
      <w:r>
        <w:rPr>
          <w:rFonts w:hint="eastAsia" w:ascii="宋体" w:hAnsi="宋体"/>
          <w:szCs w:val="21"/>
        </w:rPr>
        <w:t xml:space="preserve"> 除依据法律法规和基金合同的规定外，基金托管人不得委托第三人托管基金财产。</w:t>
      </w:r>
    </w:p>
    <w:p w14:paraId="06948BEF">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21" w:name="_Toc382819080"/>
      <w:r>
        <w:rPr>
          <w:rFonts w:hint="eastAsia" w:ascii="宋体" w:hAnsi="宋体" w:eastAsia="宋体"/>
          <w:b w:val="0"/>
          <w:bCs w:val="0"/>
          <w:sz w:val="21"/>
          <w:szCs w:val="21"/>
        </w:rPr>
        <w:t>（二）募集资金的验证</w:t>
      </w:r>
      <w:bookmarkEnd w:id="21"/>
    </w:p>
    <w:p w14:paraId="25AADC13">
      <w:pPr>
        <w:spacing w:line="360" w:lineRule="auto"/>
        <w:ind w:firstLine="420" w:firstLineChars="200"/>
        <w:rPr>
          <w:rFonts w:ascii="宋体" w:hAnsi="宋体"/>
          <w:szCs w:val="21"/>
        </w:rPr>
      </w:pPr>
      <w:r>
        <w:rPr>
          <w:rFonts w:hint="eastAsia" w:ascii="宋体" w:hAnsi="宋体"/>
          <w:szCs w:val="21"/>
        </w:rPr>
        <w:t>募集期内销售机构按销售服务协议的约定，将认购资金划入基金管理人在具有托管资格的商业银行开设的“交银施罗德基金管理有限公司基金认购专户”。该账户由基金管理人开立并管理。基金募集期满或基金管理人宣布停止募集时，募集的基金份额总额、基金募集金额、基金份额持有人人数符合《基金法》、《运作办法》等有关规定后，由基金管理人聘请符合《中华人民共和国证券法》规定的会计师事务所进行验资，出具验资报告，出具的验资报告应由参加验资的2名以上（含2名）中国注册会计师签字方为有效。验资完成，基金管理人应将募集的属于本基金财产的全部资金划入基金托管人为基金开立的资产托管专户中，并确保划入的资金与验资金额相一致。基金托管人收到有效认购资金当日以书面形式确认资金到账情况，并及时将资金到账凭证传真给基金管理人，双方进行账务处理。</w:t>
      </w:r>
    </w:p>
    <w:p w14:paraId="1EB946F3">
      <w:pPr>
        <w:spacing w:line="360" w:lineRule="auto"/>
        <w:ind w:firstLine="420" w:firstLineChars="200"/>
        <w:rPr>
          <w:rFonts w:ascii="宋体" w:hAnsi="宋体" w:cs="Arial"/>
          <w:szCs w:val="21"/>
        </w:rPr>
      </w:pPr>
      <w:r>
        <w:rPr>
          <w:rFonts w:hint="eastAsia" w:ascii="宋体" w:hAnsi="宋体" w:cs="Arial"/>
          <w:szCs w:val="21"/>
        </w:rPr>
        <w:t>若基金募集期限届满，未能达到《基金合同》生效的条件，由基金管理人按规定办理退款事宜，</w:t>
      </w:r>
      <w:r>
        <w:rPr>
          <w:rFonts w:ascii="宋体" w:hAnsi="宋体" w:cs="Arial"/>
          <w:szCs w:val="21"/>
        </w:rPr>
        <w:t>基金托管人应提供充分协助</w:t>
      </w:r>
      <w:r>
        <w:rPr>
          <w:rFonts w:hint="eastAsia" w:ascii="宋体" w:hAnsi="宋体" w:cs="Arial"/>
          <w:szCs w:val="21"/>
        </w:rPr>
        <w:t>。</w:t>
      </w:r>
    </w:p>
    <w:p w14:paraId="7F43702B">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22" w:name="_Toc382819081"/>
      <w:r>
        <w:rPr>
          <w:rFonts w:hint="eastAsia" w:ascii="宋体" w:hAnsi="宋体" w:eastAsia="宋体"/>
          <w:b w:val="0"/>
          <w:bCs w:val="0"/>
          <w:sz w:val="21"/>
          <w:szCs w:val="21"/>
        </w:rPr>
        <w:t>（三）基金资产托管专户的开立和管理</w:t>
      </w:r>
      <w:bookmarkEnd w:id="22"/>
    </w:p>
    <w:p w14:paraId="156E1BA4">
      <w:pPr>
        <w:spacing w:line="360" w:lineRule="auto"/>
        <w:ind w:firstLine="420" w:firstLineChars="200"/>
        <w:rPr>
          <w:rFonts w:ascii="宋体" w:hAnsi="宋体"/>
          <w:szCs w:val="21"/>
        </w:rPr>
      </w:pPr>
      <w:r>
        <w:rPr>
          <w:rFonts w:hint="eastAsia" w:ascii="宋体" w:hAnsi="宋体"/>
          <w:szCs w:val="21"/>
        </w:rPr>
        <w:t>基金托管人以基金的名义在其营业机构开设资产托管专户（亦称托管账户），并根据基金管理人合法合规的有效指令办理资金收付。基金管理人应根据法律法规及基金托管人的相关要求，提供开户所需的资料并提供其他必要协助。本基金的资产托管专户的预留印鉴的印章由基金托管人刻制、保管和使用。</w:t>
      </w:r>
    </w:p>
    <w:p w14:paraId="503F1A0E">
      <w:pPr>
        <w:spacing w:line="360" w:lineRule="auto"/>
        <w:ind w:firstLine="420" w:firstLineChars="200"/>
        <w:rPr>
          <w:rFonts w:ascii="宋体" w:hAnsi="宋体"/>
          <w:szCs w:val="21"/>
        </w:rPr>
      </w:pPr>
      <w:r>
        <w:rPr>
          <w:rFonts w:hint="eastAsia" w:ascii="宋体" w:hAnsi="宋体"/>
          <w:szCs w:val="21"/>
        </w:rPr>
        <w:t>本基金的一切货币收支活动，均需通过基金的资产托管专户进行。基金的资产托管专户的开立和使用，限于满足开展本基金业务的需要。除因本基金业务需要，基金托管人和基金管理人不得假借本基金的名义开立其他任何银行账户；亦不得使用以基金名义开立的银行账户进行本基金业务以外的活动。</w:t>
      </w:r>
    </w:p>
    <w:p w14:paraId="22248659">
      <w:pPr>
        <w:spacing w:line="360" w:lineRule="auto"/>
        <w:ind w:firstLine="420" w:firstLineChars="200"/>
        <w:rPr>
          <w:rFonts w:ascii="宋体" w:hAnsi="宋体"/>
          <w:szCs w:val="21"/>
        </w:rPr>
      </w:pPr>
      <w:r>
        <w:rPr>
          <w:rFonts w:hint="eastAsia" w:ascii="宋体" w:hAnsi="宋体"/>
          <w:szCs w:val="21"/>
        </w:rPr>
        <w:t>资产托管专户的管理应符合《人民币银行结算账户管理办法》、《人民币利率管理规定》、《支付结算办法》以及银行业监督管理机构的其他有关规定。</w:t>
      </w:r>
    </w:p>
    <w:p w14:paraId="3B42EDE2">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23" w:name="_Toc382819082"/>
      <w:r>
        <w:rPr>
          <w:rFonts w:hint="eastAsia" w:ascii="宋体" w:hAnsi="宋体" w:eastAsia="宋体"/>
          <w:b w:val="0"/>
          <w:bCs w:val="0"/>
          <w:sz w:val="21"/>
          <w:szCs w:val="21"/>
        </w:rPr>
        <w:t>（四）基金证券账户与结算备付金账户的开设和管理</w:t>
      </w:r>
      <w:bookmarkEnd w:id="23"/>
    </w:p>
    <w:p w14:paraId="3DB08B0A">
      <w:pPr>
        <w:tabs>
          <w:tab w:val="left" w:pos="4680"/>
        </w:tabs>
        <w:spacing w:line="360" w:lineRule="auto"/>
        <w:ind w:firstLine="420" w:firstLineChars="200"/>
        <w:rPr>
          <w:rFonts w:ascii="宋体" w:hAnsi="宋体"/>
          <w:szCs w:val="21"/>
        </w:rPr>
      </w:pPr>
      <w:r>
        <w:rPr>
          <w:rFonts w:hint="eastAsia" w:ascii="宋体" w:hAnsi="宋体"/>
          <w:szCs w:val="21"/>
        </w:rPr>
        <w:t>基金托管人以基金托管人和本基金联名的方式在中国证券登记结算有限责任公司开立专门的证券账户。</w:t>
      </w:r>
    </w:p>
    <w:p w14:paraId="0772DD21">
      <w:pPr>
        <w:spacing w:line="360" w:lineRule="auto"/>
        <w:ind w:firstLine="420" w:firstLineChars="200"/>
        <w:rPr>
          <w:rFonts w:ascii="宋体" w:hAnsi="宋体"/>
          <w:szCs w:val="21"/>
        </w:rPr>
      </w:pPr>
      <w:r>
        <w:rPr>
          <w:rFonts w:hint="eastAsia" w:ascii="宋体" w:hAnsi="宋体"/>
          <w:szCs w:val="21"/>
        </w:rPr>
        <w:t>基金证券账户的开立和使用，限于满足开展本基金业务的需要。基金托管人和基金管理人不得出借和未经对方同意擅自转让本基金的任何证券账户；亦不得使用本基金的任何证券账户进行本基金业务以外的活动。</w:t>
      </w:r>
    </w:p>
    <w:p w14:paraId="1317343F">
      <w:pPr>
        <w:spacing w:line="360" w:lineRule="auto"/>
        <w:ind w:firstLine="420" w:firstLineChars="200"/>
        <w:rPr>
          <w:rFonts w:ascii="宋体" w:hAnsi="宋体"/>
          <w:szCs w:val="21"/>
        </w:rPr>
      </w:pPr>
      <w:r>
        <w:rPr>
          <w:rFonts w:hint="eastAsia" w:ascii="宋体" w:hAnsi="宋体"/>
          <w:szCs w:val="21"/>
        </w:rPr>
        <w:t>基金证券账户的开立和原始开户材料的保管由基金托管人负责，账户资产的管理和运用由基金管理人负责。</w:t>
      </w:r>
    </w:p>
    <w:p w14:paraId="2A305F1A">
      <w:pPr>
        <w:spacing w:line="360" w:lineRule="auto"/>
        <w:ind w:firstLine="420" w:firstLineChars="200"/>
        <w:rPr>
          <w:rFonts w:ascii="宋体" w:hAnsi="宋体"/>
          <w:szCs w:val="21"/>
        </w:rPr>
      </w:pPr>
      <w:r>
        <w:rPr>
          <w:rFonts w:hint="eastAsia" w:ascii="宋体" w:hAnsi="宋体"/>
          <w:szCs w:val="21"/>
        </w:rPr>
        <w:t>基金托管人以基金托管人的名义在中国证券登记结算有限责任公司开立结算备付金账户，基金托管人代表所托管的基金完成与中国证券登记结算有限责任公司的一级法人清算工作，基金管理人应予以积极协助。结算备付金、证券结算保证金等的收取按照中国证券登记结算有限责任公司的规定和基金托管人为履行结算参与人的义务所制定的业务规则执行。</w:t>
      </w:r>
    </w:p>
    <w:p w14:paraId="3D84AB9C">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24" w:name="_Toc382819083"/>
      <w:r>
        <w:rPr>
          <w:rFonts w:hint="eastAsia" w:ascii="宋体" w:hAnsi="宋体" w:eastAsia="宋体"/>
          <w:b w:val="0"/>
          <w:bCs w:val="0"/>
          <w:sz w:val="21"/>
          <w:szCs w:val="21"/>
        </w:rPr>
        <w:t>（五）银行间市场债券托管和资金结算专户的开立和管理及市场准入备案</w:t>
      </w:r>
      <w:bookmarkEnd w:id="24"/>
    </w:p>
    <w:p w14:paraId="72051946">
      <w:pPr>
        <w:spacing w:line="360" w:lineRule="auto"/>
        <w:ind w:firstLine="420" w:firstLineChars="200"/>
        <w:rPr>
          <w:rFonts w:ascii="宋体" w:hAnsi="宋体"/>
          <w:szCs w:val="21"/>
        </w:rPr>
      </w:pPr>
      <w:bookmarkStart w:id="25" w:name="_Toc382819084"/>
      <w:r>
        <w:rPr>
          <w:rFonts w:hint="eastAsia" w:ascii="宋体" w:hAnsi="宋体"/>
          <w:szCs w:val="21"/>
        </w:rPr>
        <w:t>《基金合同》生效后，在符合监管机构要求的情况下，基金管理人负责以基金的名义申请并取得进入全国银行间同业拆借市场的交易资格，并代表基金进行交易；基金托管人根据中国人民银行、中央国债登记结算有限责任公司、银行间市场清算所股份有限公司的有关规定，以本基金的名义分别在中央国债登记结算有限责任公司、银行间市场清算所股份有限公司开立债券托管账户和资金结算账户，并代表基金进行银行间市场债券交易的结算。基金托管人协助基金管理人完成银行间债券市场准入备案。</w:t>
      </w:r>
      <w:bookmarkEnd w:id="25"/>
    </w:p>
    <w:p w14:paraId="3FCD71CB">
      <w:pPr>
        <w:spacing w:line="360" w:lineRule="auto"/>
        <w:ind w:firstLine="420" w:firstLineChars="200"/>
        <w:rPr>
          <w:rFonts w:ascii="宋体" w:hAnsi="宋体"/>
          <w:szCs w:val="21"/>
        </w:rPr>
      </w:pPr>
      <w:r>
        <w:rPr>
          <w:rFonts w:hint="eastAsia" w:ascii="宋体" w:hAnsi="宋体"/>
          <w:szCs w:val="21"/>
        </w:rPr>
        <w:t>（六）</w:t>
      </w:r>
      <w:r>
        <w:rPr>
          <w:rFonts w:ascii="宋体" w:hAnsi="宋体"/>
          <w:szCs w:val="21"/>
        </w:rPr>
        <w:t>期货结算账户的开立和管理</w:t>
      </w:r>
    </w:p>
    <w:p w14:paraId="27FDD519">
      <w:pPr>
        <w:spacing w:line="360" w:lineRule="auto"/>
        <w:ind w:firstLine="420" w:firstLineChars="200"/>
        <w:outlineLvl w:val="1"/>
        <w:rPr>
          <w:rFonts w:ascii="宋体" w:hAnsi="宋体"/>
          <w:szCs w:val="21"/>
        </w:rPr>
      </w:pPr>
      <w:r>
        <w:rPr>
          <w:rFonts w:ascii="宋体" w:hAnsi="宋体"/>
          <w:szCs w:val="21"/>
        </w:rPr>
        <w:t>基金托管人、基金管理人应当代表本基金，按照相关规定开立期货结算账户、期货资金账户，在中国金融期货交易所获取交易编码。期货结算账户名称、期货资金账户名称及交易编码对应名称应按照有关规定设立。</w:t>
      </w:r>
    </w:p>
    <w:p w14:paraId="76993D61">
      <w:pPr>
        <w:spacing w:line="360" w:lineRule="auto"/>
        <w:ind w:firstLine="420" w:firstLineChars="200"/>
        <w:outlineLvl w:val="1"/>
        <w:rPr>
          <w:rFonts w:ascii="宋体" w:hAnsi="宋体"/>
          <w:szCs w:val="21"/>
        </w:rPr>
      </w:pPr>
      <w:r>
        <w:rPr>
          <w:rFonts w:hint="eastAsia" w:ascii="宋体" w:hAnsi="宋体"/>
          <w:szCs w:val="21"/>
        </w:rPr>
        <w:t>（七）其他账户的开设和管理</w:t>
      </w:r>
    </w:p>
    <w:p w14:paraId="4E341B04">
      <w:pPr>
        <w:tabs>
          <w:tab w:val="left" w:pos="4680"/>
        </w:tabs>
        <w:spacing w:line="360" w:lineRule="auto"/>
        <w:ind w:firstLine="420" w:firstLineChars="200"/>
        <w:rPr>
          <w:rFonts w:ascii="宋体" w:hAnsi="宋体"/>
          <w:szCs w:val="21"/>
        </w:rPr>
      </w:pPr>
      <w:r>
        <w:rPr>
          <w:rFonts w:hint="eastAsia" w:ascii="宋体" w:hAnsi="宋体"/>
          <w:szCs w:val="21"/>
        </w:rPr>
        <w:t>1、因业务发展而需要开立的其它账户，可以根据《基金合同》或有关法律法规的规定，经基金管理人和基金托管人协商一致后，由基金托管人负责为基金开立。新账户按有关规则使用并管理。</w:t>
      </w:r>
    </w:p>
    <w:p w14:paraId="1A4B70F2">
      <w:pPr>
        <w:tabs>
          <w:tab w:val="left" w:pos="4680"/>
        </w:tabs>
        <w:spacing w:line="360" w:lineRule="auto"/>
        <w:ind w:firstLine="420" w:firstLineChars="200"/>
        <w:rPr>
          <w:rFonts w:ascii="宋体" w:hAnsi="宋体"/>
          <w:szCs w:val="21"/>
        </w:rPr>
      </w:pPr>
      <w:r>
        <w:rPr>
          <w:rFonts w:hint="eastAsia" w:ascii="宋体" w:hAnsi="宋体"/>
          <w:szCs w:val="21"/>
        </w:rPr>
        <w:t>2、法律、法规等有关规定对相关账户的开立和管理另有规定的，从其规定办理。</w:t>
      </w:r>
    </w:p>
    <w:p w14:paraId="6F448C5B">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26" w:name="_Toc382819085"/>
      <w:r>
        <w:rPr>
          <w:rFonts w:hint="eastAsia" w:ascii="宋体" w:hAnsi="宋体" w:eastAsia="宋体"/>
          <w:b w:val="0"/>
          <w:bCs w:val="0"/>
          <w:sz w:val="21"/>
          <w:szCs w:val="21"/>
        </w:rPr>
        <w:t>（八）基金投资银行存款账户的开立和管理</w:t>
      </w:r>
      <w:bookmarkEnd w:id="26"/>
    </w:p>
    <w:p w14:paraId="2264251B">
      <w:pPr>
        <w:tabs>
          <w:tab w:val="left" w:pos="4680"/>
        </w:tabs>
        <w:spacing w:line="360" w:lineRule="auto"/>
        <w:ind w:firstLine="420" w:firstLineChars="200"/>
        <w:rPr>
          <w:rFonts w:ascii="宋体" w:hAnsi="宋体"/>
          <w:szCs w:val="21"/>
        </w:rPr>
      </w:pPr>
      <w:r>
        <w:rPr>
          <w:rFonts w:hint="eastAsia" w:ascii="宋体" w:hAnsi="宋体"/>
          <w:szCs w:val="21"/>
        </w:rPr>
        <w:t>基金投资银行定期存款，基金管理人与基金托管人应比照相关规定，就本基金投资银行存款业务签订书面协议。</w:t>
      </w:r>
    </w:p>
    <w:p w14:paraId="41FB29B2">
      <w:pPr>
        <w:tabs>
          <w:tab w:val="left" w:pos="4680"/>
        </w:tabs>
        <w:spacing w:line="360" w:lineRule="auto"/>
        <w:ind w:firstLine="420" w:firstLineChars="200"/>
        <w:rPr>
          <w:rFonts w:ascii="宋体" w:hAnsi="宋体"/>
          <w:szCs w:val="21"/>
        </w:rPr>
      </w:pPr>
      <w:r>
        <w:rPr>
          <w:rFonts w:hint="eastAsia" w:ascii="宋体" w:hAnsi="宋体"/>
          <w:szCs w:val="21"/>
        </w:rPr>
        <w:t>存款账户必须以基金名义开立，账户名称为基金名称，存款账户开户文件上加盖预留印鉴及基金管理人公章。</w:t>
      </w:r>
    </w:p>
    <w:p w14:paraId="6A91F838">
      <w:pPr>
        <w:tabs>
          <w:tab w:val="left" w:pos="4680"/>
        </w:tabs>
        <w:spacing w:line="360" w:lineRule="auto"/>
        <w:ind w:firstLine="420" w:firstLineChars="200"/>
        <w:rPr>
          <w:rFonts w:ascii="宋体" w:hAnsi="宋体"/>
          <w:szCs w:val="21"/>
        </w:rPr>
      </w:pPr>
      <w:r>
        <w:rPr>
          <w:rFonts w:hint="eastAsia" w:ascii="宋体" w:hAnsi="宋体"/>
          <w:szCs w:val="21"/>
        </w:rPr>
        <w:t>本基金投资银行存款时，基金管理人应当与存款银行签订具体存款协议，明确存款的类型、期限、利率、金额、账号、对账方式、支取方式、账户管理等细则。</w:t>
      </w:r>
    </w:p>
    <w:p w14:paraId="202B56D9">
      <w:pPr>
        <w:tabs>
          <w:tab w:val="left" w:pos="4680"/>
        </w:tabs>
        <w:spacing w:line="360" w:lineRule="auto"/>
        <w:ind w:firstLine="420" w:firstLineChars="200"/>
        <w:rPr>
          <w:rFonts w:ascii="宋体" w:hAnsi="宋体"/>
          <w:szCs w:val="21"/>
        </w:rPr>
      </w:pPr>
      <w:r>
        <w:rPr>
          <w:rFonts w:hint="eastAsia" w:ascii="宋体" w:hAnsi="宋体"/>
          <w:szCs w:val="21"/>
        </w:rPr>
        <w:t>为防范特殊情况下的流动性风险，定期存款协议中应当约定提前支取条款。</w:t>
      </w:r>
    </w:p>
    <w:p w14:paraId="76BB24D2">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27" w:name="_Toc382819086"/>
      <w:r>
        <w:rPr>
          <w:rFonts w:hint="eastAsia" w:ascii="宋体" w:hAnsi="宋体" w:eastAsia="宋体"/>
          <w:b w:val="0"/>
          <w:bCs w:val="0"/>
          <w:sz w:val="21"/>
          <w:szCs w:val="21"/>
        </w:rPr>
        <w:t>基金所投资定期存款存续期间，基金管理人、基金托管人应当与存款银行建立定期对账机制，确保基金银行存款业务账目及核对的真实、准确。</w:t>
      </w:r>
      <w:bookmarkEnd w:id="27"/>
    </w:p>
    <w:p w14:paraId="1E2FE69E">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28" w:name="_Toc382819087"/>
      <w:r>
        <w:rPr>
          <w:rFonts w:hint="eastAsia" w:ascii="宋体" w:hAnsi="宋体" w:eastAsia="宋体"/>
          <w:b w:val="0"/>
          <w:bCs w:val="0"/>
          <w:sz w:val="21"/>
          <w:szCs w:val="21"/>
        </w:rPr>
        <w:t>（九）基金财产投资的有关实物证券、银行定期存款存单等有价凭证的保管</w:t>
      </w:r>
      <w:bookmarkEnd w:id="28"/>
    </w:p>
    <w:p w14:paraId="7DE5903E">
      <w:pPr>
        <w:spacing w:line="360" w:lineRule="auto"/>
        <w:ind w:firstLine="420" w:firstLineChars="200"/>
        <w:rPr>
          <w:rFonts w:ascii="宋体" w:hAnsi="宋体"/>
          <w:szCs w:val="21"/>
        </w:rPr>
      </w:pPr>
      <w:r>
        <w:rPr>
          <w:rFonts w:hint="eastAsia" w:ascii="宋体" w:hAnsi="宋体"/>
          <w:szCs w:val="21"/>
        </w:rPr>
        <w:t>基金财产投资的有关实物证券由基金托管人存放于基金托管人的保管库；其中实物证券也可存入中央国债登记结算有限责任公司、中国证券登记结算有限责任公司、银行间市场清算所股份有限公司或票据营业中心的代保管库。实物证券的购买和转让，由基金托管人根据基金管理人的指令办理。属于基金托管人实际有效控制下的实物证券等有价凭证在基金托管人保管期间的损坏、灭失，由此产生的责任应由基金托管人承担。基金托管人对基金托管人以外机构实际有效控制或保管的实物证券、银行定期存款存单对应的财产不承担保管责任。</w:t>
      </w:r>
    </w:p>
    <w:p w14:paraId="3638A80F">
      <w:pPr>
        <w:pStyle w:val="3"/>
        <w:keepNext w:val="0"/>
        <w:keepLines w:val="0"/>
        <w:autoSpaceDE w:val="0"/>
        <w:autoSpaceDN w:val="0"/>
        <w:adjustRightInd w:val="0"/>
        <w:spacing w:before="0" w:after="0" w:line="360" w:lineRule="auto"/>
        <w:ind w:firstLine="420" w:firstLineChars="200"/>
        <w:textAlignment w:val="baseline"/>
        <w:rPr>
          <w:rFonts w:ascii="宋体" w:hAnsi="宋体"/>
          <w:b w:val="0"/>
          <w:bCs w:val="0"/>
          <w:szCs w:val="21"/>
        </w:rPr>
      </w:pPr>
      <w:r>
        <w:rPr>
          <w:rFonts w:hint="eastAsia" w:ascii="宋体" w:hAnsi="宋体" w:eastAsia="宋体"/>
          <w:b w:val="0"/>
          <w:bCs w:val="0"/>
          <w:sz w:val="21"/>
          <w:szCs w:val="21"/>
        </w:rPr>
        <w:t>（十）与基金财产有关的重大合同的保管</w:t>
      </w:r>
    </w:p>
    <w:p w14:paraId="6EE44DCD">
      <w:pPr>
        <w:spacing w:line="360" w:lineRule="auto"/>
        <w:ind w:firstLine="420" w:firstLineChars="200"/>
        <w:rPr>
          <w:rFonts w:ascii="宋体" w:hAnsi="宋体"/>
          <w:szCs w:val="21"/>
        </w:rPr>
      </w:pPr>
      <w:r>
        <w:rPr>
          <w:rFonts w:hint="eastAsia" w:ascii="宋体" w:hAnsi="宋体"/>
          <w:szCs w:val="21"/>
        </w:rPr>
        <w:t>由基金管理人代表基金签署的与基金有关的重大合同的原件分别应由基金托管人、基金管理人保管。除本协议另有规定外，基金管理人在代表基金签署与基金有关的重大合同时应保证基金一方持有两份以上的正本，以便基金管理人和基金托管人至少各持有一份正本的原件。基金管理人在合同签署后</w:t>
      </w:r>
      <w:r>
        <w:rPr>
          <w:rFonts w:ascii="宋体" w:hAnsi="宋体"/>
          <w:szCs w:val="21"/>
        </w:rPr>
        <w:t>30</w:t>
      </w:r>
      <w:r>
        <w:rPr>
          <w:rFonts w:hint="eastAsia" w:ascii="宋体" w:hAnsi="宋体"/>
          <w:szCs w:val="21"/>
        </w:rPr>
        <w:t>个工作日内通过专人送达、挂号邮寄等安全方式将合同原件送达基金托管人处。合同原件应存放于基金管理人和基金托管人各自文件保管部门，保管期限</w:t>
      </w:r>
      <w:r>
        <w:rPr>
          <w:rFonts w:hint="eastAsia" w:ascii="宋体" w:hAnsi="宋体"/>
          <w:bCs/>
          <w:szCs w:val="21"/>
        </w:rPr>
        <w:t>不低于法律法规规定的最低期限</w:t>
      </w:r>
      <w:r>
        <w:rPr>
          <w:rFonts w:hint="eastAsia" w:ascii="宋体" w:hAnsi="宋体"/>
          <w:szCs w:val="21"/>
        </w:rPr>
        <w:t>。</w:t>
      </w:r>
    </w:p>
    <w:p w14:paraId="70F60C90">
      <w:pPr>
        <w:spacing w:line="360" w:lineRule="auto"/>
        <w:ind w:firstLine="420" w:firstLineChars="200"/>
        <w:rPr>
          <w:rFonts w:ascii="宋体" w:hAnsi="宋体"/>
          <w:szCs w:val="21"/>
        </w:rPr>
      </w:pPr>
      <w:r>
        <w:rPr>
          <w:rFonts w:hint="eastAsia" w:ascii="宋体" w:hAnsi="宋体"/>
          <w:szCs w:val="21"/>
        </w:rPr>
        <w:t>对于无法取得二份以上的正本的，基金管理人应向基金托管人提供与合同原件核对一致的并加盖基金管理人公章的合同传真件或复印件，未经双方协商一致，合同原件不得转移。</w:t>
      </w:r>
    </w:p>
    <w:p w14:paraId="1001BB0F">
      <w:pPr>
        <w:pStyle w:val="2"/>
        <w:keepNext w:val="0"/>
        <w:keepLines w:val="0"/>
        <w:numPr>
          <w:ilvl w:val="0"/>
          <w:numId w:val="2"/>
        </w:numPr>
        <w:tabs>
          <w:tab w:val="left" w:pos="420"/>
        </w:tabs>
        <w:autoSpaceDE w:val="0"/>
        <w:autoSpaceDN w:val="0"/>
        <w:adjustRightInd w:val="0"/>
        <w:spacing w:before="360" w:after="360"/>
        <w:textAlignment w:val="baseline"/>
        <w:rPr>
          <w:rFonts w:ascii="宋体" w:hAnsi="宋体" w:eastAsia="宋体" w:cs="Arial"/>
          <w:sz w:val="21"/>
          <w:szCs w:val="21"/>
        </w:rPr>
      </w:pPr>
      <w:bookmarkStart w:id="29" w:name="_Toc382819088"/>
      <w:r>
        <w:rPr>
          <w:rFonts w:hint="eastAsia" w:ascii="宋体" w:hAnsi="宋体" w:eastAsia="宋体" w:cs="Arial"/>
          <w:sz w:val="21"/>
          <w:szCs w:val="21"/>
        </w:rPr>
        <w:t>指令的发送、确认和执行</w:t>
      </w:r>
      <w:bookmarkEnd w:id="29"/>
    </w:p>
    <w:p w14:paraId="722D6D19">
      <w:pPr>
        <w:spacing w:line="360" w:lineRule="auto"/>
        <w:ind w:firstLine="420" w:firstLineChars="200"/>
        <w:rPr>
          <w:rFonts w:ascii="宋体" w:hAnsi="宋体"/>
          <w:szCs w:val="21"/>
        </w:rPr>
      </w:pPr>
      <w:bookmarkStart w:id="30" w:name="_Toc382819089"/>
      <w:r>
        <w:rPr>
          <w:rFonts w:hint="eastAsia" w:ascii="宋体" w:hAnsi="宋体"/>
          <w:szCs w:val="21"/>
        </w:rPr>
        <w:t>基金管理人在运用基金财产时向基金托管人发送资金划拨及其他款项付款指令，基金托管人执行基金管理人合法合规且符合本协议相关约定的指令、办理基金名下的资金往来等有关事项。</w:t>
      </w:r>
    </w:p>
    <w:p w14:paraId="4D54C466">
      <w:pPr>
        <w:spacing w:line="360" w:lineRule="auto"/>
        <w:ind w:firstLine="420" w:firstLineChars="200"/>
        <w:rPr>
          <w:rFonts w:ascii="宋体" w:hAnsi="宋体"/>
          <w:szCs w:val="21"/>
        </w:rPr>
      </w:pPr>
      <w:r>
        <w:rPr>
          <w:rFonts w:hint="eastAsia" w:ascii="宋体" w:hAnsi="宋体"/>
          <w:szCs w:val="21"/>
        </w:rPr>
        <w:t>基金管理人发送的指令包括电子指令和纸质指令。</w:t>
      </w:r>
    </w:p>
    <w:p w14:paraId="783FAF6F">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r>
        <w:rPr>
          <w:rFonts w:hint="eastAsia" w:ascii="宋体" w:hAnsi="宋体" w:eastAsia="宋体"/>
          <w:b w:val="0"/>
          <w:bCs w:val="0"/>
          <w:sz w:val="21"/>
          <w:szCs w:val="21"/>
        </w:rPr>
        <w:t>基金管理人在启用电子指令前，应与基金托管人另行签署托管电子指令直连协议或网上托管服务协议。基金管理人在发送纸质指令前，应根据双方约定的方式提供传真号、发送指令附件的邮箱地址以及指令确认人员及其联系方式。</w:t>
      </w:r>
      <w:bookmarkEnd w:id="30"/>
      <w:bookmarkStart w:id="31" w:name="_Toc382819090"/>
    </w:p>
    <w:p w14:paraId="1FA4F169">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r>
        <w:rPr>
          <w:rFonts w:hint="eastAsia" w:ascii="宋体" w:hAnsi="宋体" w:eastAsia="宋体"/>
          <w:b w:val="0"/>
          <w:bCs w:val="0"/>
          <w:sz w:val="21"/>
          <w:szCs w:val="21"/>
        </w:rPr>
        <w:t>（一）基金管理人对发送指令人员的书面授权</w:t>
      </w:r>
      <w:bookmarkEnd w:id="31"/>
    </w:p>
    <w:p w14:paraId="58B35678">
      <w:pPr>
        <w:pStyle w:val="12"/>
        <w:rPr>
          <w:rFonts w:ascii="宋体" w:hAnsi="宋体" w:eastAsia="宋体"/>
          <w:sz w:val="21"/>
          <w:szCs w:val="21"/>
        </w:rPr>
      </w:pPr>
      <w:bookmarkStart w:id="32" w:name="_Toc382819091"/>
      <w:bookmarkStart w:id="33" w:name="_Toc382818601"/>
      <w:r>
        <w:rPr>
          <w:rFonts w:hint="eastAsia" w:ascii="宋体" w:hAnsi="宋体" w:eastAsia="宋体"/>
          <w:sz w:val="21"/>
          <w:szCs w:val="21"/>
        </w:rPr>
        <w:t>基金管理人应于基金合同生效前向基金托管人提供预留印鉴和被授权人签字样本，事先书面通知（以下简称“授权通知”）基金托管人有权发送指令的人员名单，注明相应的交易权限，并规定基金管理人向基金托管人发送指令时基金托管人确认有权发送人员身份的方法。基金管理人的划款指令授权通知书由基金管理人的法定代表人或其授权代理人签署并加盖公章，若由授权代理人签署的，还应附上法定代表人的授权书。基金托管人在收到授权通知当日回函或回电向基金管理人确认。划款指令授权书无论</w:t>
      </w:r>
      <w:r>
        <w:rPr>
          <w:rFonts w:hint="eastAsia" w:ascii="宋体" w:hAnsi="宋体" w:eastAsia="宋体"/>
          <w:sz w:val="21"/>
          <w:szCs w:val="21"/>
          <w:lang w:eastAsia="zh-Hans"/>
        </w:rPr>
        <w:t>基金</w:t>
      </w:r>
      <w:r>
        <w:rPr>
          <w:rFonts w:hint="eastAsia" w:ascii="宋体" w:hAnsi="宋体" w:eastAsia="宋体"/>
          <w:sz w:val="21"/>
          <w:szCs w:val="21"/>
        </w:rPr>
        <w:t>成立时或后续更新，必须提前至少一个交易日，发送扫描件或其他基金托管人和基金管理人书面确认的方式向基金托管人发出加盖基金管理人公章的被授权人变更通知，同时电话通知基金托管人。变更通知应载明生效时间，并提供新的被授权人的签字样本，基金托管人收到变更通知当日通过电话向基金管理人确认。授权变更于变更通知载明的生效时间起生效。若变更通知载明的生效时间早于基金托管人收到变更通知时间，则授权变更于基金托管人收到变更通知时生效。基金管理人在此后三日内将划款指令授权书变更通知的正本送交基金托管人，划款指令授权书原件未按时送达基金托管人的，基金托管人有权拒绝执行该授权书对应的划款指令，基金托管人不承担由此造成的损失。基金管理人和基金托管人对授权文件负有保密义务，其内容不得向授权人及相关操作人员以外的任何人泄露</w:t>
      </w:r>
      <w:bookmarkEnd w:id="32"/>
      <w:bookmarkEnd w:id="33"/>
      <w:r>
        <w:rPr>
          <w:rFonts w:hint="eastAsia" w:ascii="宋体" w:hAnsi="宋体" w:eastAsia="宋体"/>
          <w:sz w:val="21"/>
          <w:szCs w:val="21"/>
        </w:rPr>
        <w:t>，但法律法规或有权机关另有要求的除外。</w:t>
      </w:r>
    </w:p>
    <w:p w14:paraId="7C65023B">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34" w:name="_Toc382819092"/>
      <w:r>
        <w:rPr>
          <w:rFonts w:hint="eastAsia" w:ascii="宋体" w:hAnsi="宋体" w:eastAsia="宋体"/>
          <w:b w:val="0"/>
          <w:bCs w:val="0"/>
          <w:sz w:val="21"/>
          <w:szCs w:val="21"/>
        </w:rPr>
        <w:t>（二）指令的内容</w:t>
      </w:r>
      <w:bookmarkEnd w:id="34"/>
    </w:p>
    <w:p w14:paraId="2D9F3FA3">
      <w:pPr>
        <w:tabs>
          <w:tab w:val="left" w:pos="4680"/>
        </w:tabs>
        <w:spacing w:line="360" w:lineRule="auto"/>
        <w:ind w:firstLine="420" w:firstLineChars="200"/>
        <w:rPr>
          <w:rFonts w:ascii="宋体" w:hAnsi="宋体"/>
          <w:szCs w:val="21"/>
        </w:rPr>
      </w:pPr>
      <w:r>
        <w:rPr>
          <w:rFonts w:hint="eastAsia" w:ascii="宋体" w:hAnsi="宋体"/>
          <w:szCs w:val="21"/>
        </w:rPr>
        <w:t>1、指令是指基金管理人在运用基金财产时向基金托管人发送的资金划拨（含赎回、分红付款、回购到期付款指令等）以及其它资金划拨的指令等，证券交易所证券投资的资金结算不需要基金管理人发送指令，基金托管人根据相关登记结算公司向基金托管人发送的结算数据进行资金结算。</w:t>
      </w:r>
    </w:p>
    <w:p w14:paraId="027B500E">
      <w:pPr>
        <w:tabs>
          <w:tab w:val="left" w:pos="4680"/>
        </w:tabs>
        <w:spacing w:line="360" w:lineRule="auto"/>
        <w:ind w:firstLine="420" w:firstLineChars="200"/>
        <w:rPr>
          <w:rFonts w:ascii="宋体" w:hAnsi="宋体"/>
          <w:szCs w:val="21"/>
        </w:rPr>
      </w:pPr>
      <w:r>
        <w:rPr>
          <w:rFonts w:hint="eastAsia" w:ascii="宋体" w:hAnsi="宋体"/>
          <w:szCs w:val="21"/>
        </w:rPr>
        <w:t>2、基金管理人发给基金托管人的指令应写明收付款账户信息、款项事由、时间、金额，非电子指令需包含“</w:t>
      </w:r>
      <w:r>
        <w:rPr>
          <w:spacing w:val="-2"/>
        </w:rPr>
        <w:t>授权书</w:t>
      </w:r>
      <w:r>
        <w:rPr>
          <w:rFonts w:hint="eastAsia" w:ascii="宋体" w:hAnsi="宋体"/>
          <w:szCs w:val="21"/>
        </w:rPr>
        <w:t>”</w:t>
      </w:r>
      <w:r>
        <w:rPr>
          <w:spacing w:val="-2"/>
        </w:rPr>
        <w:t>中指定的预留印鉴印章或签字样本。</w:t>
      </w:r>
    </w:p>
    <w:p w14:paraId="7A8EC8F9">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35" w:name="_Toc382819093"/>
      <w:r>
        <w:rPr>
          <w:rFonts w:hint="eastAsia" w:ascii="宋体" w:hAnsi="宋体" w:eastAsia="宋体"/>
          <w:b w:val="0"/>
          <w:bCs w:val="0"/>
          <w:sz w:val="21"/>
          <w:szCs w:val="21"/>
        </w:rPr>
        <w:t>（三）指令的发送、确认和执行的时间和程序</w:t>
      </w:r>
      <w:bookmarkEnd w:id="35"/>
    </w:p>
    <w:p w14:paraId="0069A360">
      <w:pPr>
        <w:spacing w:after="120" w:line="360" w:lineRule="auto"/>
        <w:ind w:firstLine="420" w:firstLineChars="200"/>
        <w:rPr>
          <w:rFonts w:ascii="宋体" w:hAnsi="宋体"/>
          <w:szCs w:val="21"/>
        </w:rPr>
      </w:pPr>
      <w:r>
        <w:rPr>
          <w:rFonts w:hint="eastAsia" w:ascii="宋体" w:hAnsi="宋体"/>
          <w:szCs w:val="21"/>
        </w:rPr>
        <w:t>指令由“授权通知”确定的有权发送人（下称“被授权人”）代表基金管理人用传真的方式或其他基金托管人和基金管理人书面确认过的方式向基金托管人发送。基金管理人有义务在发送指令后及时与基金托管人进行确认，因基金管理人未能及时与基金托管人进行指令确认,致使资金未能及时到账所造成的损失，基金托管人不承担</w:t>
      </w:r>
      <w:r>
        <w:rPr>
          <w:rFonts w:hint="eastAsia" w:ascii="宋体" w:hAnsi="宋体"/>
          <w:szCs w:val="21"/>
          <w:lang w:eastAsia="zh-Hans"/>
        </w:rPr>
        <w:t>相应</w:t>
      </w:r>
      <w:r>
        <w:rPr>
          <w:rFonts w:hint="eastAsia" w:ascii="宋体" w:hAnsi="宋体"/>
          <w:szCs w:val="21"/>
        </w:rPr>
        <w:t>责任。基金托管人依照“授权通知”规定的方法确认指令有效后，方可执行指令。对于被授权人在授权范围内发出的指令，基金管理人不得否认其效力。基金管理人应按照《基金法》、有关法律法规和《基金合同》的规定，在其合法的经营权限和交易权限内发送划款指令，被授权人应按照其授权权限发送划款指令。基金管理人在发送指令时，应为基金托管人留出执行指令所必需的时间。一般划款指令（不含非担保交收指令、新股、新债、增发等申购指令）应在15点（指令截止时间）前提交基金托管人，如基金管理人要求当天某一时点到账，则指令需提前2个工作小时(工作时间9点至11点30分，13点至17点)提交基金托管人。</w:t>
      </w:r>
    </w:p>
    <w:p w14:paraId="3B6DD7DE">
      <w:pPr>
        <w:spacing w:after="120" w:line="360" w:lineRule="auto"/>
        <w:ind w:firstLine="420" w:firstLineChars="200"/>
        <w:rPr>
          <w:rFonts w:ascii="宋体" w:hAnsi="宋体"/>
          <w:szCs w:val="21"/>
        </w:rPr>
      </w:pPr>
      <w:r>
        <w:rPr>
          <w:rFonts w:hint="eastAsia" w:ascii="宋体" w:hAnsi="宋体"/>
          <w:szCs w:val="21"/>
        </w:rPr>
        <w:t>新股、新债、增发等申购指令，基金管理人须在申购前1个工作日向基金托管人发送指令，如需在申购当日下达指令，基金管理人应为基金托管人留出执行指令所必需的时间，指令最迟不得晚于上午11：00点（指令截止时间）提交基金托管人。</w:t>
      </w:r>
    </w:p>
    <w:p w14:paraId="1C437890">
      <w:pPr>
        <w:spacing w:after="120" w:line="360" w:lineRule="auto"/>
        <w:ind w:firstLine="420" w:firstLineChars="200"/>
        <w:rPr>
          <w:rFonts w:ascii="宋体" w:hAnsi="宋体"/>
          <w:szCs w:val="21"/>
        </w:rPr>
      </w:pPr>
      <w:r>
        <w:rPr>
          <w:rFonts w:hint="eastAsia" w:ascii="宋体" w:hAnsi="宋体"/>
          <w:szCs w:val="21"/>
        </w:rPr>
        <w:t>如划款指令中给予基金托管人的划拨时间小于2个工作小时或晚于前述指令截止时间的，基金托管人应尽力在指定时间内完成资金划拨,但不承担因时间不足导致执行失败的责任。</w:t>
      </w:r>
    </w:p>
    <w:p w14:paraId="473522F4">
      <w:pPr>
        <w:spacing w:after="120" w:line="360" w:lineRule="auto"/>
        <w:ind w:firstLine="420" w:firstLineChars="200"/>
        <w:rPr>
          <w:rFonts w:ascii="宋体" w:hAnsi="宋体"/>
          <w:szCs w:val="21"/>
        </w:rPr>
      </w:pPr>
      <w:r>
        <w:rPr>
          <w:rFonts w:hint="eastAsia" w:ascii="宋体" w:hAnsi="宋体"/>
          <w:szCs w:val="21"/>
        </w:rPr>
        <w:t>基金管理人原因造成的指令传输不及时、未能留出足够划款所需时间，致使资金未能及时到账所造成的损失由基金管理人承担。基金管理人应在交易结束后将同业市场债券交易成交单加盖预留印鉴后及时传真给基金托管人并电话通知基金托管人。</w:t>
      </w:r>
    </w:p>
    <w:p w14:paraId="50E465B1">
      <w:pPr>
        <w:spacing w:line="360" w:lineRule="auto"/>
        <w:ind w:firstLine="420" w:firstLineChars="200"/>
        <w:rPr>
          <w:rFonts w:ascii="宋体" w:hAnsi="宋体"/>
          <w:szCs w:val="21"/>
        </w:rPr>
      </w:pPr>
      <w:r>
        <w:rPr>
          <w:rFonts w:hint="eastAsia" w:ascii="宋体" w:hAnsi="宋体"/>
          <w:szCs w:val="21"/>
        </w:rPr>
        <w:t>指令到达基金托管人后，基金托管人应指定专人及时对指令的要素是否齐全、印鉴与被授权人是否与预留的授权文件内容相符进行检查，如发现问题或有疑问应及时通知基金管理人，并有权立即将指令退还给基金管理人，要求其重新下达有效指令。</w:t>
      </w:r>
    </w:p>
    <w:p w14:paraId="3C3606D1">
      <w:pPr>
        <w:spacing w:line="360" w:lineRule="auto"/>
        <w:ind w:firstLine="420" w:firstLineChars="200"/>
        <w:rPr>
          <w:rFonts w:ascii="宋体" w:hAnsi="宋体"/>
          <w:szCs w:val="21"/>
        </w:rPr>
      </w:pPr>
      <w:r>
        <w:rPr>
          <w:rFonts w:hint="eastAsia" w:ascii="宋体" w:hAnsi="宋体"/>
          <w:szCs w:val="21"/>
        </w:rPr>
        <w:t>基金管理人向基金托管人下达指令时，应确保相关托管账户有足够的资金余额，对基金管理人在没有充足资金的情况下向基金托管人发出的指令，基金托管人有权不予执行，并立即通知基金管理人，基金托管人不承担因为不执行该指令而造成损失的</w:t>
      </w:r>
      <w:r>
        <w:rPr>
          <w:rFonts w:hint="eastAsia" w:ascii="宋体" w:hAnsi="宋体"/>
          <w:szCs w:val="21"/>
          <w:lang w:eastAsia="zh-Hans"/>
        </w:rPr>
        <w:t>相应</w:t>
      </w:r>
      <w:r>
        <w:rPr>
          <w:rFonts w:hint="eastAsia" w:ascii="宋体" w:hAnsi="宋体"/>
          <w:szCs w:val="21"/>
        </w:rPr>
        <w:t>责任。</w:t>
      </w:r>
    </w:p>
    <w:p w14:paraId="7FAF0A84">
      <w:pPr>
        <w:spacing w:line="360" w:lineRule="auto"/>
        <w:ind w:firstLine="420" w:firstLineChars="200"/>
        <w:rPr>
          <w:rFonts w:ascii="宋体" w:hAnsi="宋体"/>
          <w:szCs w:val="21"/>
        </w:rPr>
      </w:pPr>
      <w:r>
        <w:rPr>
          <w:rFonts w:hint="eastAsia" w:ascii="宋体" w:hAnsi="宋体"/>
          <w:szCs w:val="21"/>
        </w:rPr>
        <w:t>基金管理人应将同业市场国债交易通知单加盖预留印鉴后传真给基金托管人。</w:t>
      </w:r>
    </w:p>
    <w:p w14:paraId="228AF894">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36" w:name="_Toc382819094"/>
      <w:r>
        <w:rPr>
          <w:rFonts w:hint="eastAsia" w:ascii="宋体" w:hAnsi="宋体" w:eastAsia="宋体"/>
          <w:b w:val="0"/>
          <w:bCs w:val="0"/>
          <w:sz w:val="21"/>
          <w:szCs w:val="21"/>
        </w:rPr>
        <w:t>（四）基金管理人发送错误指令的情形和处理程序</w:t>
      </w:r>
      <w:bookmarkEnd w:id="36"/>
    </w:p>
    <w:p w14:paraId="17CBE737">
      <w:pPr>
        <w:spacing w:after="120" w:line="360" w:lineRule="auto"/>
        <w:ind w:firstLine="420" w:firstLineChars="200"/>
        <w:rPr>
          <w:rFonts w:ascii="宋体" w:hAnsi="宋体"/>
          <w:szCs w:val="21"/>
        </w:rPr>
      </w:pPr>
      <w:r>
        <w:rPr>
          <w:rFonts w:hint="eastAsia" w:ascii="宋体" w:hAnsi="宋体"/>
          <w:szCs w:val="21"/>
        </w:rPr>
        <w:t>基金管理人发送错误指令的情形包括但不限于指令发送人员无权或超越权限发送指令及交割信息错误，指令中重要信息模糊不清或不全，指令违反法律法规和《基金合同》及本协议约定等。</w:t>
      </w:r>
    </w:p>
    <w:p w14:paraId="49094D38">
      <w:pPr>
        <w:spacing w:line="360" w:lineRule="auto"/>
        <w:ind w:firstLine="420" w:firstLineChars="200"/>
        <w:rPr>
          <w:rFonts w:ascii="宋体" w:hAnsi="宋体"/>
          <w:szCs w:val="21"/>
          <w:lang w:val="zh-CN"/>
        </w:rPr>
      </w:pPr>
      <w:r>
        <w:rPr>
          <w:rFonts w:hint="eastAsia" w:ascii="宋体" w:hAnsi="宋体"/>
          <w:szCs w:val="21"/>
        </w:rPr>
        <w:t>基金托管人在履行监督职能时，如发现基金管理人的指令错误，有权拒绝</w:t>
      </w:r>
      <w:r>
        <w:rPr>
          <w:rFonts w:ascii="宋体" w:hAnsi="宋体"/>
          <w:szCs w:val="21"/>
        </w:rPr>
        <w:t>或暂缓</w:t>
      </w:r>
      <w:r>
        <w:rPr>
          <w:rFonts w:hint="eastAsia" w:ascii="宋体" w:hAnsi="宋体"/>
          <w:szCs w:val="21"/>
        </w:rPr>
        <w:t>执行，并及时以书面形式通知基金管理人改正，基金管理人收到通知后应及时核对，并以书面形式对基金托管人发出回函确认。如需撤销指令，基金管理人应出具书面说明，并加盖预留印鉴。</w:t>
      </w:r>
    </w:p>
    <w:p w14:paraId="2DF8AFC5">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37" w:name="_Toc382819095"/>
      <w:r>
        <w:rPr>
          <w:rFonts w:hint="eastAsia" w:ascii="宋体" w:hAnsi="宋体" w:eastAsia="宋体"/>
          <w:b w:val="0"/>
          <w:bCs w:val="0"/>
          <w:sz w:val="21"/>
          <w:szCs w:val="21"/>
        </w:rPr>
        <w:t>（五）基金托管人未按照基金管理人指令执行的处理方法</w:t>
      </w:r>
      <w:bookmarkEnd w:id="37"/>
    </w:p>
    <w:p w14:paraId="24FED4B4">
      <w:pPr>
        <w:spacing w:line="360" w:lineRule="auto"/>
        <w:ind w:firstLine="420" w:firstLineChars="200"/>
        <w:rPr>
          <w:rFonts w:ascii="宋体" w:hAnsi="宋体"/>
          <w:szCs w:val="21"/>
        </w:rPr>
      </w:pPr>
      <w:r>
        <w:rPr>
          <w:rFonts w:hint="eastAsia" w:ascii="宋体" w:hAnsi="宋体"/>
          <w:szCs w:val="21"/>
        </w:rPr>
        <w:t>除本协议另有约定外，基金托管人由于自身原因造成未按照或者未及时按照基金管理人发送的符合本协议约定的、按照正常交易程序已经生效的指令执行，给基金份额持有人造成损失的，应负责赔偿相应的直接损失。</w:t>
      </w:r>
    </w:p>
    <w:p w14:paraId="1AE1FCC3">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38" w:name="_Toc382819096"/>
      <w:r>
        <w:rPr>
          <w:rFonts w:hint="eastAsia" w:ascii="宋体" w:hAnsi="宋体" w:eastAsia="宋体"/>
          <w:b w:val="0"/>
          <w:bCs w:val="0"/>
          <w:sz w:val="21"/>
          <w:szCs w:val="21"/>
        </w:rPr>
        <w:t>（六）更换被授权人的程序</w:t>
      </w:r>
      <w:bookmarkEnd w:id="38"/>
    </w:p>
    <w:p w14:paraId="0B3679EA">
      <w:pPr>
        <w:spacing w:line="360" w:lineRule="auto"/>
        <w:ind w:firstLine="420" w:firstLineChars="200"/>
        <w:rPr>
          <w:rFonts w:ascii="宋体" w:hAnsi="宋体"/>
          <w:szCs w:val="21"/>
        </w:rPr>
      </w:pPr>
      <w:r>
        <w:rPr>
          <w:rFonts w:hint="eastAsia" w:ascii="宋体" w:hAnsi="宋体"/>
          <w:szCs w:val="21"/>
        </w:rPr>
        <w:t>基金管理人更换被授权人、更改或终止对被授权人的授权范围、变更或新增应急传真号码等，必须提前至少一个交易日，使用与基金托管人协商一致的方式，重新向基金托管人发出加盖基金管理人公司公章的授权书，同时电话通知基金托管人。授权书经基金管理人和基金托管人以电话或其他双方认可的方式确认后，于授权书载明的生效时间或授权书的落款时间生效，同时原授权书失效。基金管理人在此后三个工作日内将更新的授权书正本送交至基金托管人。授权书正本内容与基金托管人前述收到的文本不一致的，以基金托管人收到的为准。</w:t>
      </w:r>
    </w:p>
    <w:p w14:paraId="407AD0DD">
      <w:pPr>
        <w:spacing w:line="360" w:lineRule="auto"/>
        <w:ind w:firstLine="420" w:firstLineChars="200"/>
        <w:rPr>
          <w:rFonts w:ascii="宋体" w:hAnsi="宋体"/>
          <w:szCs w:val="21"/>
        </w:rPr>
      </w:pPr>
      <w:r>
        <w:rPr>
          <w:rFonts w:hint="eastAsia" w:ascii="宋体" w:hAnsi="宋体"/>
          <w:szCs w:val="21"/>
        </w:rPr>
        <w:t xml:space="preserve">（七）指令的保管 </w:t>
      </w:r>
    </w:p>
    <w:p w14:paraId="67F32CE4">
      <w:pPr>
        <w:spacing w:line="360" w:lineRule="auto"/>
        <w:ind w:firstLine="420" w:firstLineChars="200"/>
        <w:rPr>
          <w:rFonts w:ascii="宋体" w:hAnsi="宋体"/>
          <w:szCs w:val="21"/>
        </w:rPr>
      </w:pPr>
      <w:r>
        <w:rPr>
          <w:rFonts w:hint="eastAsia" w:ascii="宋体" w:hAnsi="宋体"/>
          <w:szCs w:val="21"/>
        </w:rPr>
        <w:t xml:space="preserve">指令若以邮件或传真等形式发出，则正本由基金管理人保管，基金托管人保管指令扫描件或传真件。当两者不一致时，以基金托管人收到的指令文件为准。 </w:t>
      </w:r>
    </w:p>
    <w:p w14:paraId="382ADBAB">
      <w:pPr>
        <w:spacing w:line="360" w:lineRule="auto"/>
        <w:ind w:firstLine="420" w:firstLineChars="200"/>
        <w:rPr>
          <w:rFonts w:ascii="宋体" w:hAnsi="宋体"/>
          <w:szCs w:val="21"/>
        </w:rPr>
      </w:pPr>
      <w:r>
        <w:rPr>
          <w:rFonts w:hint="eastAsia" w:ascii="宋体" w:hAnsi="宋体"/>
          <w:szCs w:val="21"/>
        </w:rPr>
        <w:t>（八）其它事项</w:t>
      </w:r>
    </w:p>
    <w:p w14:paraId="20B3A400">
      <w:pPr>
        <w:spacing w:line="360" w:lineRule="auto"/>
        <w:ind w:firstLine="420" w:firstLineChars="200"/>
        <w:rPr>
          <w:rFonts w:ascii="宋体" w:hAnsi="宋体"/>
          <w:szCs w:val="21"/>
        </w:rPr>
      </w:pPr>
      <w:r>
        <w:rPr>
          <w:rFonts w:hint="eastAsia" w:ascii="宋体" w:hAnsi="宋体"/>
          <w:szCs w:val="21"/>
        </w:rPr>
        <w:t>基金管理人承担下达违法、违规或违反《基金合同》和本协议约定的指令所导致的责任。基金托管人对执行基金管理人的按照正常交易程序已经生效的指令对基金财产造成的损失不承担赔偿责任。</w:t>
      </w:r>
    </w:p>
    <w:p w14:paraId="14EB5AF9">
      <w:pPr>
        <w:pStyle w:val="2"/>
        <w:keepNext w:val="0"/>
        <w:keepLines w:val="0"/>
        <w:numPr>
          <w:ilvl w:val="0"/>
          <w:numId w:val="2"/>
        </w:numPr>
        <w:tabs>
          <w:tab w:val="left" w:pos="420"/>
        </w:tabs>
        <w:autoSpaceDE w:val="0"/>
        <w:autoSpaceDN w:val="0"/>
        <w:adjustRightInd w:val="0"/>
        <w:spacing w:before="360" w:after="360"/>
        <w:textAlignment w:val="baseline"/>
        <w:rPr>
          <w:rFonts w:ascii="宋体" w:hAnsi="宋体" w:eastAsia="宋体" w:cs="Arial"/>
          <w:sz w:val="21"/>
          <w:szCs w:val="21"/>
        </w:rPr>
      </w:pPr>
      <w:bookmarkStart w:id="39" w:name="_Toc382819097"/>
      <w:r>
        <w:rPr>
          <w:rFonts w:hint="eastAsia" w:ascii="宋体" w:hAnsi="宋体" w:eastAsia="宋体" w:cs="Arial"/>
          <w:sz w:val="21"/>
          <w:szCs w:val="21"/>
        </w:rPr>
        <w:t>交易及清算交收安排</w:t>
      </w:r>
      <w:bookmarkEnd w:id="39"/>
    </w:p>
    <w:p w14:paraId="7406FFA0">
      <w:pPr>
        <w:pStyle w:val="3"/>
        <w:keepNext w:val="0"/>
        <w:keepLines w:val="0"/>
        <w:spacing w:before="0" w:after="0"/>
        <w:ind w:firstLine="420" w:firstLineChars="200"/>
        <w:jc w:val="left"/>
        <w:rPr>
          <w:rFonts w:ascii="宋体" w:hAnsi="宋体" w:eastAsia="宋体"/>
          <w:b w:val="0"/>
          <w:sz w:val="21"/>
          <w:szCs w:val="21"/>
        </w:rPr>
      </w:pPr>
      <w:bookmarkStart w:id="40" w:name="_Toc382819098"/>
      <w:r>
        <w:rPr>
          <w:rFonts w:hint="eastAsia" w:ascii="宋体" w:hAnsi="宋体" w:eastAsia="宋体"/>
          <w:b w:val="0"/>
          <w:sz w:val="21"/>
          <w:szCs w:val="21"/>
        </w:rPr>
        <w:t>（一）选择代理证券、期货买卖的证券、期货经纪机构的标准和程序</w:t>
      </w:r>
      <w:bookmarkEnd w:id="40"/>
    </w:p>
    <w:p w14:paraId="6069F159">
      <w:pPr>
        <w:spacing w:line="360" w:lineRule="auto"/>
        <w:ind w:firstLine="420" w:firstLineChars="200"/>
        <w:rPr>
          <w:rFonts w:ascii="宋体" w:hAnsi="宋体"/>
          <w:szCs w:val="21"/>
        </w:rPr>
      </w:pPr>
      <w:r>
        <w:rPr>
          <w:rFonts w:hint="eastAsia" w:ascii="宋体" w:hAnsi="宋体"/>
          <w:szCs w:val="21"/>
        </w:rPr>
        <w:t>基金管理人负责选择代理本基金证券买卖的证券经纪机构。</w:t>
      </w:r>
    </w:p>
    <w:p w14:paraId="34A7135A">
      <w:pPr>
        <w:spacing w:line="360" w:lineRule="auto"/>
        <w:ind w:firstLine="420" w:firstLineChars="200"/>
        <w:rPr>
          <w:rFonts w:ascii="宋体" w:hAnsi="宋体"/>
          <w:szCs w:val="21"/>
        </w:rPr>
      </w:pPr>
      <w:r>
        <w:rPr>
          <w:rFonts w:hint="eastAsia" w:ascii="宋体" w:hAnsi="宋体"/>
          <w:szCs w:val="21"/>
        </w:rPr>
        <w:t>基金管理人负责根据相关标准以及内部管理制度对有关证券经营机构进行考察后确定代理本基金证券买卖证券经营机构，并承担相应责任。基金管理人和被选择的证券经纪机构签订交易单元租用协议，由基金管理人通知基金托管人，并在法定信息披露公告中披露有关内容。</w:t>
      </w:r>
    </w:p>
    <w:p w14:paraId="724DE961">
      <w:pPr>
        <w:spacing w:line="360" w:lineRule="auto"/>
        <w:ind w:firstLine="420" w:firstLineChars="200"/>
        <w:rPr>
          <w:rFonts w:ascii="宋体" w:hAnsi="宋体"/>
          <w:szCs w:val="21"/>
        </w:rPr>
      </w:pPr>
      <w:r>
        <w:rPr>
          <w:rFonts w:hint="eastAsia" w:ascii="宋体" w:hAnsi="宋体"/>
          <w:szCs w:val="21"/>
        </w:rPr>
        <w:t>基金管理人应在基金起始运作前将基金专用交易单元号、佣金费率等基本信息以及变更情况及时以书面形式通知基金托管人,并将被选中证券经营机构提供的《交易单元租用协议》及时送达基金托管人，确保基金托管人申请接收结算数据。</w:t>
      </w:r>
    </w:p>
    <w:p w14:paraId="4EFAD45D">
      <w:pPr>
        <w:spacing w:line="360" w:lineRule="auto"/>
        <w:ind w:firstLine="420" w:firstLineChars="200"/>
        <w:rPr>
          <w:rFonts w:ascii="宋体" w:hAnsi="宋体"/>
          <w:szCs w:val="21"/>
        </w:rPr>
      </w:pPr>
      <w:r>
        <w:rPr>
          <w:rFonts w:hint="eastAsia" w:ascii="宋体" w:hAnsi="宋体"/>
          <w:szCs w:val="21"/>
        </w:rPr>
        <w:t>基金管理人负责选择代理本基金期货交易的期货经纪机构，并与其签订期货经纪合同，其他事宜根据法律法规、《基金合同》的相关规定执行，若无明确规定的，可参照有关证券买卖、证券经纪机构选择的规则执行。</w:t>
      </w:r>
    </w:p>
    <w:p w14:paraId="6EBFD222">
      <w:pPr>
        <w:pStyle w:val="3"/>
        <w:keepNext w:val="0"/>
        <w:keepLines w:val="0"/>
        <w:spacing w:before="0" w:after="0"/>
        <w:ind w:firstLine="420" w:firstLineChars="200"/>
        <w:jc w:val="left"/>
        <w:rPr>
          <w:rFonts w:ascii="宋体" w:hAnsi="宋体" w:eastAsia="宋体"/>
          <w:b w:val="0"/>
          <w:sz w:val="21"/>
          <w:szCs w:val="21"/>
        </w:rPr>
      </w:pPr>
      <w:bookmarkStart w:id="41" w:name="_Toc382819099"/>
      <w:r>
        <w:rPr>
          <w:rFonts w:hint="eastAsia" w:ascii="宋体" w:hAnsi="宋体" w:eastAsia="宋体"/>
          <w:b w:val="0"/>
          <w:sz w:val="21"/>
          <w:szCs w:val="21"/>
        </w:rPr>
        <w:t>（二）基金投资证券后的清算交收安排</w:t>
      </w:r>
      <w:bookmarkEnd w:id="41"/>
      <w:bookmarkStart w:id="42" w:name="_Toc382819100"/>
    </w:p>
    <w:p w14:paraId="16B8F495">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r>
        <w:rPr>
          <w:rFonts w:hint="eastAsia" w:ascii="宋体" w:hAnsi="宋体" w:eastAsia="宋体"/>
          <w:b w:val="0"/>
          <w:bCs w:val="0"/>
          <w:sz w:val="21"/>
          <w:szCs w:val="21"/>
        </w:rPr>
        <w:t>1、本基金进行证券交易所内证券交易采用的是托管人法人结算模式。本基金投资于证券发生的所有场内、场外交易的资金清算交割，全部由基金托管人负责办理。</w:t>
      </w:r>
    </w:p>
    <w:p w14:paraId="4B702D72">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r>
        <w:rPr>
          <w:rFonts w:hint="eastAsia" w:ascii="宋体" w:hAnsi="宋体" w:eastAsia="宋体"/>
          <w:b w:val="0"/>
          <w:bCs w:val="0"/>
          <w:sz w:val="21"/>
          <w:szCs w:val="21"/>
        </w:rPr>
        <w:t xml:space="preserve">2、本基金投资于场内交易的投资品种前，基金管理人和基金托管人应当另行签署托管银行证券资金结算协议。 </w:t>
      </w:r>
    </w:p>
    <w:p w14:paraId="5C1D69AA">
      <w:pPr>
        <w:spacing w:line="360" w:lineRule="auto"/>
        <w:ind w:firstLine="420" w:firstLineChars="200"/>
        <w:rPr>
          <w:rFonts w:ascii="宋体" w:hAnsi="宋体"/>
          <w:szCs w:val="21"/>
        </w:rPr>
      </w:pPr>
      <w:r>
        <w:rPr>
          <w:rFonts w:hint="eastAsia" w:ascii="宋体" w:hAnsi="宋体"/>
          <w:szCs w:val="21"/>
        </w:rPr>
        <w:t>3、本基金投资于非担保交收的投资品种时，基金管理人应遵守基金托管人关于实时逐笔全额（RTGS）托管结算服务的通知。</w:t>
      </w:r>
      <w:bookmarkEnd w:id="42"/>
    </w:p>
    <w:p w14:paraId="2BA1C289">
      <w:pPr>
        <w:spacing w:line="360" w:lineRule="auto"/>
        <w:ind w:firstLine="420" w:firstLineChars="200"/>
        <w:rPr>
          <w:rFonts w:ascii="宋体" w:hAnsi="宋体"/>
          <w:szCs w:val="21"/>
        </w:rPr>
      </w:pPr>
      <w:r>
        <w:rPr>
          <w:rFonts w:hint="eastAsia" w:ascii="宋体" w:hAnsi="宋体"/>
          <w:szCs w:val="21"/>
        </w:rPr>
        <w:t>4、银行间债券券款对付结算</w:t>
      </w:r>
    </w:p>
    <w:p w14:paraId="447019E1">
      <w:pPr>
        <w:spacing w:line="360" w:lineRule="auto"/>
        <w:ind w:firstLine="420" w:firstLineChars="200"/>
        <w:rPr>
          <w:rFonts w:ascii="宋体" w:hAnsi="宋体"/>
          <w:szCs w:val="21"/>
        </w:rPr>
      </w:pPr>
      <w:r>
        <w:rPr>
          <w:rFonts w:hint="eastAsia" w:ascii="宋体" w:hAnsi="宋体"/>
          <w:szCs w:val="21"/>
        </w:rPr>
        <w:t>基金管理人应及时将银行间市场清算所股份有限公司、</w:t>
      </w:r>
      <w:r>
        <w:rPr>
          <w:rFonts w:ascii="宋体" w:hAnsi="宋体"/>
          <w:szCs w:val="21"/>
        </w:rPr>
        <w:t>中央国债登记结算有限责任公司</w:t>
      </w:r>
      <w:r>
        <w:rPr>
          <w:rFonts w:hint="eastAsia" w:ascii="宋体" w:hAnsi="宋体"/>
          <w:szCs w:val="21"/>
        </w:rPr>
        <w:t xml:space="preserve">划款指令和成交通知单按相关规定提交基金托管人，基金管理人应为基金托管人留出执行指令所必需的时间。  </w:t>
      </w:r>
    </w:p>
    <w:p w14:paraId="2538BABB">
      <w:pPr>
        <w:spacing w:line="360" w:lineRule="auto"/>
        <w:ind w:firstLine="420" w:firstLineChars="200"/>
        <w:rPr>
          <w:rFonts w:ascii="宋体" w:hAnsi="宋体"/>
          <w:szCs w:val="21"/>
        </w:rPr>
      </w:pPr>
      <w:r>
        <w:rPr>
          <w:rFonts w:hint="eastAsia" w:ascii="宋体" w:hAnsi="宋体"/>
          <w:szCs w:val="21"/>
        </w:rPr>
        <w:t>基金管理人应根据</w:t>
      </w:r>
      <w:r>
        <w:rPr>
          <w:rFonts w:ascii="宋体" w:hAnsi="宋体"/>
          <w:szCs w:val="21"/>
        </w:rPr>
        <w:t>中央国债登记结算有限责任公司</w:t>
      </w:r>
      <w:r>
        <w:rPr>
          <w:rFonts w:hint="eastAsia" w:ascii="宋体" w:hAnsi="宋体"/>
          <w:szCs w:val="21"/>
        </w:rPr>
        <w:t>、银行间市场清算所股份有限公司提供的查询功能，实时跟踪交易结算情况、证券与资金到账与余额变动情况，便于监控结算过程，做好资金与交易匹配的前端控制。</w:t>
      </w:r>
    </w:p>
    <w:p w14:paraId="4155E279">
      <w:pPr>
        <w:spacing w:line="360" w:lineRule="auto"/>
        <w:ind w:firstLine="420" w:firstLineChars="200"/>
        <w:rPr>
          <w:rFonts w:ascii="宋体" w:hAnsi="宋体"/>
          <w:szCs w:val="21"/>
        </w:rPr>
      </w:pPr>
      <w:r>
        <w:rPr>
          <w:rFonts w:hint="eastAsia" w:ascii="宋体" w:hAnsi="宋体"/>
          <w:szCs w:val="21"/>
        </w:rPr>
        <w:t>5、定期投资</w:t>
      </w:r>
    </w:p>
    <w:p w14:paraId="1EAC4E66">
      <w:pPr>
        <w:spacing w:line="360" w:lineRule="auto"/>
        <w:ind w:firstLine="420" w:firstLineChars="200"/>
        <w:rPr>
          <w:rFonts w:ascii="宋体" w:hAnsi="宋体"/>
          <w:szCs w:val="21"/>
        </w:rPr>
      </w:pPr>
      <w:r>
        <w:rPr>
          <w:rFonts w:hint="eastAsia" w:ascii="宋体" w:hAnsi="宋体"/>
          <w:szCs w:val="21"/>
        </w:rPr>
        <w:t>基金管理人与存款行签订的存款协议条款格式应在定期存款起息日的前一个工作日发送给基金托管人，</w:t>
      </w:r>
      <w:r>
        <w:rPr>
          <w:rFonts w:hint="eastAsia" w:ascii="宋体" w:hAnsi="宋体" w:cs="Arial"/>
          <w:color w:val="000000"/>
          <w:szCs w:val="21"/>
        </w:rPr>
        <w:t>基金管理人应将</w:t>
      </w:r>
      <w:r>
        <w:rPr>
          <w:rFonts w:hint="eastAsia" w:ascii="宋体" w:hAnsi="宋体"/>
          <w:szCs w:val="21"/>
        </w:rPr>
        <w:t>定期存款的划款指令及存款协议盖章版（传真件或扫描件）按法律法规、基金合同及托管协议的规定提交基金托管人，指令发出后，基金管理人应及时以电话方式向基金托管人确认。对于基金管理人依约定程序发出的指令，基金管理人不得否认其效力。</w:t>
      </w:r>
    </w:p>
    <w:p w14:paraId="417040E0">
      <w:pPr>
        <w:spacing w:line="360" w:lineRule="auto"/>
        <w:ind w:firstLine="420" w:firstLineChars="200"/>
        <w:rPr>
          <w:rFonts w:ascii="宋体" w:hAnsi="宋体"/>
          <w:szCs w:val="21"/>
        </w:rPr>
      </w:pPr>
      <w:r>
        <w:rPr>
          <w:rFonts w:hint="eastAsia" w:ascii="宋体" w:hAnsi="宋体"/>
          <w:szCs w:val="21"/>
        </w:rPr>
        <w:t>基金管理人在发送投资指令时，应为基金托管人执行投资指令留出执行指令所必需的时间。投资指令传输不及时、未能留出足够的划款时间，导致资金未能及时到账所造成的损失与基金</w:t>
      </w:r>
      <w:r>
        <w:rPr>
          <w:rFonts w:ascii="宋体" w:hAnsi="宋体"/>
          <w:szCs w:val="21"/>
        </w:rPr>
        <w:t>托管人无关</w:t>
      </w:r>
      <w:r>
        <w:rPr>
          <w:rFonts w:hint="eastAsia" w:ascii="宋体" w:hAnsi="宋体"/>
          <w:szCs w:val="21"/>
        </w:rPr>
        <w:t>。</w:t>
      </w:r>
    </w:p>
    <w:p w14:paraId="7124EB20">
      <w:pPr>
        <w:spacing w:line="360" w:lineRule="auto"/>
        <w:ind w:firstLine="420" w:firstLineChars="200"/>
        <w:rPr>
          <w:rFonts w:ascii="宋体" w:hAnsi="宋体"/>
          <w:szCs w:val="21"/>
        </w:rPr>
      </w:pPr>
      <w:r>
        <w:rPr>
          <w:rFonts w:hint="eastAsia" w:ascii="宋体" w:hAnsi="宋体"/>
          <w:szCs w:val="21"/>
        </w:rPr>
        <w:t>存款银行无法在存入当日17点前向基金托管人送达存款证实书的，基金管理人应敦促存款银行将存款证实扫描件发送至基金托管人。存款证实书送达基金托管人后，基金托管人负责保管存款证实书原件。基金托管人仅对存款证实书进行形式审核，形式审核内容为账户名称、起息日、到期日、金额、利率。基金托管人不对存款证实书真实性承担审核职责。</w:t>
      </w:r>
    </w:p>
    <w:p w14:paraId="07DFB33D">
      <w:pPr>
        <w:spacing w:line="360" w:lineRule="auto"/>
        <w:ind w:firstLine="420" w:firstLineChars="200"/>
        <w:rPr>
          <w:rFonts w:ascii="宋体" w:hAnsi="宋体"/>
          <w:szCs w:val="21"/>
        </w:rPr>
      </w:pPr>
      <w:r>
        <w:rPr>
          <w:rFonts w:hint="eastAsia" w:ascii="宋体" w:hAnsi="宋体"/>
          <w:szCs w:val="21"/>
        </w:rPr>
        <w:t xml:space="preserve"> 基金管理人与存款银行签订的存款协议，应包括：</w:t>
      </w:r>
    </w:p>
    <w:p w14:paraId="38960A5B">
      <w:pPr>
        <w:spacing w:line="360" w:lineRule="auto"/>
        <w:ind w:firstLine="420" w:firstLineChars="200"/>
        <w:rPr>
          <w:rFonts w:ascii="宋体" w:hAnsi="宋体"/>
          <w:szCs w:val="21"/>
        </w:rPr>
      </w:pPr>
      <w:r>
        <w:rPr>
          <w:rFonts w:hint="eastAsia" w:ascii="宋体" w:hAnsi="宋体"/>
          <w:szCs w:val="21"/>
        </w:rPr>
        <w:t>（1）存款银行为托管资产办理定期存款业务的存款账户开立、资金存入和支取提供必要的支持和高效的结算服务；</w:t>
      </w:r>
    </w:p>
    <w:p w14:paraId="548ED378">
      <w:pPr>
        <w:spacing w:line="360" w:lineRule="auto"/>
        <w:ind w:firstLine="420" w:firstLineChars="200"/>
        <w:rPr>
          <w:rFonts w:ascii="宋体" w:hAnsi="宋体"/>
          <w:szCs w:val="21"/>
        </w:rPr>
      </w:pPr>
      <w:r>
        <w:rPr>
          <w:rFonts w:hint="eastAsia" w:ascii="宋体" w:hAnsi="宋体"/>
          <w:szCs w:val="21"/>
        </w:rPr>
        <w:t>（2）存款银行为托管资产所投资的定期存款的存款证明文件提供上门服务，即：定期存款资金到账当日，存款银行派授权代理人将“存款证实书”（以下简称“证实书”）妥善送至基金托管人处。“证实书”移交给基金托管人之前，因“证实书”丢失、损毁而造成的一切损失由存款银行承担。</w:t>
      </w:r>
    </w:p>
    <w:p w14:paraId="151C5363">
      <w:pPr>
        <w:spacing w:line="360" w:lineRule="auto"/>
        <w:ind w:firstLine="420" w:firstLineChars="200"/>
        <w:rPr>
          <w:rFonts w:ascii="宋体" w:hAnsi="宋体"/>
          <w:szCs w:val="21"/>
        </w:rPr>
      </w:pPr>
      <w:r>
        <w:rPr>
          <w:rFonts w:hint="eastAsia" w:ascii="宋体" w:hAnsi="宋体"/>
          <w:szCs w:val="21"/>
        </w:rPr>
        <w:t>（3）定期存款到期日当日或提前支取日当日，存款银行应派授权代理人前往基金托管人处提取“证实书”。“证实书”移交给存款行授权代理人之后，因“证实书”丢失、损毁而造成的一切损失由存款银行承担。</w:t>
      </w:r>
    </w:p>
    <w:p w14:paraId="51EB6D99">
      <w:pPr>
        <w:spacing w:line="360" w:lineRule="auto"/>
        <w:ind w:firstLine="420" w:firstLineChars="200"/>
        <w:rPr>
          <w:rFonts w:ascii="宋体" w:hAnsi="宋体"/>
          <w:szCs w:val="21"/>
        </w:rPr>
      </w:pPr>
      <w:r>
        <w:rPr>
          <w:rFonts w:hint="eastAsia" w:ascii="宋体" w:hAnsi="宋体"/>
          <w:szCs w:val="21"/>
        </w:rPr>
        <w:t>存款银行应至少提前一个工作日向基金托管人提供对前述授权代理人办理相关事务的书面授权书。授权代理人提供上门服务时，应出示有效身份证或工作证。</w:t>
      </w:r>
    </w:p>
    <w:p w14:paraId="71A58518">
      <w:pPr>
        <w:spacing w:line="360" w:lineRule="auto"/>
        <w:ind w:firstLine="420" w:firstLineChars="200"/>
        <w:rPr>
          <w:rFonts w:ascii="宋体" w:hAnsi="宋体"/>
          <w:szCs w:val="21"/>
        </w:rPr>
      </w:pPr>
      <w:r>
        <w:rPr>
          <w:rFonts w:hint="eastAsia" w:ascii="宋体" w:hAnsi="宋体"/>
          <w:szCs w:val="21"/>
        </w:rPr>
        <w:t>（4）存款银行应保证及时支付存款本金和利息，于支取当日将本息划付至本基金开立在基金托管人（上海浦东发展银行股份有限公司）处的托管账户， 并列明账户的开户行、账号、户名、大额支付号。存款银行应确认，定期存款的本息只能划入开立在基金托管人的相应托管账户或经基金托管人确认的指定账户。上述指定收款账户信息如需变更，必须经基金托管人书面同意。</w:t>
      </w:r>
    </w:p>
    <w:p w14:paraId="16E286DD">
      <w:pPr>
        <w:spacing w:line="360" w:lineRule="auto"/>
        <w:ind w:firstLine="420" w:firstLineChars="200"/>
        <w:rPr>
          <w:rFonts w:ascii="宋体" w:hAnsi="宋体"/>
          <w:szCs w:val="21"/>
        </w:rPr>
      </w:pPr>
      <w:r>
        <w:rPr>
          <w:rFonts w:hint="eastAsia" w:ascii="宋体" w:hAnsi="宋体"/>
          <w:szCs w:val="21"/>
        </w:rPr>
        <w:t>（5）存款银行应为定期存款业务提供定期对账服务。首次对账应不晚于存款资金存入后的一个自然月。除首次对账外，对账频率不少于每半年一次。存款银行应配合基金托管人对“证实书”的书面征询。</w:t>
      </w:r>
    </w:p>
    <w:p w14:paraId="0C475AAF">
      <w:pPr>
        <w:spacing w:line="360" w:lineRule="auto"/>
        <w:ind w:firstLine="420" w:firstLineChars="200"/>
        <w:rPr>
          <w:rFonts w:ascii="宋体" w:hAnsi="宋体"/>
          <w:szCs w:val="21"/>
        </w:rPr>
      </w:pPr>
      <w:r>
        <w:rPr>
          <w:rFonts w:hint="eastAsia" w:ascii="宋体" w:hAnsi="宋体"/>
          <w:szCs w:val="21"/>
        </w:rPr>
        <w:t>（6）在存款存续期内， “证实书”的预留印鉴发生变更的，存款银行应配合办理变更手续。</w:t>
      </w:r>
    </w:p>
    <w:p w14:paraId="3B74ABAA">
      <w:pPr>
        <w:spacing w:line="360" w:lineRule="auto"/>
        <w:ind w:firstLine="420" w:firstLineChars="200"/>
        <w:rPr>
          <w:rFonts w:ascii="宋体" w:hAnsi="宋体"/>
          <w:szCs w:val="21"/>
        </w:rPr>
      </w:pPr>
      <w:r>
        <w:rPr>
          <w:rFonts w:hint="eastAsia" w:ascii="宋体" w:hAnsi="宋体"/>
          <w:szCs w:val="21"/>
        </w:rPr>
        <w:t>6、本基金拟投资于期货交易市场前，基金管理人、期货经纪机构及基金托管人应当另行签署股指期货投资托管协议。</w:t>
      </w:r>
    </w:p>
    <w:p w14:paraId="2E5D97B4">
      <w:pPr>
        <w:spacing w:line="360" w:lineRule="auto"/>
        <w:ind w:firstLine="420"/>
        <w:rPr>
          <w:rFonts w:ascii="宋体" w:hAnsi="宋体"/>
          <w:szCs w:val="21"/>
        </w:rPr>
      </w:pPr>
      <w:r>
        <w:rPr>
          <w:rFonts w:hint="eastAsia" w:asciiTheme="minorEastAsia" w:hAnsiTheme="minorEastAsia" w:eastAsiaTheme="minorEastAsia" w:cstheme="minorEastAsia"/>
          <w:color w:val="000000"/>
          <w:szCs w:val="21"/>
        </w:rPr>
        <w:t>7</w:t>
      </w:r>
      <w:r>
        <w:rPr>
          <w:rFonts w:ascii="Segoe UI" w:hAnsi="Segoe UI" w:cs="Segoe UI"/>
          <w:color w:val="000000"/>
          <w:szCs w:val="21"/>
        </w:rPr>
        <w:t>、</w:t>
      </w:r>
      <w:r>
        <w:rPr>
          <w:rFonts w:hint="eastAsia" w:ascii="宋体" w:hAnsi="宋体"/>
          <w:szCs w:val="21"/>
        </w:rPr>
        <w:t>基金参与港股通交易的清算交收安排</w:t>
      </w:r>
    </w:p>
    <w:p w14:paraId="488A16EC">
      <w:pPr>
        <w:spacing w:line="360" w:lineRule="auto"/>
        <w:ind w:firstLine="420"/>
        <w:rPr>
          <w:rFonts w:ascii="宋体" w:hAnsi="宋体"/>
          <w:szCs w:val="21"/>
        </w:rPr>
      </w:pPr>
      <w:r>
        <w:rPr>
          <w:rFonts w:hint="eastAsia" w:ascii="宋体" w:hAnsi="宋体"/>
          <w:szCs w:val="21"/>
        </w:rPr>
        <w:t>（1）基金参与港股通交易的，基金管理人应保证在T日日终之前在托管的托管账户或港股通备付金账户上有足够的头寸用于港股通T+1日公司行动、证券组合费和风控资金的交收，在T+1日11：00之前在托管的托管账户或港股通备付金上有足够的头寸用于港股通T+2日交易资金的交收。对于T日港股通交易清算结果为净应付的，基金托管人于T+1日10：00扣收应付资金。对于T日港股通交易清算结果为净应收的，基金托管人在与中国证券登记结算有限责任公司完成净应收资金交割后，于T+3日上午12:00前返还应收资金。若因非基金托管人原因造成净应收资金划付延迟的，基金托管人不承担</w:t>
      </w:r>
      <w:r>
        <w:rPr>
          <w:rFonts w:hint="eastAsia" w:ascii="宋体" w:hAnsi="宋体"/>
          <w:szCs w:val="21"/>
          <w:lang w:eastAsia="zh-Hans"/>
        </w:rPr>
        <w:t>相应</w:t>
      </w:r>
      <w:r>
        <w:rPr>
          <w:rFonts w:hint="eastAsia" w:ascii="宋体" w:hAnsi="宋体"/>
          <w:szCs w:val="21"/>
        </w:rPr>
        <w:t>责任。</w:t>
      </w:r>
    </w:p>
    <w:p w14:paraId="6A8BC6DF">
      <w:pPr>
        <w:spacing w:line="360" w:lineRule="auto"/>
        <w:ind w:firstLine="420" w:firstLineChars="200"/>
      </w:pPr>
      <w:r>
        <w:rPr>
          <w:rFonts w:hint="eastAsia" w:ascii="宋体" w:hAnsi="宋体"/>
          <w:szCs w:val="21"/>
        </w:rPr>
        <w:t>如由于基金管理人的过错导致港股通交收失败，由此给基金托管人、基金托管人托管的其他资产组合造成的</w:t>
      </w:r>
      <w:r>
        <w:rPr>
          <w:rFonts w:hint="eastAsia" w:ascii="宋体" w:hAnsi="宋体"/>
          <w:b/>
          <w:bCs/>
          <w:szCs w:val="21"/>
        </w:rPr>
        <w:t>直接</w:t>
      </w:r>
      <w:r>
        <w:rPr>
          <w:rFonts w:hint="eastAsia" w:ascii="宋体" w:hAnsi="宋体"/>
          <w:szCs w:val="21"/>
        </w:rPr>
        <w:t>经济损失，由基金管理人承担。如由于非基金管理人和基金托管人的原因导致港股通交收失败，由此给基金资产组合造成的经济损失，基金管理人可向过错人追偿。</w:t>
      </w:r>
    </w:p>
    <w:p w14:paraId="71D52F04">
      <w:pPr>
        <w:pStyle w:val="3"/>
        <w:keepNext w:val="0"/>
        <w:keepLines w:val="0"/>
        <w:spacing w:before="0" w:after="0"/>
        <w:ind w:firstLine="420" w:firstLineChars="200"/>
        <w:jc w:val="left"/>
        <w:rPr>
          <w:rFonts w:ascii="宋体" w:hAnsi="宋体" w:eastAsia="宋体"/>
          <w:b w:val="0"/>
          <w:sz w:val="21"/>
          <w:szCs w:val="21"/>
        </w:rPr>
      </w:pPr>
      <w:bookmarkStart w:id="43" w:name="_Toc382819102"/>
      <w:r>
        <w:rPr>
          <w:rFonts w:hint="eastAsia" w:ascii="宋体" w:hAnsi="宋体" w:eastAsia="宋体"/>
          <w:b w:val="0"/>
          <w:sz w:val="21"/>
          <w:szCs w:val="21"/>
        </w:rPr>
        <w:t>（三）可用资金余额的确认</w:t>
      </w:r>
      <w:bookmarkEnd w:id="43"/>
    </w:p>
    <w:p w14:paraId="1E278D52">
      <w:pPr>
        <w:spacing w:line="360" w:lineRule="auto"/>
        <w:ind w:firstLine="420" w:firstLineChars="200"/>
      </w:pPr>
      <w:r>
        <w:rPr>
          <w:rFonts w:hint="eastAsia" w:ascii="宋体" w:hAnsi="宋体"/>
          <w:szCs w:val="21"/>
        </w:rPr>
        <w:t>基金托管人应于每个工作日上午9：30 前将托管账户的可用资金余额以双方认可的方式提供给基金管理人。</w:t>
      </w:r>
    </w:p>
    <w:p w14:paraId="13C1F297">
      <w:pPr>
        <w:tabs>
          <w:tab w:val="left" w:pos="4680"/>
        </w:tabs>
        <w:spacing w:line="360" w:lineRule="auto"/>
        <w:ind w:firstLine="420" w:firstLineChars="200"/>
        <w:jc w:val="left"/>
        <w:outlineLvl w:val="1"/>
        <w:rPr>
          <w:rFonts w:ascii="宋体" w:hAnsi="宋体"/>
          <w:bCs/>
          <w:szCs w:val="21"/>
        </w:rPr>
      </w:pPr>
      <w:r>
        <w:rPr>
          <w:rFonts w:hint="eastAsia" w:ascii="宋体" w:hAnsi="宋体"/>
          <w:bCs/>
          <w:szCs w:val="21"/>
        </w:rPr>
        <w:t>（四）交易记录、资金、证券账目的核对</w:t>
      </w:r>
    </w:p>
    <w:p w14:paraId="17DF0186">
      <w:pPr>
        <w:tabs>
          <w:tab w:val="left" w:pos="4680"/>
        </w:tabs>
        <w:spacing w:line="360" w:lineRule="auto"/>
        <w:ind w:firstLine="420" w:firstLineChars="200"/>
        <w:jc w:val="left"/>
        <w:outlineLvl w:val="2"/>
        <w:rPr>
          <w:rFonts w:ascii="宋体" w:hAnsi="宋体"/>
          <w:szCs w:val="21"/>
        </w:rPr>
      </w:pPr>
      <w:r>
        <w:rPr>
          <w:rFonts w:hint="eastAsia" w:ascii="宋体" w:hAnsi="宋体"/>
          <w:szCs w:val="21"/>
        </w:rPr>
        <w:t>1、交易记录的核对</w:t>
      </w:r>
    </w:p>
    <w:p w14:paraId="429B62E2">
      <w:pPr>
        <w:tabs>
          <w:tab w:val="left" w:pos="4680"/>
        </w:tabs>
        <w:spacing w:line="360" w:lineRule="auto"/>
        <w:ind w:firstLine="420" w:firstLineChars="200"/>
        <w:jc w:val="left"/>
        <w:rPr>
          <w:rFonts w:ascii="宋体" w:hAnsi="宋体"/>
          <w:szCs w:val="21"/>
        </w:rPr>
      </w:pPr>
      <w:r>
        <w:rPr>
          <w:rFonts w:hint="eastAsia" w:ascii="宋体" w:hAnsi="宋体"/>
          <w:szCs w:val="21"/>
        </w:rPr>
        <w:t>基金管理人和基金托管人按日进行交易记录的核对。每日对外披露净值之前，必须保证当天所有实际交易记录与基金会计账簿上的交易记录一致。</w:t>
      </w:r>
    </w:p>
    <w:p w14:paraId="5DF77F91">
      <w:pPr>
        <w:tabs>
          <w:tab w:val="left" w:pos="4680"/>
        </w:tabs>
        <w:spacing w:line="360" w:lineRule="auto"/>
        <w:ind w:firstLine="420" w:firstLineChars="200"/>
        <w:jc w:val="left"/>
        <w:outlineLvl w:val="2"/>
        <w:rPr>
          <w:rFonts w:ascii="宋体" w:hAnsi="宋体"/>
          <w:szCs w:val="21"/>
        </w:rPr>
      </w:pPr>
      <w:r>
        <w:rPr>
          <w:rFonts w:hint="eastAsia" w:ascii="宋体" w:hAnsi="宋体"/>
          <w:szCs w:val="21"/>
        </w:rPr>
        <w:t>2、资金账目的核对</w:t>
      </w:r>
    </w:p>
    <w:p w14:paraId="070C9F6C">
      <w:pPr>
        <w:tabs>
          <w:tab w:val="left" w:pos="4680"/>
        </w:tabs>
        <w:spacing w:line="360" w:lineRule="auto"/>
        <w:ind w:firstLine="420" w:firstLineChars="200"/>
        <w:jc w:val="left"/>
        <w:rPr>
          <w:rFonts w:ascii="宋体" w:hAnsi="宋体"/>
          <w:szCs w:val="21"/>
        </w:rPr>
      </w:pPr>
      <w:r>
        <w:rPr>
          <w:rFonts w:hint="eastAsia" w:ascii="宋体" w:hAnsi="宋体"/>
          <w:szCs w:val="21"/>
        </w:rPr>
        <w:t>资金账目包括基金的银行存款等会计资料。资金账目由基金托管人每日进行账实核对，基金管理人复核基金托管人提供的可用头寸表核对资金余额。银行存款账户每日核对，做到账账相符、账实相符。</w:t>
      </w:r>
    </w:p>
    <w:p w14:paraId="7A7C2682">
      <w:pPr>
        <w:tabs>
          <w:tab w:val="left" w:pos="4680"/>
        </w:tabs>
        <w:spacing w:line="360" w:lineRule="auto"/>
        <w:ind w:firstLine="420" w:firstLineChars="200"/>
        <w:jc w:val="left"/>
        <w:outlineLvl w:val="2"/>
        <w:rPr>
          <w:rFonts w:ascii="宋体" w:hAnsi="宋体"/>
          <w:szCs w:val="21"/>
        </w:rPr>
      </w:pPr>
      <w:r>
        <w:rPr>
          <w:rFonts w:hint="eastAsia" w:ascii="宋体" w:hAnsi="宋体"/>
          <w:szCs w:val="21"/>
        </w:rPr>
        <w:t>3、证券账目的核对</w:t>
      </w:r>
    </w:p>
    <w:p w14:paraId="75A6E9F3">
      <w:pPr>
        <w:tabs>
          <w:tab w:val="left" w:pos="4680"/>
        </w:tabs>
        <w:spacing w:line="360" w:lineRule="auto"/>
        <w:ind w:firstLine="420" w:firstLineChars="200"/>
        <w:jc w:val="left"/>
        <w:rPr>
          <w:rFonts w:ascii="宋体" w:hAnsi="宋体"/>
          <w:szCs w:val="21"/>
        </w:rPr>
      </w:pPr>
      <w:r>
        <w:rPr>
          <w:rFonts w:hint="eastAsia" w:ascii="宋体" w:hAnsi="宋体"/>
          <w:szCs w:val="21"/>
        </w:rPr>
        <w:t>证券账目是指以基金名义开立的证券交易账户和实物托管账户中的证券种类、数量和金额。基金管理人和基金托管人每日核对证券账目余额。证券交易所证券账目每交易日结束后核对一次，银行间市场证券账目每月末核对一次，确保账实相符。</w:t>
      </w:r>
    </w:p>
    <w:p w14:paraId="649EFF9C">
      <w:pPr>
        <w:tabs>
          <w:tab w:val="left" w:pos="4680"/>
        </w:tabs>
        <w:spacing w:line="360" w:lineRule="auto"/>
        <w:ind w:firstLine="420" w:firstLineChars="200"/>
        <w:jc w:val="left"/>
        <w:outlineLvl w:val="1"/>
        <w:rPr>
          <w:rFonts w:ascii="宋体" w:hAnsi="宋体"/>
          <w:szCs w:val="21"/>
        </w:rPr>
      </w:pPr>
      <w:r>
        <w:rPr>
          <w:rFonts w:hint="eastAsia" w:ascii="宋体" w:hAnsi="宋体"/>
          <w:szCs w:val="21"/>
        </w:rPr>
        <w:t>（五）基金申购、赎回、转换业务处理的基本规定</w:t>
      </w:r>
    </w:p>
    <w:p w14:paraId="3FE3E9C2">
      <w:pPr>
        <w:tabs>
          <w:tab w:val="left" w:pos="4680"/>
        </w:tabs>
        <w:spacing w:line="360" w:lineRule="auto"/>
        <w:ind w:firstLine="420" w:firstLineChars="200"/>
        <w:jc w:val="left"/>
        <w:rPr>
          <w:rFonts w:ascii="宋体" w:hAnsi="宋体"/>
          <w:szCs w:val="21"/>
        </w:rPr>
      </w:pPr>
      <w:r>
        <w:rPr>
          <w:rFonts w:hint="eastAsia" w:ascii="宋体" w:hAnsi="宋体"/>
          <w:szCs w:val="21"/>
        </w:rPr>
        <w:t>1、本基金可</w:t>
      </w:r>
      <w:r>
        <w:rPr>
          <w:rFonts w:hint="eastAsia" w:ascii="宋体" w:hAnsi="宋体"/>
          <w:bCs/>
          <w:szCs w:val="21"/>
        </w:rPr>
        <w:t>根据实际情况依法决定开始办理申购，</w:t>
      </w:r>
      <w:r>
        <w:rPr>
          <w:rFonts w:hint="eastAsia" w:ascii="宋体" w:hAnsi="宋体"/>
          <w:szCs w:val="21"/>
        </w:rPr>
        <w:t>自《基金合同》生效后不超过3个月开始办理赎回，具体办理时间以公告为准。基金份额申购、赎回的确认、清算由基金管理人或其委托的登记机构负责。</w:t>
      </w:r>
    </w:p>
    <w:p w14:paraId="6050C42D">
      <w:pPr>
        <w:tabs>
          <w:tab w:val="left" w:pos="4680"/>
        </w:tabs>
        <w:spacing w:line="360" w:lineRule="auto"/>
        <w:ind w:firstLine="420" w:firstLineChars="200"/>
        <w:jc w:val="left"/>
        <w:rPr>
          <w:rFonts w:ascii="宋体" w:hAnsi="宋体"/>
          <w:szCs w:val="21"/>
        </w:rPr>
      </w:pPr>
      <w:r>
        <w:rPr>
          <w:rFonts w:hint="eastAsia" w:ascii="宋体" w:hAnsi="宋体"/>
          <w:szCs w:val="21"/>
        </w:rPr>
        <w:t>2、基金管理人应在每个交易日按本协议相关规定向基金托管人发送基金管理人确认的申购、赎回和转换</w:t>
      </w:r>
      <w:r>
        <w:rPr>
          <w:rFonts w:hint="eastAsia" w:ascii="宋体" w:hAnsi="宋体"/>
          <w:szCs w:val="21"/>
          <w:lang w:eastAsia="zh-Hans"/>
        </w:rPr>
        <w:t>本</w:t>
      </w:r>
      <w:r>
        <w:rPr>
          <w:rFonts w:hint="eastAsia" w:ascii="宋体" w:hAnsi="宋体"/>
          <w:szCs w:val="21"/>
        </w:rPr>
        <w:t>基金的有关数据，并对上述数据的真实、准确、完整性负责。基金托管人应及时查收申购及转入资金的到账情况并根据基金管理人指令及时划付赎回及转出款项。基金管理人应保证本基金（或本基金管理人委托）的登记机构每个工作日15:00 前向基金托管人发送前一开放日的上述有关数据，并保证相关数据的准确、完整。</w:t>
      </w:r>
    </w:p>
    <w:p w14:paraId="14AF29F1">
      <w:pPr>
        <w:tabs>
          <w:tab w:val="left" w:pos="4680"/>
        </w:tabs>
        <w:spacing w:line="360" w:lineRule="auto"/>
        <w:ind w:firstLine="420" w:firstLineChars="200"/>
        <w:jc w:val="left"/>
        <w:rPr>
          <w:rFonts w:ascii="宋体" w:hAnsi="宋体"/>
          <w:szCs w:val="21"/>
        </w:rPr>
      </w:pPr>
      <w:r>
        <w:rPr>
          <w:rFonts w:hint="eastAsia" w:ascii="宋体" w:hAnsi="宋体"/>
          <w:szCs w:val="21"/>
        </w:rPr>
        <w:t>3、基金管理人通过与基金托管人建立的共同约定的数据传送系统发送申购赎回等有关数据，如因各种原因，该系统无法正常发送，双方可协商解决处理方式。由此引起基金或本协议一方损失的，由系统无法正常传送数据的一方承担赔偿责任，但不可抗力导致的情形除外；若由双方共同引起，根据各自过错程度承担相应责任。基金管理人向基金托管人发送的数据，双方各自按有关规定保存。</w:t>
      </w:r>
    </w:p>
    <w:p w14:paraId="0D226FCA">
      <w:pPr>
        <w:tabs>
          <w:tab w:val="left" w:pos="4680"/>
        </w:tabs>
        <w:spacing w:line="360" w:lineRule="auto"/>
        <w:ind w:firstLine="420" w:firstLineChars="200"/>
        <w:jc w:val="left"/>
        <w:rPr>
          <w:rFonts w:ascii="宋体" w:hAnsi="宋体"/>
          <w:szCs w:val="21"/>
        </w:rPr>
      </w:pPr>
      <w:r>
        <w:rPr>
          <w:rFonts w:hint="eastAsia" w:ascii="宋体" w:hAnsi="宋体"/>
          <w:szCs w:val="21"/>
        </w:rPr>
        <w:t>4、基金管理人应保证其发送的注册登记数据的接口规范与基金托管人的接口规范保持一致。</w:t>
      </w:r>
    </w:p>
    <w:p w14:paraId="102A8465">
      <w:pPr>
        <w:tabs>
          <w:tab w:val="left" w:pos="4680"/>
        </w:tabs>
        <w:spacing w:line="360" w:lineRule="auto"/>
        <w:ind w:firstLine="420" w:firstLineChars="200"/>
        <w:jc w:val="left"/>
        <w:rPr>
          <w:rFonts w:ascii="宋体" w:hAnsi="宋体"/>
          <w:szCs w:val="21"/>
        </w:rPr>
      </w:pPr>
      <w:r>
        <w:rPr>
          <w:rFonts w:hint="eastAsia" w:ascii="宋体" w:hAnsi="宋体"/>
          <w:szCs w:val="21"/>
        </w:rPr>
        <w:t>5、基金注册登记清算专用账户的开立和管理</w:t>
      </w:r>
    </w:p>
    <w:p w14:paraId="5F22FDBA">
      <w:pPr>
        <w:tabs>
          <w:tab w:val="left" w:pos="4680"/>
        </w:tabs>
        <w:spacing w:line="360" w:lineRule="auto"/>
        <w:ind w:firstLine="420" w:firstLineChars="200"/>
        <w:jc w:val="left"/>
        <w:rPr>
          <w:rFonts w:ascii="宋体" w:hAnsi="宋体"/>
          <w:szCs w:val="21"/>
        </w:rPr>
      </w:pPr>
      <w:r>
        <w:rPr>
          <w:rFonts w:hint="eastAsia" w:ascii="宋体" w:hAnsi="宋体"/>
          <w:szCs w:val="21"/>
        </w:rPr>
        <w:t>为满足申购、赎回等资金汇划的需要，基金管理人应开立用于基金申购、赎回等资金清算的基金注册登记清算专用账户。</w:t>
      </w:r>
    </w:p>
    <w:p w14:paraId="2ACF6B40">
      <w:pPr>
        <w:tabs>
          <w:tab w:val="left" w:pos="4680"/>
        </w:tabs>
        <w:spacing w:line="360" w:lineRule="auto"/>
        <w:ind w:firstLine="420" w:firstLineChars="200"/>
        <w:jc w:val="left"/>
        <w:rPr>
          <w:rFonts w:ascii="宋体" w:hAnsi="宋体"/>
          <w:kern w:val="21"/>
          <w:szCs w:val="21"/>
        </w:rPr>
      </w:pPr>
      <w:r>
        <w:rPr>
          <w:rFonts w:hint="eastAsia" w:ascii="宋体" w:hAnsi="宋体"/>
          <w:szCs w:val="21"/>
        </w:rPr>
        <w:t>6、</w:t>
      </w:r>
      <w:r>
        <w:rPr>
          <w:rFonts w:hint="eastAsia" w:ascii="宋体" w:hAnsi="宋体"/>
          <w:kern w:val="21"/>
          <w:szCs w:val="21"/>
        </w:rPr>
        <w:t>对于基金申购过程中产生的应收资产，应由基金管理人负责与有关当事人确定到账日期并通知基金托管人，到账日基金资产没有到达基金托管人处的，基金托管人应及时通知基金管理人采取措施进行催收，由此给基金造成损失的，基金管理人应负责向有关当事人追偿基金的损失，</w:t>
      </w:r>
      <w:r>
        <w:rPr>
          <w:rFonts w:hint="eastAsia" w:ascii="宋体" w:hAnsi="宋体"/>
          <w:szCs w:val="21"/>
        </w:rPr>
        <w:t>基金托管人不承担</w:t>
      </w:r>
      <w:r>
        <w:rPr>
          <w:rFonts w:hint="eastAsia" w:ascii="宋体" w:hAnsi="宋体"/>
          <w:szCs w:val="21"/>
          <w:lang w:eastAsia="zh-Hans"/>
        </w:rPr>
        <w:t>相应</w:t>
      </w:r>
      <w:r>
        <w:rPr>
          <w:rFonts w:hint="eastAsia" w:ascii="宋体" w:hAnsi="宋体"/>
          <w:szCs w:val="21"/>
        </w:rPr>
        <w:t>责任</w:t>
      </w:r>
      <w:r>
        <w:rPr>
          <w:rFonts w:hint="eastAsia" w:ascii="宋体" w:hAnsi="宋体"/>
          <w:kern w:val="21"/>
          <w:szCs w:val="21"/>
        </w:rPr>
        <w:t>。</w:t>
      </w:r>
    </w:p>
    <w:p w14:paraId="6C0049B6">
      <w:pPr>
        <w:tabs>
          <w:tab w:val="left" w:pos="4680"/>
        </w:tabs>
        <w:spacing w:line="360" w:lineRule="auto"/>
        <w:ind w:firstLine="420" w:firstLineChars="200"/>
        <w:jc w:val="left"/>
        <w:rPr>
          <w:rFonts w:ascii="宋体" w:hAnsi="宋体"/>
          <w:szCs w:val="21"/>
        </w:rPr>
      </w:pPr>
      <w:r>
        <w:rPr>
          <w:rFonts w:hint="eastAsia" w:ascii="宋体" w:hAnsi="宋体"/>
          <w:szCs w:val="21"/>
        </w:rPr>
        <w:t>7、赎回资金的支付</w:t>
      </w:r>
    </w:p>
    <w:p w14:paraId="628852DD">
      <w:pPr>
        <w:tabs>
          <w:tab w:val="left" w:pos="4680"/>
        </w:tabs>
        <w:spacing w:line="360" w:lineRule="auto"/>
        <w:ind w:firstLine="420" w:firstLineChars="200"/>
        <w:jc w:val="left"/>
        <w:rPr>
          <w:rFonts w:ascii="宋体" w:hAnsi="宋体"/>
          <w:szCs w:val="21"/>
        </w:rPr>
      </w:pPr>
      <w:r>
        <w:rPr>
          <w:rFonts w:hint="eastAsia" w:ascii="宋体" w:hAnsi="宋体"/>
          <w:szCs w:val="21"/>
        </w:rPr>
        <w:t>基金托管人在根据基金管理人指令支付赎回款时，如托管专户中本基金有足够的资金，基金托管人应按《基金合同》和本协议的规定支付；如托管专户中本基金有足额的资金且基金托管人有足够合理的时间进行划款，而基金托管人未及时执行合法合规的指令的，责任由基金托管人承担，但不可抗力导致的情形除外。因托管专户中本基金没有足够的资金，导致基金托管人不能按时支付，如是基金管理人的原因造成，责任由基金管理人承担，基金托管人不承担垫款义务，但基金托管人应及时通知基金管理人；如是除基金管理人、基金托管人外的第三方原因造成的，责任由第三方承担，基金托管人不承担垫款义务，若给基金份额持有人造成损失的，基金托管人负有配合基金管理人向第三方追偿的义务。</w:t>
      </w:r>
    </w:p>
    <w:p w14:paraId="38F3DC7A">
      <w:pPr>
        <w:tabs>
          <w:tab w:val="left" w:pos="4680"/>
        </w:tabs>
        <w:spacing w:line="360" w:lineRule="auto"/>
        <w:ind w:firstLine="420" w:firstLineChars="200"/>
        <w:jc w:val="left"/>
        <w:rPr>
          <w:rFonts w:ascii="宋体" w:hAnsi="宋体"/>
          <w:szCs w:val="21"/>
        </w:rPr>
      </w:pPr>
      <w:r>
        <w:rPr>
          <w:rFonts w:hint="eastAsia" w:ascii="宋体" w:hAnsi="宋体"/>
          <w:szCs w:val="21"/>
        </w:rPr>
        <w:t>8、资金支付执行和责任界定</w:t>
      </w:r>
    </w:p>
    <w:p w14:paraId="6AEB0415">
      <w:pPr>
        <w:tabs>
          <w:tab w:val="left" w:pos="4680"/>
        </w:tabs>
        <w:spacing w:line="360" w:lineRule="auto"/>
        <w:ind w:firstLine="420" w:firstLineChars="200"/>
        <w:jc w:val="left"/>
        <w:rPr>
          <w:rFonts w:ascii="宋体" w:hAnsi="宋体"/>
          <w:szCs w:val="21"/>
        </w:rPr>
      </w:pPr>
      <w:r>
        <w:rPr>
          <w:rFonts w:hint="eastAsia" w:ascii="宋体" w:hAnsi="宋体"/>
          <w:szCs w:val="21"/>
        </w:rPr>
        <w:t xml:space="preserve"> 除申购款项到达基金托管人处的基金账户需双方按约定方式对账外，净额划出、赎回资金支付时，应按照本协议相关规定执行。若本协议没有规定的按双方协商一致内容执行。</w:t>
      </w:r>
    </w:p>
    <w:p w14:paraId="129DB1E1">
      <w:pPr>
        <w:tabs>
          <w:tab w:val="left" w:pos="4680"/>
        </w:tabs>
        <w:spacing w:line="360" w:lineRule="auto"/>
        <w:ind w:firstLine="420" w:firstLineChars="200"/>
        <w:jc w:val="left"/>
        <w:rPr>
          <w:rFonts w:ascii="宋体" w:hAnsi="宋体"/>
          <w:szCs w:val="21"/>
        </w:rPr>
      </w:pPr>
      <w:r>
        <w:rPr>
          <w:rFonts w:hint="eastAsia" w:ascii="宋体" w:hAnsi="宋体"/>
          <w:szCs w:val="21"/>
        </w:rPr>
        <w:t>基金管理人和基金托管人应采取所有必要措施确保申购和赎回等资金在本协议相关规定的时间内划到指定账户。但由于基金管理人和基金托管人之外的第三方原因、不可抗力原因导致资金不能按时到账的，基金管理人和基金托管人不承担由此产生的责任。如因此给基金造成损失的，基金管理人应负责向第三方追偿，基金托管人有义务协助追偿。</w:t>
      </w:r>
    </w:p>
    <w:p w14:paraId="7962F9E8">
      <w:pPr>
        <w:tabs>
          <w:tab w:val="left" w:pos="4680"/>
        </w:tabs>
        <w:spacing w:line="360" w:lineRule="auto"/>
        <w:ind w:firstLine="420" w:firstLineChars="200"/>
        <w:jc w:val="left"/>
        <w:rPr>
          <w:rFonts w:ascii="宋体" w:hAnsi="宋体"/>
          <w:szCs w:val="21"/>
        </w:rPr>
      </w:pPr>
      <w:r>
        <w:rPr>
          <w:rFonts w:hint="eastAsia" w:ascii="宋体" w:hAnsi="宋体"/>
          <w:szCs w:val="21"/>
        </w:rPr>
        <w:t>9、暂停赎回和巨额赎回处理</w:t>
      </w:r>
    </w:p>
    <w:p w14:paraId="74FF9309">
      <w:pPr>
        <w:tabs>
          <w:tab w:val="left" w:pos="4680"/>
        </w:tabs>
        <w:spacing w:line="360" w:lineRule="auto"/>
        <w:ind w:firstLine="420" w:firstLineChars="200"/>
        <w:jc w:val="left"/>
        <w:rPr>
          <w:rFonts w:ascii="宋体" w:hAnsi="宋体"/>
          <w:szCs w:val="21"/>
        </w:rPr>
      </w:pPr>
      <w:r>
        <w:rPr>
          <w:rFonts w:hint="eastAsia" w:ascii="宋体" w:hAnsi="宋体"/>
          <w:szCs w:val="21"/>
        </w:rPr>
        <w:t>基金管理人应严格按照相关法律法规以及《基金合同》的规定，对暂停赎回的情形进行相应处理，并在发生暂停赎回的当日及时以双方认可的形式通知基金托管人。基金管理人应严格按照相关法律法规以及《基金合同》的规定，对巨额赎回的情形进行相应处理，并在决定部分延期赎回的当日及时以双方认可的形式通知基金托管人。</w:t>
      </w:r>
    </w:p>
    <w:p w14:paraId="4ED695B3">
      <w:pPr>
        <w:tabs>
          <w:tab w:val="left" w:pos="4680"/>
        </w:tabs>
        <w:spacing w:line="360" w:lineRule="auto"/>
        <w:ind w:firstLine="420" w:firstLineChars="200"/>
        <w:jc w:val="left"/>
        <w:outlineLvl w:val="1"/>
        <w:rPr>
          <w:rFonts w:ascii="宋体" w:hAnsi="宋体"/>
          <w:szCs w:val="21"/>
        </w:rPr>
      </w:pPr>
      <w:r>
        <w:rPr>
          <w:rFonts w:hint="eastAsia" w:ascii="宋体" w:hAnsi="宋体"/>
          <w:szCs w:val="21"/>
        </w:rPr>
        <w:t>（六）申购赎回资金结算</w:t>
      </w:r>
    </w:p>
    <w:p w14:paraId="3E5CB997">
      <w:pPr>
        <w:tabs>
          <w:tab w:val="left" w:pos="4680"/>
        </w:tabs>
        <w:spacing w:line="360" w:lineRule="auto"/>
        <w:ind w:firstLine="420" w:firstLineChars="200"/>
        <w:jc w:val="left"/>
        <w:rPr>
          <w:rFonts w:ascii="宋体" w:hAnsi="宋体"/>
          <w:szCs w:val="21"/>
        </w:rPr>
      </w:pPr>
      <w:r>
        <w:rPr>
          <w:rFonts w:hint="eastAsia" w:ascii="宋体" w:hAnsi="宋体"/>
          <w:szCs w:val="21"/>
        </w:rPr>
        <w:t>1、基金管理人负责根据T日投资人申购、赎回基金的确认数据汇总传输给基金托管人。基金管理人和基金托管人据此进行申购、赎回的基金会计处理。</w:t>
      </w:r>
    </w:p>
    <w:p w14:paraId="78A11E12">
      <w:pPr>
        <w:tabs>
          <w:tab w:val="left" w:pos="4680"/>
        </w:tabs>
        <w:spacing w:line="360" w:lineRule="auto"/>
        <w:ind w:firstLine="420" w:firstLineChars="200"/>
        <w:jc w:val="left"/>
        <w:rPr>
          <w:rFonts w:ascii="宋体" w:hAnsi="宋体"/>
          <w:szCs w:val="21"/>
        </w:rPr>
      </w:pPr>
      <w:r>
        <w:rPr>
          <w:rFonts w:hint="eastAsia" w:ascii="宋体" w:hAnsi="宋体"/>
          <w:szCs w:val="21"/>
        </w:rPr>
        <w:t>T日申购、赎回申请的对应款项在</w:t>
      </w:r>
      <w:r>
        <w:rPr>
          <w:rFonts w:ascii="宋体" w:hAnsi="宋体"/>
          <w:szCs w:val="21"/>
        </w:rPr>
        <w:t>指定时间进行</w:t>
      </w:r>
      <w:r>
        <w:rPr>
          <w:rFonts w:hint="eastAsia" w:ascii="宋体" w:hAnsi="宋体"/>
          <w:szCs w:val="21"/>
        </w:rPr>
        <w:t>交收。基金托管账户与“基金清算账户”间的资金结算遵循“全额清算、净额交收”的原则，每日按照托管账户应收资金与应付资金的差额来确定当日托管账户净应收额或净应付额，以此确定资金交收额。如存在托管账户净应收额时，基金管理人应在交收</w:t>
      </w:r>
      <w:r>
        <w:rPr>
          <w:rFonts w:ascii="宋体" w:hAnsi="宋体"/>
          <w:szCs w:val="21"/>
        </w:rPr>
        <w:t>日</w:t>
      </w:r>
      <w:r>
        <w:rPr>
          <w:rFonts w:hint="eastAsia" w:ascii="宋体" w:hAnsi="宋体"/>
          <w:szCs w:val="21"/>
        </w:rPr>
        <w:t>17:00之前从基金清算账户划到基金托管账户，基金托管人在资金到账后应立即通知基金管理人，并将有关书面凭证传真给基金管理人进行账务管理；如存在托管账户净应付额时，基金管理人应在前一工作日将划款指令发送给基金托管人，基金托管人按基金管理人的划款指令将托管账户净应付额在交收日12:00 之前划往基金清算账户，基金托管人在资金划出后立即通知基金管理人，并将有关书面凭证交给基金管理人进行账务管理。</w:t>
      </w:r>
    </w:p>
    <w:p w14:paraId="11AA9E42">
      <w:pPr>
        <w:tabs>
          <w:tab w:val="left" w:pos="4680"/>
        </w:tabs>
        <w:spacing w:line="360" w:lineRule="auto"/>
        <w:ind w:firstLine="420" w:firstLineChars="200"/>
        <w:jc w:val="left"/>
        <w:rPr>
          <w:rFonts w:ascii="宋体" w:hAnsi="宋体"/>
          <w:szCs w:val="21"/>
        </w:rPr>
      </w:pPr>
      <w:r>
        <w:rPr>
          <w:rFonts w:hint="eastAsia" w:ascii="宋体" w:hAnsi="宋体"/>
          <w:szCs w:val="21"/>
        </w:rPr>
        <w:t>当存在托管账户净应付额时，如基金银行账户有足够的资金，基金托管人应按时拨付；因基金银行账户没有足够的资金，导致基金托管人不能按时拨付，基金托管人应及时通知基金管理人，如系基金管理人的原因造成，责任由基金管理人承担，基金托管人不承担垫款义务。</w:t>
      </w:r>
    </w:p>
    <w:p w14:paraId="582C79B5">
      <w:pPr>
        <w:tabs>
          <w:tab w:val="left" w:pos="4680"/>
        </w:tabs>
        <w:spacing w:line="360" w:lineRule="auto"/>
        <w:ind w:firstLine="420" w:firstLineChars="200"/>
        <w:jc w:val="left"/>
        <w:outlineLvl w:val="1"/>
        <w:rPr>
          <w:rFonts w:ascii="宋体" w:hAnsi="宋体"/>
          <w:bCs/>
          <w:szCs w:val="21"/>
        </w:rPr>
      </w:pPr>
      <w:r>
        <w:rPr>
          <w:rFonts w:hint="eastAsia" w:ascii="宋体" w:hAnsi="宋体"/>
          <w:bCs/>
          <w:szCs w:val="21"/>
        </w:rPr>
        <w:t>（七）基金转换</w:t>
      </w:r>
    </w:p>
    <w:p w14:paraId="7764EE91">
      <w:pPr>
        <w:tabs>
          <w:tab w:val="left" w:pos="4680"/>
        </w:tabs>
        <w:spacing w:line="360" w:lineRule="auto"/>
        <w:ind w:firstLine="420" w:firstLineChars="200"/>
        <w:jc w:val="left"/>
        <w:rPr>
          <w:rFonts w:ascii="宋体" w:hAnsi="宋体"/>
          <w:szCs w:val="21"/>
        </w:rPr>
      </w:pPr>
      <w:r>
        <w:rPr>
          <w:rFonts w:hint="eastAsia" w:ascii="宋体" w:hAnsi="宋体"/>
          <w:szCs w:val="21"/>
        </w:rPr>
        <w:t>基金管理人与基金托管人按照相关法律法规、《基金合同》、以及本协议的规定办理基金转换。</w:t>
      </w:r>
    </w:p>
    <w:p w14:paraId="7574920F">
      <w:pPr>
        <w:tabs>
          <w:tab w:val="left" w:pos="4680"/>
        </w:tabs>
        <w:spacing w:line="360" w:lineRule="auto"/>
        <w:ind w:firstLine="420" w:firstLineChars="200"/>
        <w:jc w:val="left"/>
        <w:outlineLvl w:val="1"/>
        <w:rPr>
          <w:rFonts w:ascii="宋体" w:hAnsi="宋体"/>
          <w:bCs/>
          <w:szCs w:val="21"/>
        </w:rPr>
      </w:pPr>
      <w:r>
        <w:rPr>
          <w:rFonts w:hint="eastAsia" w:ascii="宋体" w:hAnsi="宋体"/>
          <w:bCs/>
          <w:szCs w:val="21"/>
        </w:rPr>
        <w:t>(八)基金出现超买或超卖的责任认定及处理程序</w:t>
      </w:r>
    </w:p>
    <w:p w14:paraId="0EF09B77">
      <w:pPr>
        <w:spacing w:line="360" w:lineRule="auto"/>
        <w:ind w:firstLine="420" w:firstLineChars="200"/>
        <w:rPr>
          <w:rFonts w:ascii="宋体" w:hAnsi="宋体"/>
          <w:szCs w:val="21"/>
        </w:rPr>
      </w:pPr>
      <w:r>
        <w:rPr>
          <w:rFonts w:hint="eastAsia" w:ascii="宋体" w:hAnsi="宋体"/>
          <w:szCs w:val="21"/>
        </w:rPr>
        <w:t>基金托管人在履行监督职能时，如果发现基金投资证券过程中出现超买或超卖现象，应立即提醒基金管理人，由基金管理人负责解决，由此给基金及基金托管人造成的损失由基金管理人承担。如果因基金管理人原因发生超买行为，基金管理人必须于T+1日上午12时之前划拨资金，用以完成清算交收。</w:t>
      </w:r>
    </w:p>
    <w:p w14:paraId="70D88871">
      <w:pPr>
        <w:pStyle w:val="2"/>
        <w:keepNext w:val="0"/>
        <w:keepLines w:val="0"/>
        <w:numPr>
          <w:ilvl w:val="0"/>
          <w:numId w:val="2"/>
        </w:numPr>
        <w:tabs>
          <w:tab w:val="left" w:pos="420"/>
        </w:tabs>
        <w:autoSpaceDE w:val="0"/>
        <w:autoSpaceDN w:val="0"/>
        <w:adjustRightInd w:val="0"/>
        <w:spacing w:before="360" w:after="360"/>
        <w:textAlignment w:val="baseline"/>
        <w:rPr>
          <w:rFonts w:ascii="宋体" w:hAnsi="宋体" w:eastAsia="宋体" w:cs="Arial"/>
          <w:sz w:val="21"/>
          <w:szCs w:val="21"/>
        </w:rPr>
      </w:pPr>
      <w:bookmarkStart w:id="44" w:name="_Toc382819103"/>
      <w:r>
        <w:rPr>
          <w:rFonts w:hint="eastAsia" w:ascii="宋体" w:hAnsi="宋体" w:eastAsia="宋体" w:cs="Arial"/>
          <w:sz w:val="21"/>
          <w:szCs w:val="21"/>
        </w:rPr>
        <w:t>基金资产净值计算和会计核算</w:t>
      </w:r>
      <w:bookmarkEnd w:id="44"/>
    </w:p>
    <w:p w14:paraId="521A653B">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45" w:name="_Toc382819104"/>
      <w:r>
        <w:rPr>
          <w:rFonts w:hint="eastAsia" w:ascii="宋体" w:hAnsi="宋体" w:eastAsia="宋体"/>
          <w:b w:val="0"/>
          <w:bCs w:val="0"/>
          <w:sz w:val="21"/>
          <w:szCs w:val="21"/>
        </w:rPr>
        <w:t>（一）基金资产净值的计算</w:t>
      </w:r>
      <w:r>
        <w:rPr>
          <w:rFonts w:hint="eastAsia" w:ascii="宋体" w:hAnsi="宋体" w:eastAsia="宋体"/>
          <w:sz w:val="21"/>
          <w:szCs w:val="21"/>
        </w:rPr>
        <w:t>、</w:t>
      </w:r>
      <w:r>
        <w:rPr>
          <w:rFonts w:hint="eastAsia" w:ascii="宋体" w:hAnsi="宋体" w:eastAsia="宋体"/>
          <w:b w:val="0"/>
          <w:bCs w:val="0"/>
          <w:sz w:val="21"/>
          <w:szCs w:val="21"/>
        </w:rPr>
        <w:t>复核的时间和程序</w:t>
      </w:r>
      <w:bookmarkEnd w:id="45"/>
    </w:p>
    <w:p w14:paraId="723CC55C">
      <w:pPr>
        <w:spacing w:line="440" w:lineRule="atLeast"/>
        <w:ind w:right="28" w:firstLine="420" w:firstLineChars="200"/>
        <w:rPr>
          <w:rFonts w:ascii="宋体" w:hAnsi="宋体"/>
          <w:szCs w:val="21"/>
        </w:rPr>
      </w:pPr>
      <w:r>
        <w:rPr>
          <w:rFonts w:hint="eastAsia" w:ascii="宋体" w:hAnsi="宋体"/>
          <w:szCs w:val="21"/>
        </w:rPr>
        <w:t>基金资产净值是指基金资产总值减去基金负债后的价值。</w:t>
      </w:r>
      <w:r>
        <w:rPr>
          <w:rFonts w:hint="eastAsia" w:ascii="宋体" w:hAnsi="宋体"/>
          <w:bCs/>
          <w:szCs w:val="21"/>
        </w:rPr>
        <w:t>各类</w:t>
      </w:r>
      <w:r>
        <w:rPr>
          <w:rFonts w:ascii="宋体" w:hAnsi="宋体"/>
          <w:bCs/>
          <w:szCs w:val="21"/>
        </w:rPr>
        <w:t>基金份额</w:t>
      </w:r>
      <w:r>
        <w:rPr>
          <w:rFonts w:hint="eastAsia" w:ascii="宋体" w:hAnsi="宋体"/>
          <w:bCs/>
          <w:szCs w:val="21"/>
        </w:rPr>
        <w:t>的</w:t>
      </w:r>
      <w:r>
        <w:rPr>
          <w:rFonts w:ascii="宋体" w:hAnsi="宋体"/>
          <w:bCs/>
          <w:szCs w:val="21"/>
        </w:rPr>
        <w:t>基金份额净值是按照每个工作日闭市后，</w:t>
      </w:r>
      <w:r>
        <w:rPr>
          <w:rFonts w:hint="eastAsia" w:ascii="宋体" w:hAnsi="宋体"/>
          <w:bCs/>
          <w:szCs w:val="21"/>
        </w:rPr>
        <w:t>该类基金份额的</w:t>
      </w:r>
      <w:r>
        <w:rPr>
          <w:rFonts w:ascii="宋体" w:hAnsi="宋体"/>
          <w:bCs/>
          <w:szCs w:val="21"/>
        </w:rPr>
        <w:t>基金资产净值除以当日</w:t>
      </w:r>
      <w:r>
        <w:rPr>
          <w:rFonts w:hint="eastAsia" w:ascii="宋体" w:hAnsi="宋体"/>
          <w:bCs/>
          <w:szCs w:val="21"/>
        </w:rPr>
        <w:t>该类</w:t>
      </w:r>
      <w:r>
        <w:rPr>
          <w:rFonts w:ascii="宋体" w:hAnsi="宋体"/>
          <w:bCs/>
          <w:szCs w:val="21"/>
        </w:rPr>
        <w:t>基金份额的余额数量计算，</w:t>
      </w:r>
      <w:r>
        <w:rPr>
          <w:rFonts w:hint="eastAsia" w:ascii="宋体" w:hAnsi="宋体"/>
          <w:bCs/>
          <w:szCs w:val="21"/>
        </w:rPr>
        <w:t>均</w:t>
      </w:r>
      <w:r>
        <w:rPr>
          <w:rFonts w:ascii="宋体" w:hAnsi="宋体"/>
          <w:bCs/>
          <w:szCs w:val="21"/>
        </w:rPr>
        <w:t>精确到</w:t>
      </w:r>
      <w:r>
        <w:rPr>
          <w:rFonts w:hint="eastAsia" w:ascii="宋体" w:hAnsi="宋体"/>
          <w:bCs/>
          <w:szCs w:val="21"/>
        </w:rPr>
        <w:t>0.0001</w:t>
      </w:r>
      <w:r>
        <w:rPr>
          <w:rFonts w:ascii="宋体" w:hAnsi="宋体"/>
          <w:bCs/>
          <w:szCs w:val="21"/>
        </w:rPr>
        <w:t>元，小数点后第</w:t>
      </w:r>
      <w:r>
        <w:rPr>
          <w:rFonts w:hint="eastAsia" w:ascii="宋体" w:hAnsi="宋体"/>
          <w:bCs/>
          <w:szCs w:val="21"/>
        </w:rPr>
        <w:t>5</w:t>
      </w:r>
      <w:r>
        <w:rPr>
          <w:rFonts w:ascii="宋体" w:hAnsi="宋体"/>
          <w:bCs/>
          <w:szCs w:val="21"/>
        </w:rPr>
        <w:t>位四舍五入</w:t>
      </w:r>
      <w:r>
        <w:rPr>
          <w:rFonts w:hint="eastAsia" w:ascii="宋体" w:hAnsi="宋体"/>
          <w:bCs/>
          <w:szCs w:val="21"/>
        </w:rPr>
        <w:t>，由此产生的误差计入基金财产</w:t>
      </w:r>
      <w:r>
        <w:rPr>
          <w:rFonts w:ascii="宋体" w:hAnsi="宋体"/>
          <w:bCs/>
          <w:szCs w:val="21"/>
        </w:rPr>
        <w:t>。</w:t>
      </w:r>
      <w:r>
        <w:rPr>
          <w:rFonts w:hint="eastAsia" w:ascii="宋体" w:hAnsi="宋体"/>
          <w:bCs/>
          <w:szCs w:val="21"/>
        </w:rPr>
        <w:t>基金管理人可以设立大额赎回情形下的净值精度应急调整机制，具体可参见相关公告。</w:t>
      </w:r>
      <w:r>
        <w:rPr>
          <w:rFonts w:ascii="宋体" w:hAnsi="宋体"/>
          <w:bCs/>
          <w:szCs w:val="21"/>
        </w:rPr>
        <w:t>国家另有规定的，从其规定。</w:t>
      </w:r>
    </w:p>
    <w:p w14:paraId="5524E619">
      <w:pPr>
        <w:spacing w:line="440" w:lineRule="atLeast"/>
        <w:ind w:right="28" w:firstLine="420" w:firstLineChars="200"/>
        <w:rPr>
          <w:rFonts w:ascii="宋体" w:hAnsi="宋体"/>
          <w:szCs w:val="21"/>
        </w:rPr>
      </w:pPr>
      <w:r>
        <w:rPr>
          <w:rFonts w:hint="eastAsia" w:ascii="宋体" w:hAnsi="宋体"/>
          <w:szCs w:val="21"/>
        </w:rPr>
        <w:t>每个工作日，基金管理人应对基金资产估值，但基金管理人根据法律法规或基金合同的规定暂停估值时除外。估值原则应符合《基金合同》、《证券投资基金会计核算业务指引》及其他法律、法规的规定</w:t>
      </w:r>
      <w:r>
        <w:rPr>
          <w:rFonts w:hint="eastAsia" w:ascii="宋体" w:hAnsi="宋体"/>
          <w:color w:val="000000"/>
          <w:szCs w:val="21"/>
        </w:rPr>
        <w:t>。</w:t>
      </w:r>
      <w:r>
        <w:rPr>
          <w:rFonts w:hint="eastAsia" w:ascii="宋体" w:hAnsi="宋体" w:cs="宋体"/>
          <w:color w:val="000000"/>
          <w:kern w:val="0"/>
          <w:szCs w:val="21"/>
        </w:rPr>
        <w:t>基金管理人应于每个工作日交易结束后计算当日的各类基金份额净值和基金资产净值并以双方认可的方式发送给基金托管人。基金托管人对净值计算结果复核后以双方认可的方式发送给基金管理人，由基金管理人按约定对外公布。</w:t>
      </w:r>
    </w:p>
    <w:p w14:paraId="563563D0">
      <w:pPr>
        <w:spacing w:line="440" w:lineRule="atLeast"/>
        <w:ind w:right="28" w:firstLine="420" w:firstLineChars="200"/>
        <w:rPr>
          <w:rFonts w:ascii="宋体" w:hAnsi="宋体"/>
          <w:szCs w:val="21"/>
        </w:rPr>
      </w:pPr>
      <w:r>
        <w:rPr>
          <w:rFonts w:hint="eastAsia" w:ascii="宋体" w:hAnsi="宋体"/>
          <w:szCs w:val="21"/>
        </w:rPr>
        <w:t>根据《基金法》等法律法规，基金管理人计算并公告基金净值信息，基金托管人复核、审查基金管理人计算的基金净值信息。本基金的基金会计责任方是基金管理人，就与本基金有关的会计问题，如经相关各方在平等基础上充分讨论后，仍无法达成一致的意见，按照基金管理人对基金净值信息的计算结果对外予以公布，但基金托管人应及时提示基金管理人按照有关法律法规进行信息披露。法律法规以及监管部门有强制规定的，从其规定。如有新增事项，按国家最新规定估值。</w:t>
      </w:r>
    </w:p>
    <w:p w14:paraId="4F1B4035">
      <w:pPr>
        <w:pStyle w:val="3"/>
        <w:keepNext w:val="0"/>
        <w:keepLines w:val="0"/>
        <w:autoSpaceDE w:val="0"/>
        <w:autoSpaceDN w:val="0"/>
        <w:adjustRightInd w:val="0"/>
        <w:spacing w:before="0" w:after="0" w:line="440" w:lineRule="atLeast"/>
        <w:ind w:firstLine="420" w:firstLineChars="200"/>
        <w:textAlignment w:val="baseline"/>
        <w:rPr>
          <w:rFonts w:ascii="宋体" w:hAnsi="宋体" w:eastAsia="宋体"/>
          <w:b w:val="0"/>
          <w:bCs w:val="0"/>
          <w:sz w:val="21"/>
          <w:szCs w:val="21"/>
        </w:rPr>
      </w:pPr>
      <w:bookmarkStart w:id="46" w:name="_Toc382819105"/>
      <w:r>
        <w:rPr>
          <w:rFonts w:hint="eastAsia" w:ascii="宋体" w:hAnsi="宋体" w:eastAsia="宋体"/>
          <w:b w:val="0"/>
          <w:bCs w:val="0"/>
          <w:sz w:val="21"/>
          <w:szCs w:val="21"/>
        </w:rPr>
        <w:t>（二）基金资产估值</w:t>
      </w:r>
      <w:bookmarkEnd w:id="46"/>
    </w:p>
    <w:p w14:paraId="5E93352E">
      <w:pPr>
        <w:spacing w:line="440" w:lineRule="atLeast"/>
        <w:ind w:right="28" w:firstLine="420" w:firstLineChars="200"/>
        <w:rPr>
          <w:rFonts w:ascii="宋体" w:hAnsi="宋体"/>
          <w:szCs w:val="21"/>
        </w:rPr>
      </w:pPr>
      <w:r>
        <w:rPr>
          <w:rFonts w:hint="eastAsia" w:ascii="宋体" w:hAnsi="宋体"/>
          <w:szCs w:val="21"/>
        </w:rPr>
        <w:t>估值原则应符合《基金合同》、《证券投资基金会计核算业务指引》及其他法律法规的规定的约定。</w:t>
      </w:r>
    </w:p>
    <w:p w14:paraId="2DD8043D">
      <w:pPr>
        <w:spacing w:line="440" w:lineRule="atLeast"/>
        <w:ind w:right="28" w:firstLine="420" w:firstLineChars="200"/>
        <w:rPr>
          <w:rFonts w:ascii="宋体" w:hAnsi="宋体"/>
          <w:szCs w:val="21"/>
        </w:rPr>
      </w:pPr>
      <w:r>
        <w:rPr>
          <w:rFonts w:hint="eastAsia" w:ascii="宋体" w:hAnsi="宋体"/>
          <w:szCs w:val="21"/>
        </w:rPr>
        <w:t>当相关法律法规或《基金合同》规定的估值方法不能客观反映基金财产公允价值时，基金管理人可根据具体情况，并与基金托管人商定后，按最能反映公允价值的价格估值。</w:t>
      </w:r>
    </w:p>
    <w:p w14:paraId="76820E2E">
      <w:pPr>
        <w:spacing w:line="440" w:lineRule="atLeast"/>
        <w:ind w:right="28" w:firstLine="420" w:firstLineChars="200"/>
        <w:rPr>
          <w:rFonts w:ascii="宋体" w:hAnsi="宋体"/>
          <w:szCs w:val="21"/>
        </w:rPr>
      </w:pPr>
      <w:r>
        <w:rPr>
          <w:rFonts w:hint="eastAsia" w:ascii="宋体" w:hAnsi="宋体"/>
          <w:szCs w:val="21"/>
        </w:rPr>
        <w:t>对于公开市场无法获取，仅能依赖基金管理人提供核算所需数据的情况，基金托管人不对该类数据的真实性、准确性、完整性负责。</w:t>
      </w:r>
    </w:p>
    <w:p w14:paraId="5013187B">
      <w:pPr>
        <w:pStyle w:val="3"/>
        <w:keepNext w:val="0"/>
        <w:keepLines w:val="0"/>
        <w:autoSpaceDE w:val="0"/>
        <w:autoSpaceDN w:val="0"/>
        <w:adjustRightInd w:val="0"/>
        <w:spacing w:before="0" w:after="0" w:line="440" w:lineRule="atLeast"/>
        <w:ind w:firstLine="420" w:firstLineChars="200"/>
        <w:textAlignment w:val="baseline"/>
        <w:rPr>
          <w:rFonts w:ascii="宋体" w:hAnsi="宋体"/>
          <w:szCs w:val="21"/>
        </w:rPr>
      </w:pPr>
      <w:bookmarkStart w:id="47" w:name="_Toc382819106"/>
      <w:r>
        <w:rPr>
          <w:rFonts w:hint="eastAsia" w:ascii="宋体" w:hAnsi="宋体" w:eastAsia="宋体"/>
          <w:b w:val="0"/>
          <w:bCs w:val="0"/>
          <w:sz w:val="21"/>
          <w:szCs w:val="21"/>
        </w:rPr>
        <w:t>（三）实施侧袋机制期间的基金资产估值</w:t>
      </w:r>
    </w:p>
    <w:p w14:paraId="70476EBE">
      <w:pPr>
        <w:spacing w:line="440" w:lineRule="atLeast"/>
        <w:ind w:right="28" w:firstLine="420" w:firstLineChars="200"/>
        <w:rPr>
          <w:rFonts w:ascii="宋体" w:hAnsi="宋体"/>
          <w:szCs w:val="21"/>
        </w:rPr>
      </w:pPr>
      <w:r>
        <w:rPr>
          <w:rFonts w:hint="eastAsia" w:ascii="宋体" w:hAnsi="宋体"/>
          <w:szCs w:val="21"/>
        </w:rPr>
        <w:t>本基金实施侧袋机制的，应根据基金合同的约定对主袋账户资产进行估值并披露主袋账户的基金净值信息，暂停披露侧袋账户份额净值。</w:t>
      </w:r>
    </w:p>
    <w:p w14:paraId="441BD736">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r>
        <w:rPr>
          <w:rFonts w:hint="eastAsia" w:ascii="宋体" w:hAnsi="宋体" w:eastAsia="宋体"/>
          <w:b w:val="0"/>
          <w:bCs w:val="0"/>
          <w:sz w:val="21"/>
          <w:szCs w:val="21"/>
        </w:rPr>
        <w:t>（四）估值错误处理</w:t>
      </w:r>
      <w:bookmarkEnd w:id="47"/>
    </w:p>
    <w:p w14:paraId="1C63BA3C">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48" w:name="_Toc382819107"/>
      <w:r>
        <w:rPr>
          <w:rFonts w:hint="eastAsia" w:ascii="宋体" w:hAnsi="宋体" w:eastAsia="宋体"/>
          <w:b w:val="0"/>
          <w:bCs w:val="0"/>
          <w:sz w:val="21"/>
          <w:szCs w:val="21"/>
        </w:rPr>
        <w:t>1.当任一类基金份额净值小数点后</w:t>
      </w:r>
      <w:r>
        <w:rPr>
          <w:rFonts w:ascii="宋体" w:hAnsi="宋体" w:eastAsia="宋体"/>
          <w:b w:val="0"/>
          <w:bCs w:val="0"/>
          <w:sz w:val="21"/>
          <w:szCs w:val="21"/>
        </w:rPr>
        <w:t>4位以内(含第4位)</w:t>
      </w:r>
      <w:r>
        <w:rPr>
          <w:rFonts w:hint="eastAsia" w:ascii="宋体" w:hAnsi="宋体" w:eastAsia="宋体"/>
          <w:b w:val="0"/>
          <w:bCs w:val="0"/>
          <w:sz w:val="21"/>
          <w:szCs w:val="21"/>
        </w:rPr>
        <w:t>发生估值错误时，视为该类基金份额净值错误；基金份额净值计算出现错误时，基金管理人应当立即予以纠正，通报基金托管人，并采取合理的措施防止损失进一步扩大；任一类基金份额的错误偏差达到该类基金份额净值的0.25%时，基金管理人应当通报基金托管人并报中国证监会备案；错误偏差达到该类基金份额净值的0.5%时，基金管理人应当公告并报中国证监会备案；当发生净值计算错误时，由基金管理人负责处理，由此给基金份额持有人和基金造成损失的，应由基金管理人先行赔付，基金管理人按差错情形，有权向其他当事人追偿。</w:t>
      </w:r>
      <w:bookmarkEnd w:id="48"/>
    </w:p>
    <w:p w14:paraId="071BF6AE">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49" w:name="_Toc382819108"/>
      <w:r>
        <w:rPr>
          <w:rFonts w:hint="eastAsia" w:ascii="宋体" w:hAnsi="宋体" w:eastAsia="宋体"/>
          <w:b w:val="0"/>
          <w:bCs w:val="0"/>
          <w:sz w:val="21"/>
          <w:szCs w:val="21"/>
        </w:rPr>
        <w:t>2.当因基金管理人和基金托管人原因致使基金份额净值计算差错给基金和基金份额持有人造成损失需要进行赔偿时，基金管理人和基金托管人应根据实际情况界定双方承担的责任，经确认后按以下条款进行赔偿：</w:t>
      </w:r>
      <w:bookmarkEnd w:id="49"/>
    </w:p>
    <w:p w14:paraId="16ED75C3">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50" w:name="_Toc382819109"/>
      <w:r>
        <w:rPr>
          <w:rFonts w:hint="eastAsia" w:ascii="宋体" w:hAnsi="宋体" w:eastAsia="宋体"/>
          <w:b w:val="0"/>
          <w:bCs w:val="0"/>
          <w:sz w:val="21"/>
          <w:szCs w:val="21"/>
        </w:rPr>
        <w:t>（1）本基金的基金会计责任方由基金管理人担任，与本基金有关的会计问题，如经双方在平等基础上充分讨论后，尚不能达成一致时，按基金管理人的建议执行，由此给基金份额持有人和基金财产造成的直接损失，由基金管理人负责赔付。</w:t>
      </w:r>
    </w:p>
    <w:p w14:paraId="0565BBEA">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r>
        <w:rPr>
          <w:rFonts w:hint="eastAsia" w:ascii="宋体" w:hAnsi="宋体" w:eastAsia="宋体"/>
          <w:b w:val="0"/>
          <w:bCs w:val="0"/>
          <w:sz w:val="21"/>
          <w:szCs w:val="21"/>
        </w:rPr>
        <w:t>（2）若基金管理人计算的基金份额净值已由基金托管人复核确认后公告，而且基金托管人未对计算过程提出疑义或要求基金管理人书面说明的，在基金份额净值出错且造成基金份额持有人直接损失的，应根据法律法规的规定对基金份额持有人或基金支付赔偿金，对于向基金份额持有人或基金支付的赔偿金额，基金管理人与基金托管人按照各自收取的管理费和托管费的比例承担相应的责任。</w:t>
      </w:r>
    </w:p>
    <w:p w14:paraId="2E5C0C5E">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r>
        <w:rPr>
          <w:rFonts w:hint="eastAsia" w:ascii="宋体" w:hAnsi="宋体" w:eastAsia="宋体"/>
          <w:b w:val="0"/>
          <w:bCs w:val="0"/>
          <w:sz w:val="21"/>
          <w:szCs w:val="21"/>
        </w:rPr>
        <w:t>（3）如基金管理人和基金托管人对基金份额净值的计算结果，虽然多次重新计算和核对，尚不能达成一致时，为避免不能按时公布基金份额净值的情形，以基金管理人的计算结果对外公布，由此给基金份额持有人和基金造成的直接损失，由基金管理人负责赔付。</w:t>
      </w:r>
    </w:p>
    <w:p w14:paraId="40C482DA">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r>
        <w:rPr>
          <w:rFonts w:hint="eastAsia" w:ascii="宋体" w:hAnsi="宋体" w:eastAsia="宋体"/>
          <w:b w:val="0"/>
          <w:bCs w:val="0"/>
          <w:sz w:val="21"/>
          <w:szCs w:val="21"/>
        </w:rPr>
        <w:t>（4）由于基金管理人提供的信息错误（包括但不限于基金申购或赎回金额等），导致基金份额净值计算错误而引起的基金份额持有人和基金财产的损失，由基金管理人负责赔付。</w:t>
      </w:r>
      <w:bookmarkEnd w:id="50"/>
      <w:bookmarkStart w:id="51" w:name="_Toc382819110"/>
    </w:p>
    <w:p w14:paraId="20DB49EB">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52" w:name="_Hlk196310639"/>
      <w:r>
        <w:rPr>
          <w:rFonts w:hint="eastAsia" w:ascii="宋体" w:hAnsi="宋体" w:eastAsia="宋体"/>
          <w:b w:val="0"/>
          <w:bCs w:val="0"/>
          <w:sz w:val="21"/>
          <w:szCs w:val="21"/>
        </w:rPr>
        <w:t>3.</w:t>
      </w:r>
      <w:r>
        <w:rPr>
          <w:rFonts w:hint="eastAsia"/>
        </w:rPr>
        <w:t xml:space="preserve"> </w:t>
      </w:r>
      <w:r>
        <w:rPr>
          <w:rFonts w:hint="eastAsia" w:ascii="宋体" w:hAnsi="宋体" w:eastAsia="宋体"/>
          <w:b w:val="0"/>
          <w:bCs w:val="0"/>
          <w:sz w:val="21"/>
          <w:szCs w:val="21"/>
        </w:rPr>
        <w:t>由于不可抗力原因，或由于证券、期货交易所、证券经纪机构、期货公司及登记结算公司等第三方机构发送的数据错误，或国家会计政策变更、市场规则变更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bookmarkEnd w:id="51"/>
      <w:bookmarkStart w:id="53" w:name="_Toc382819111"/>
    </w:p>
    <w:bookmarkEnd w:id="52"/>
    <w:p w14:paraId="440BA733">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r>
        <w:rPr>
          <w:rFonts w:hint="eastAsia" w:ascii="宋体" w:hAnsi="宋体" w:eastAsia="宋体"/>
          <w:b w:val="0"/>
          <w:bCs w:val="0"/>
          <w:sz w:val="21"/>
          <w:szCs w:val="21"/>
        </w:rPr>
        <w:t>4.基金管理人和基金托管人由于各自技术系统设置而产生的净值计算尾差，以基金管理人计算结果为准。</w:t>
      </w:r>
      <w:bookmarkEnd w:id="53"/>
      <w:bookmarkStart w:id="54" w:name="_Toc382819112"/>
    </w:p>
    <w:p w14:paraId="736C2395">
      <w:pPr>
        <w:spacing w:line="440" w:lineRule="atLeast"/>
        <w:ind w:right="28" w:firstLine="420" w:firstLineChars="200"/>
        <w:rPr>
          <w:rFonts w:ascii="宋体" w:hAnsi="宋体"/>
          <w:szCs w:val="21"/>
        </w:rPr>
      </w:pPr>
      <w:r>
        <w:rPr>
          <w:rFonts w:hint="eastAsia" w:ascii="宋体" w:hAnsi="宋体"/>
          <w:szCs w:val="21"/>
        </w:rPr>
        <w:t>5.基金托管人凭借自身托管系统数据及外部资讯信息等必要数据，仅在实际可控制的能力范围内，勤勉尽责的履行上述监督责任。对于超过自身实际控制范围的事项，基金托管人不承担监督责任。</w:t>
      </w:r>
    </w:p>
    <w:p w14:paraId="1B5A9C0F"/>
    <w:p w14:paraId="5341BDF7">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r>
        <w:rPr>
          <w:rFonts w:hint="eastAsia" w:ascii="宋体" w:hAnsi="宋体" w:eastAsia="宋体"/>
          <w:b w:val="0"/>
          <w:bCs w:val="0"/>
          <w:sz w:val="21"/>
          <w:szCs w:val="21"/>
        </w:rPr>
        <w:t>6.前述内容如法律法规或者监管部门另有规定的，从其规定。如果行业另有通行做法，双方当事人应本着平等和保护基金份额持有人利益的原则进行协商。</w:t>
      </w:r>
      <w:bookmarkEnd w:id="54"/>
      <w:bookmarkStart w:id="55" w:name="_Toc382819113"/>
    </w:p>
    <w:p w14:paraId="0D5C4EE9">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56" w:name="_Hlk196310644"/>
      <w:r>
        <w:rPr>
          <w:rFonts w:hint="eastAsia" w:ascii="宋体" w:hAnsi="宋体" w:eastAsia="宋体"/>
          <w:b w:val="0"/>
          <w:bCs w:val="0"/>
          <w:sz w:val="21"/>
          <w:szCs w:val="21"/>
        </w:rPr>
        <w:t>（五）暂停估值的情形</w:t>
      </w:r>
      <w:bookmarkEnd w:id="55"/>
      <w:bookmarkStart w:id="57" w:name="_Toc382819114"/>
    </w:p>
    <w:p w14:paraId="4C6C7BD5">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r>
        <w:rPr>
          <w:rFonts w:hint="eastAsia" w:ascii="宋体" w:hAnsi="宋体" w:eastAsia="宋体"/>
          <w:b w:val="0"/>
          <w:bCs w:val="0"/>
          <w:sz w:val="21"/>
          <w:szCs w:val="21"/>
        </w:rPr>
        <w:t>1.</w:t>
      </w:r>
      <w:bookmarkStart w:id="58" w:name="OLE_LINK15"/>
      <w:bookmarkStart w:id="59" w:name="OLE_LINK16"/>
      <w:r>
        <w:rPr>
          <w:rFonts w:hint="eastAsia" w:ascii="宋体" w:hAnsi="宋体" w:eastAsia="宋体"/>
          <w:b w:val="0"/>
          <w:bCs w:val="0"/>
          <w:sz w:val="21"/>
          <w:szCs w:val="21"/>
        </w:rPr>
        <w:t>基金投资所涉及的证券、期货交易市场遇法定节假日或因其他原因暂停营业时</w:t>
      </w:r>
      <w:bookmarkEnd w:id="58"/>
      <w:bookmarkEnd w:id="59"/>
      <w:r>
        <w:rPr>
          <w:rFonts w:hint="eastAsia" w:ascii="宋体" w:hAnsi="宋体" w:eastAsia="宋体"/>
          <w:b w:val="0"/>
          <w:bCs w:val="0"/>
          <w:sz w:val="21"/>
          <w:szCs w:val="21"/>
        </w:rPr>
        <w:t>；</w:t>
      </w:r>
      <w:bookmarkEnd w:id="57"/>
      <w:bookmarkStart w:id="60" w:name="_Toc382819115"/>
    </w:p>
    <w:p w14:paraId="38459902">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r>
        <w:rPr>
          <w:rFonts w:hint="eastAsia" w:ascii="宋体" w:hAnsi="宋体" w:eastAsia="宋体"/>
          <w:b w:val="0"/>
          <w:bCs w:val="0"/>
          <w:sz w:val="21"/>
          <w:szCs w:val="21"/>
        </w:rPr>
        <w:t>2.因不可抗力致使基金管理人、基金托管人无法准确评估基金资产价值时；</w:t>
      </w:r>
      <w:bookmarkEnd w:id="60"/>
    </w:p>
    <w:p w14:paraId="5814AC28">
      <w:pPr>
        <w:spacing w:line="360" w:lineRule="auto"/>
        <w:ind w:firstLine="420" w:firstLineChars="200"/>
        <w:rPr>
          <w:rFonts w:ascii="宋体" w:hAnsi="宋体"/>
          <w:szCs w:val="21"/>
        </w:rPr>
      </w:pPr>
      <w:r>
        <w:rPr>
          <w:rFonts w:ascii="宋体" w:hAnsi="宋体"/>
          <w:szCs w:val="21"/>
        </w:rPr>
        <w:t>3.</w:t>
      </w:r>
      <w:r>
        <w:rPr>
          <w:rFonts w:hint="eastAsia" w:ascii="宋体" w:hAnsi="宋体"/>
          <w:szCs w:val="21"/>
        </w:rPr>
        <w:t>当特定资产占前一估值日基金资产净值</w:t>
      </w:r>
      <w:r>
        <w:rPr>
          <w:rFonts w:ascii="宋体" w:hAnsi="宋体"/>
          <w:szCs w:val="21"/>
        </w:rPr>
        <w:t>50%</w:t>
      </w:r>
      <w:r>
        <w:rPr>
          <w:rFonts w:hint="eastAsia" w:ascii="宋体" w:hAnsi="宋体"/>
          <w:szCs w:val="21"/>
        </w:rPr>
        <w:t>以上的，经与基金托管人协商确认后，基金管理人应当暂停估值；</w:t>
      </w:r>
    </w:p>
    <w:p w14:paraId="749630ED">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r>
        <w:rPr>
          <w:rFonts w:ascii="宋体" w:hAnsi="宋体" w:eastAsia="宋体"/>
          <w:b w:val="0"/>
          <w:bCs w:val="0"/>
          <w:sz w:val="21"/>
          <w:szCs w:val="21"/>
        </w:rPr>
        <w:t>4.</w:t>
      </w:r>
      <w:r>
        <w:rPr>
          <w:rFonts w:hint="eastAsia"/>
        </w:rPr>
        <w:t xml:space="preserve"> </w:t>
      </w:r>
      <w:r>
        <w:rPr>
          <w:rFonts w:hint="eastAsia" w:ascii="宋体" w:hAnsi="宋体" w:eastAsia="宋体"/>
          <w:b w:val="0"/>
          <w:bCs w:val="0"/>
          <w:sz w:val="21"/>
          <w:szCs w:val="21"/>
        </w:rPr>
        <w:t>法律法规、中国证监会和《基金合同》认定的其他情形。</w:t>
      </w:r>
      <w:bookmarkStart w:id="61" w:name="_Toc382819116"/>
    </w:p>
    <w:bookmarkEnd w:id="56"/>
    <w:p w14:paraId="41DDA6A2">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r>
        <w:rPr>
          <w:rFonts w:hint="eastAsia" w:ascii="宋体" w:hAnsi="宋体" w:eastAsia="宋体"/>
          <w:b w:val="0"/>
          <w:bCs w:val="0"/>
          <w:sz w:val="21"/>
          <w:szCs w:val="21"/>
        </w:rPr>
        <w:t>（六）基金账册的建立</w:t>
      </w:r>
      <w:bookmarkEnd w:id="61"/>
    </w:p>
    <w:p w14:paraId="58BB6872">
      <w:pPr>
        <w:spacing w:line="360" w:lineRule="auto"/>
        <w:ind w:firstLine="420" w:firstLineChars="200"/>
        <w:rPr>
          <w:rFonts w:ascii="宋体" w:hAnsi="宋体"/>
          <w:szCs w:val="21"/>
        </w:rPr>
      </w:pPr>
      <w:r>
        <w:rPr>
          <w:rFonts w:hint="eastAsia" w:ascii="宋体" w:hAnsi="宋体"/>
          <w:szCs w:val="21"/>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14:paraId="7F64794E">
      <w:pPr>
        <w:spacing w:line="360" w:lineRule="auto"/>
        <w:ind w:firstLine="420" w:firstLineChars="200"/>
        <w:rPr>
          <w:rFonts w:ascii="宋体" w:hAnsi="宋体"/>
          <w:szCs w:val="21"/>
        </w:rPr>
      </w:pPr>
      <w:r>
        <w:rPr>
          <w:rFonts w:hint="eastAsia" w:ascii="宋体" w:hAnsi="宋体"/>
          <w:szCs w:val="21"/>
        </w:rPr>
        <w:t>经对账发现相关各方的账目存在不符的，基金管理人和基金托管人必须及时查明原因并纠正，保证相关各方平行登录的账册记录完全相符。若当日核对不符，暂时无法查找到错账的原因而影响到基金净值信息的计算和公告的，以基金管理人的账册为准。</w:t>
      </w:r>
    </w:p>
    <w:p w14:paraId="505E6D5C">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62" w:name="_Toc382819117"/>
      <w:r>
        <w:rPr>
          <w:rFonts w:hint="eastAsia" w:ascii="宋体" w:hAnsi="宋体" w:eastAsia="宋体"/>
          <w:b w:val="0"/>
          <w:bCs w:val="0"/>
          <w:sz w:val="21"/>
          <w:szCs w:val="21"/>
        </w:rPr>
        <w:t>（七）基金定期报告、基金招募说明书的编制和复核</w:t>
      </w:r>
      <w:bookmarkEnd w:id="62"/>
    </w:p>
    <w:p w14:paraId="23DB6A18">
      <w:pPr>
        <w:spacing w:line="360" w:lineRule="auto"/>
        <w:ind w:firstLine="420" w:firstLineChars="200"/>
        <w:rPr>
          <w:rFonts w:ascii="宋体" w:hAnsi="宋体"/>
          <w:szCs w:val="21"/>
        </w:rPr>
      </w:pPr>
      <w:r>
        <w:rPr>
          <w:rFonts w:hint="eastAsia" w:ascii="宋体" w:hAnsi="宋体"/>
          <w:szCs w:val="21"/>
        </w:rPr>
        <w:t>基金财务报表由基金管理人和基金托管人每月分别独立编制。月度报表的编制，应于每月终了后5个工作日内完成。</w:t>
      </w:r>
    </w:p>
    <w:p w14:paraId="5544E365">
      <w:pPr>
        <w:spacing w:line="360" w:lineRule="auto"/>
        <w:ind w:firstLine="420" w:firstLineChars="200"/>
        <w:rPr>
          <w:rFonts w:ascii="宋体" w:hAnsi="宋体"/>
          <w:szCs w:val="21"/>
        </w:rPr>
      </w:pPr>
      <w:r>
        <w:rPr>
          <w:rFonts w:ascii="宋体" w:hAnsi="宋体"/>
          <w:bCs/>
          <w:szCs w:val="21"/>
        </w:rPr>
        <w:t>《基金合同》生效后，</w:t>
      </w:r>
      <w:r>
        <w:rPr>
          <w:rFonts w:hint="eastAsia" w:ascii="宋体" w:hAnsi="宋体"/>
          <w:bCs/>
          <w:szCs w:val="21"/>
        </w:rPr>
        <w:t>基金招募说明书的信息发生重大变更的，基金管理人应当在三个工作日内，更新基金招募说明书并登载在规定网站上；基金招募说明书其他信息发生变更的，基金管理人至少每年更新一次</w:t>
      </w:r>
      <w:r>
        <w:rPr>
          <w:rFonts w:ascii="宋体" w:hAnsi="宋体"/>
          <w:bCs/>
          <w:szCs w:val="21"/>
        </w:rPr>
        <w:t>。</w:t>
      </w:r>
      <w:r>
        <w:rPr>
          <w:rFonts w:hint="eastAsia" w:ascii="宋体" w:hAnsi="宋体"/>
          <w:szCs w:val="21"/>
        </w:rPr>
        <w:t>基金管理人在季度结束之日起15个工作日内完成季度报告编制并公告；在上半年结束之日</w:t>
      </w:r>
      <w:r>
        <w:rPr>
          <w:rFonts w:ascii="宋体" w:hAnsi="宋体"/>
          <w:szCs w:val="21"/>
        </w:rPr>
        <w:t>起</w:t>
      </w:r>
      <w:r>
        <w:rPr>
          <w:rFonts w:hint="eastAsia" w:ascii="宋体" w:hAnsi="宋体"/>
          <w:szCs w:val="21"/>
        </w:rPr>
        <w:t>两个月内完成中期报告编制并公告；在每年结束之日起</w:t>
      </w:r>
      <w:r>
        <w:rPr>
          <w:rFonts w:ascii="宋体" w:hAnsi="宋体"/>
          <w:szCs w:val="21"/>
        </w:rPr>
        <w:t>三个月</w:t>
      </w:r>
      <w:r>
        <w:rPr>
          <w:rFonts w:hint="eastAsia" w:ascii="宋体" w:hAnsi="宋体"/>
          <w:szCs w:val="21"/>
        </w:rPr>
        <w:t>内完成年度报告编制并公告。基金合同生效不足2个月的，基金管理人可以不编制当期季度报告、中期报告或者年度报告。</w:t>
      </w:r>
    </w:p>
    <w:p w14:paraId="5BBBEA3B">
      <w:pPr>
        <w:spacing w:line="360" w:lineRule="auto"/>
        <w:ind w:firstLine="420" w:firstLineChars="200"/>
        <w:rPr>
          <w:rFonts w:ascii="宋体" w:hAnsi="宋体"/>
          <w:szCs w:val="21"/>
        </w:rPr>
      </w:pPr>
      <w:r>
        <w:rPr>
          <w:rFonts w:hint="eastAsia" w:ascii="宋体" w:hAnsi="宋体"/>
          <w:szCs w:val="21"/>
        </w:rPr>
        <w:t>基金管理人在每月结束后5个工作日内完成月度报告，在月度报告完成当日，对报告加盖公章后，以加密传真方式将有关报告提供基金托管人复核；基金托管人在3个工作日内进行复核，并将复核结果及时书面通知基金管理人。基金管理人在每季度结束后7个工作日内完成季度报告，在季度报告完成当日，将有关报告提供基金托管人复核，基金托管人在收到后7个工作日内进行复核，并将复核结果书面通知基金管理人。基金管理人在基金会计年度前六个月结束后30日内完成</w:t>
      </w:r>
      <w:r>
        <w:rPr>
          <w:rFonts w:ascii="宋体" w:hAnsi="宋体"/>
          <w:szCs w:val="21"/>
        </w:rPr>
        <w:t>中期报告</w:t>
      </w:r>
      <w:r>
        <w:rPr>
          <w:rFonts w:hint="eastAsia" w:ascii="宋体" w:hAnsi="宋体"/>
          <w:szCs w:val="21"/>
        </w:rPr>
        <w:t>，在中期报告完成当日，将有关报告提供基金托管人复核，基金托管人在收到后30日内进行复核，并将复核结果书面通知基金管理人。基金管理人在基金会计年度结束后45日内完成年度报告，在年度报告完成当日，将有关报告提供基金托管人复核，基金托管人在收到后45日内复核，并将复核结果书面通知基金管理人。</w:t>
      </w:r>
    </w:p>
    <w:p w14:paraId="34AABD6D">
      <w:pPr>
        <w:spacing w:line="360" w:lineRule="auto"/>
        <w:ind w:firstLine="420" w:firstLineChars="200"/>
        <w:rPr>
          <w:rFonts w:ascii="宋体" w:hAnsi="宋体"/>
          <w:szCs w:val="21"/>
        </w:rPr>
      </w:pPr>
      <w:r>
        <w:rPr>
          <w:rFonts w:hint="eastAsia" w:ascii="宋体" w:hAnsi="宋体"/>
          <w:szCs w:val="21"/>
        </w:rPr>
        <w:t>基金托管人在复核过程中，发现相关各方的报表存在不符时，基金管理人和基金托管人应共同查明原因，进行调整，调整以相关各方认可的账务处理方式为准。核对无误后，基金托管人在基金管理人提供的报告上加盖印鉴或者出具加盖托管业务部门业务章的复核意见书，相关各方各自留存一份。</w:t>
      </w:r>
      <w:r>
        <w:rPr>
          <w:rFonts w:hint="eastAsia" w:ascii="宋体" w:hAnsi="宋体"/>
          <w:kern w:val="44"/>
          <w:szCs w:val="21"/>
        </w:rPr>
        <w:t>如果基金管理人与基金托管人不能于应当发布公告之日之前就相关报表达成一致，基金管理人有权按照其编制的报表对外发布公告，基金托管人有权就相关情况报中国证监会备案。</w:t>
      </w:r>
    </w:p>
    <w:p w14:paraId="375F9C98">
      <w:pPr>
        <w:spacing w:line="360" w:lineRule="auto"/>
        <w:ind w:firstLine="420" w:firstLineChars="200"/>
        <w:rPr>
          <w:rFonts w:ascii="宋体" w:hAnsi="宋体"/>
          <w:szCs w:val="21"/>
        </w:rPr>
      </w:pPr>
      <w:r>
        <w:rPr>
          <w:rFonts w:hint="eastAsia" w:ascii="宋体" w:hAnsi="宋体"/>
          <w:szCs w:val="21"/>
        </w:rPr>
        <w:t>基金托管人在对财务会计报告、中期报告或年度报告复核完毕后，需盖章确认或出具相应的复核确认书，以备有权机构对相关文件审核时提示。</w:t>
      </w:r>
    </w:p>
    <w:p w14:paraId="12470853">
      <w:pPr>
        <w:pStyle w:val="2"/>
        <w:keepNext w:val="0"/>
        <w:keepLines w:val="0"/>
        <w:numPr>
          <w:ilvl w:val="0"/>
          <w:numId w:val="2"/>
        </w:numPr>
        <w:tabs>
          <w:tab w:val="left" w:pos="420"/>
        </w:tabs>
        <w:autoSpaceDE w:val="0"/>
        <w:autoSpaceDN w:val="0"/>
        <w:adjustRightInd w:val="0"/>
        <w:spacing w:before="360" w:after="360"/>
        <w:textAlignment w:val="baseline"/>
        <w:rPr>
          <w:rFonts w:ascii="宋体" w:hAnsi="宋体" w:eastAsia="宋体" w:cs="Arial"/>
          <w:sz w:val="21"/>
          <w:szCs w:val="21"/>
        </w:rPr>
      </w:pPr>
      <w:bookmarkStart w:id="63" w:name="_Toc382819118"/>
      <w:r>
        <w:rPr>
          <w:rFonts w:hint="eastAsia" w:ascii="宋体" w:hAnsi="宋体" w:eastAsia="宋体" w:cs="Arial"/>
          <w:sz w:val="21"/>
          <w:szCs w:val="21"/>
        </w:rPr>
        <w:t>基金收益分配</w:t>
      </w:r>
      <w:bookmarkEnd w:id="63"/>
    </w:p>
    <w:p w14:paraId="7AA5CC6D">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cs="Arial"/>
          <w:kern w:val="0"/>
          <w:sz w:val="21"/>
          <w:szCs w:val="21"/>
        </w:rPr>
      </w:pPr>
      <w:bookmarkStart w:id="64" w:name="_Toc382819119"/>
      <w:r>
        <w:rPr>
          <w:rFonts w:hint="eastAsia" w:ascii="宋体" w:hAnsi="宋体" w:eastAsia="宋体"/>
          <w:b w:val="0"/>
          <w:bCs w:val="0"/>
          <w:sz w:val="21"/>
          <w:szCs w:val="21"/>
        </w:rPr>
        <w:t>（一）基金收益分配的原则</w:t>
      </w:r>
      <w:bookmarkEnd w:id="64"/>
    </w:p>
    <w:p w14:paraId="0A859020">
      <w:pPr>
        <w:spacing w:line="360" w:lineRule="auto"/>
        <w:ind w:firstLine="472" w:firstLineChars="225"/>
        <w:rPr>
          <w:rFonts w:ascii="宋体" w:hAnsi="宋体"/>
          <w:szCs w:val="21"/>
        </w:rPr>
      </w:pPr>
      <w:r>
        <w:rPr>
          <w:rFonts w:hint="eastAsia" w:ascii="宋体" w:hAnsi="宋体"/>
          <w:szCs w:val="21"/>
        </w:rPr>
        <w:t>基金收益分配是指将本基金可供分配利润按收益分配方案确定的分配金额和比例根据持有本基金基金份额的数量按比例向该基金份额持有人进行分配。</w:t>
      </w:r>
    </w:p>
    <w:p w14:paraId="1EEB3A4E">
      <w:pPr>
        <w:spacing w:line="360" w:lineRule="auto"/>
        <w:ind w:firstLine="472" w:firstLineChars="225"/>
        <w:rPr>
          <w:rFonts w:ascii="宋体" w:hAnsi="宋体"/>
          <w:szCs w:val="21"/>
        </w:rPr>
      </w:pPr>
      <w:r>
        <w:rPr>
          <w:rFonts w:hint="eastAsia" w:ascii="宋体" w:hAnsi="宋体"/>
          <w:szCs w:val="21"/>
        </w:rPr>
        <w:t>收益分配应该符合《基金合同》关于收益分配原则的规定。</w:t>
      </w:r>
      <w:bookmarkStart w:id="65" w:name="_Toc382819120"/>
    </w:p>
    <w:p w14:paraId="129D36BA">
      <w:pPr>
        <w:spacing w:line="360" w:lineRule="auto"/>
        <w:ind w:firstLine="472" w:firstLineChars="225"/>
        <w:outlineLvl w:val="1"/>
        <w:rPr>
          <w:rFonts w:ascii="宋体" w:hAnsi="宋体"/>
          <w:szCs w:val="21"/>
        </w:rPr>
      </w:pPr>
      <w:r>
        <w:rPr>
          <w:rFonts w:hint="eastAsia" w:ascii="宋体" w:hAnsi="宋体"/>
          <w:szCs w:val="21"/>
        </w:rPr>
        <w:t>（二）基金收益分配方案的制定和实施程序</w:t>
      </w:r>
      <w:bookmarkEnd w:id="65"/>
    </w:p>
    <w:p w14:paraId="72DE9EFC">
      <w:pPr>
        <w:ind w:firstLine="640"/>
        <w:rPr>
          <w:rFonts w:ascii="宋体" w:hAnsi="宋体"/>
          <w:szCs w:val="21"/>
        </w:rPr>
      </w:pPr>
      <w:r>
        <w:rPr>
          <w:rFonts w:hint="eastAsia" w:ascii="宋体" w:hAnsi="宋体"/>
          <w:szCs w:val="21"/>
        </w:rPr>
        <w:t>基金收益分配方案由基金管理人根据《基金合同》的相关规定制定。</w:t>
      </w:r>
    </w:p>
    <w:p w14:paraId="0E5B2448">
      <w:pPr>
        <w:spacing w:line="360" w:lineRule="auto"/>
        <w:ind w:right="28" w:firstLine="630" w:firstLineChars="300"/>
        <w:rPr>
          <w:rFonts w:ascii="宋体" w:hAnsi="宋体"/>
          <w:szCs w:val="21"/>
        </w:rPr>
      </w:pPr>
      <w:r>
        <w:rPr>
          <w:rFonts w:hint="eastAsia" w:ascii="宋体" w:hAnsi="宋体"/>
          <w:szCs w:val="21"/>
        </w:rPr>
        <w:t>基金收益分配方案由基金管理人拟定，并由基金托管人复核。复核通过后基金管理人应当将收益分配方案及时公告；如果基金管理人与基金托管人不能于收益分配日之前就收益分配方案达成一致，基金托管人有义务将收益分配方案及相关情况的说明提交中国证监会备案并书面通知基金管理人，在上述文件提交完毕之日起基金管理人有权利对外公告其拟订的收益分配方案，且基金托管人有义务协助基金管理人实施该收益分配方案，但有证据证明该方案违反法律法规及《基金合同》的除外。</w:t>
      </w:r>
    </w:p>
    <w:p w14:paraId="37015336">
      <w:pPr>
        <w:spacing w:line="360" w:lineRule="auto"/>
        <w:ind w:right="28" w:firstLine="630" w:firstLineChars="300"/>
        <w:rPr>
          <w:rFonts w:ascii="宋体" w:hAnsi="宋体"/>
          <w:szCs w:val="21"/>
        </w:rPr>
      </w:pPr>
      <w:r>
        <w:rPr>
          <w:rFonts w:hint="eastAsia" w:ascii="宋体" w:hAnsi="宋体"/>
          <w:szCs w:val="21"/>
        </w:rPr>
        <w:t>（三）实施侧袋机制期间的收益分配</w:t>
      </w:r>
    </w:p>
    <w:p w14:paraId="1B0B6A95">
      <w:pPr>
        <w:spacing w:line="360" w:lineRule="auto"/>
        <w:ind w:right="28" w:firstLine="630" w:firstLineChars="300"/>
        <w:rPr>
          <w:rFonts w:ascii="宋体" w:hAnsi="宋体"/>
          <w:szCs w:val="21"/>
        </w:rPr>
      </w:pPr>
      <w:r>
        <w:rPr>
          <w:rFonts w:hint="eastAsia" w:ascii="宋体" w:hAnsi="宋体"/>
          <w:szCs w:val="21"/>
        </w:rPr>
        <w:t>本基金实施侧袋机制的，侧袋账户不进行收益分配，详见招募说明书的规定。</w:t>
      </w:r>
    </w:p>
    <w:p w14:paraId="695C8433">
      <w:pPr>
        <w:spacing w:line="360" w:lineRule="auto"/>
        <w:ind w:right="28" w:firstLine="630" w:firstLineChars="300"/>
        <w:rPr>
          <w:rFonts w:ascii="宋体" w:hAnsi="宋体"/>
          <w:szCs w:val="21"/>
        </w:rPr>
      </w:pPr>
    </w:p>
    <w:p w14:paraId="4E91CB5D">
      <w:pPr>
        <w:pStyle w:val="2"/>
        <w:keepNext w:val="0"/>
        <w:keepLines w:val="0"/>
        <w:numPr>
          <w:ilvl w:val="0"/>
          <w:numId w:val="2"/>
        </w:numPr>
        <w:tabs>
          <w:tab w:val="left" w:pos="420"/>
        </w:tabs>
        <w:autoSpaceDE w:val="0"/>
        <w:autoSpaceDN w:val="0"/>
        <w:adjustRightInd w:val="0"/>
        <w:spacing w:before="360" w:after="360"/>
        <w:textAlignment w:val="baseline"/>
        <w:rPr>
          <w:rFonts w:ascii="宋体" w:hAnsi="宋体" w:eastAsia="宋体" w:cs="Arial"/>
          <w:sz w:val="21"/>
          <w:szCs w:val="21"/>
        </w:rPr>
      </w:pPr>
      <w:bookmarkStart w:id="66" w:name="_Toc382819121"/>
      <w:r>
        <w:rPr>
          <w:rFonts w:hint="eastAsia" w:ascii="宋体" w:hAnsi="宋体" w:eastAsia="宋体" w:cs="Arial"/>
          <w:sz w:val="21"/>
          <w:szCs w:val="21"/>
        </w:rPr>
        <w:t>信息披露</w:t>
      </w:r>
      <w:bookmarkEnd w:id="66"/>
    </w:p>
    <w:p w14:paraId="61264041">
      <w:pPr>
        <w:pStyle w:val="3"/>
        <w:keepNext w:val="0"/>
        <w:keepLines w:val="0"/>
        <w:tabs>
          <w:tab w:val="left" w:pos="1080"/>
        </w:tabs>
        <w:autoSpaceDE w:val="0"/>
        <w:autoSpaceDN w:val="0"/>
        <w:adjustRightInd w:val="0"/>
        <w:spacing w:before="0" w:after="0" w:line="360" w:lineRule="auto"/>
        <w:ind w:firstLine="411" w:firstLineChars="196"/>
        <w:textAlignment w:val="baseline"/>
        <w:rPr>
          <w:rFonts w:ascii="宋体" w:hAnsi="宋体" w:eastAsia="宋体" w:cs="Arial"/>
          <w:b w:val="0"/>
          <w:kern w:val="0"/>
          <w:sz w:val="21"/>
          <w:szCs w:val="21"/>
        </w:rPr>
      </w:pPr>
      <w:bookmarkStart w:id="67" w:name="_Toc382819122"/>
      <w:r>
        <w:rPr>
          <w:rFonts w:hint="eastAsia" w:ascii="宋体" w:hAnsi="宋体" w:eastAsia="宋体"/>
          <w:b w:val="0"/>
          <w:sz w:val="21"/>
          <w:szCs w:val="21"/>
        </w:rPr>
        <w:t>（一）</w:t>
      </w:r>
      <w:r>
        <w:rPr>
          <w:rFonts w:hint="eastAsia" w:ascii="宋体" w:hAnsi="宋体" w:eastAsia="宋体" w:cs="Arial"/>
          <w:b w:val="0"/>
          <w:kern w:val="0"/>
          <w:sz w:val="21"/>
          <w:szCs w:val="21"/>
        </w:rPr>
        <w:t>保密义务</w:t>
      </w:r>
      <w:bookmarkEnd w:id="67"/>
    </w:p>
    <w:p w14:paraId="187CC5D8">
      <w:pPr>
        <w:spacing w:line="360" w:lineRule="auto"/>
        <w:ind w:right="28" w:firstLine="420" w:firstLineChars="200"/>
        <w:rPr>
          <w:rFonts w:ascii="宋体" w:hAnsi="宋体"/>
          <w:szCs w:val="21"/>
        </w:rPr>
      </w:pPr>
      <w:r>
        <w:rPr>
          <w:rFonts w:hint="eastAsia" w:ascii="宋体" w:hAnsi="宋体"/>
          <w:szCs w:val="21"/>
        </w:rPr>
        <w:t>除按照《基金法》、《信息披露办法》、《基金合同》及中国证监会关于基金信息披露的有关规定进行披露以外，基金管理人和基金托管人对基金运作中产生的信息以及从对方获得的业务信息应恪守保密的义务。基金管理人与基金托管人对基金的任何信息，除法律法规规定之外，不得在其公开披露之前，先行对任何第三方披露。但是，如下情况不应视为基金管理人或基金托管人违反保密义务：</w:t>
      </w:r>
    </w:p>
    <w:p w14:paraId="74ED87A8">
      <w:pPr>
        <w:pStyle w:val="11"/>
        <w:ind w:firstLine="420" w:firstLineChars="200"/>
        <w:rPr>
          <w:rFonts w:ascii="宋体" w:hAnsi="宋体"/>
          <w:szCs w:val="21"/>
        </w:rPr>
      </w:pPr>
      <w:r>
        <w:rPr>
          <w:rFonts w:hint="eastAsia" w:ascii="宋体" w:hAnsi="宋体"/>
          <w:szCs w:val="21"/>
        </w:rPr>
        <w:t>1.非因基金管理人和基金托管人的原因导致保密信息被披露、泄露或公开；</w:t>
      </w:r>
    </w:p>
    <w:p w14:paraId="79616906">
      <w:pPr>
        <w:spacing w:line="360" w:lineRule="auto"/>
        <w:ind w:firstLine="420" w:firstLineChars="200"/>
        <w:rPr>
          <w:rFonts w:ascii="宋体" w:hAnsi="宋体"/>
          <w:szCs w:val="21"/>
        </w:rPr>
      </w:pPr>
      <w:r>
        <w:rPr>
          <w:rFonts w:hint="eastAsia" w:ascii="宋体" w:hAnsi="宋体"/>
          <w:szCs w:val="21"/>
        </w:rPr>
        <w:t>2.基金管理人和基金托管人为遵守和服从法院判决、仲裁裁决或中国证监会等监管机构的命令、决定所做出的信息披露或公开。</w:t>
      </w:r>
    </w:p>
    <w:p w14:paraId="06DD9C57">
      <w:pPr>
        <w:tabs>
          <w:tab w:val="left" w:pos="4680"/>
        </w:tabs>
        <w:spacing w:line="360" w:lineRule="auto"/>
        <w:ind w:firstLine="420" w:firstLineChars="200"/>
        <w:outlineLvl w:val="1"/>
        <w:rPr>
          <w:rFonts w:ascii="宋体" w:hAnsi="宋体"/>
          <w:szCs w:val="21"/>
        </w:rPr>
      </w:pPr>
      <w:r>
        <w:rPr>
          <w:rFonts w:hint="eastAsia" w:ascii="宋体" w:hAnsi="宋体"/>
          <w:bCs/>
          <w:szCs w:val="21"/>
        </w:rPr>
        <w:t>（二）</w:t>
      </w:r>
      <w:r>
        <w:rPr>
          <w:rFonts w:hint="eastAsia" w:ascii="宋体" w:hAnsi="宋体"/>
          <w:szCs w:val="21"/>
        </w:rPr>
        <w:t>信息披露的内容</w:t>
      </w:r>
    </w:p>
    <w:p w14:paraId="71C4CE0B">
      <w:pPr>
        <w:tabs>
          <w:tab w:val="left" w:pos="4680"/>
        </w:tabs>
        <w:spacing w:line="360" w:lineRule="auto"/>
        <w:ind w:firstLine="420" w:firstLineChars="200"/>
        <w:rPr>
          <w:rFonts w:ascii="宋体" w:hAnsi="宋体"/>
          <w:szCs w:val="21"/>
        </w:rPr>
      </w:pPr>
      <w:r>
        <w:rPr>
          <w:rFonts w:hint="eastAsia" w:ascii="宋体" w:hAnsi="宋体"/>
          <w:szCs w:val="21"/>
        </w:rPr>
        <w:t>基金管理人和基金托管人应根据相关法律法规、《基金合同》的规定各自承担相应的信息披露职责。基金管理人和基金托管人负有积极配合、互相督促、彼此监督、保证其履行按照法定方式和时限披露的义务。</w:t>
      </w:r>
    </w:p>
    <w:p w14:paraId="03CCB7E8">
      <w:pPr>
        <w:tabs>
          <w:tab w:val="left" w:pos="4680"/>
        </w:tabs>
        <w:spacing w:line="360" w:lineRule="auto"/>
        <w:ind w:firstLine="420" w:firstLineChars="200"/>
        <w:rPr>
          <w:rFonts w:ascii="宋体" w:hAnsi="宋体"/>
          <w:szCs w:val="21"/>
        </w:rPr>
      </w:pPr>
      <w:r>
        <w:rPr>
          <w:rFonts w:hint="eastAsia" w:ascii="宋体" w:hAnsi="宋体"/>
          <w:szCs w:val="21"/>
        </w:rPr>
        <w:t>本基金的信息披露主要包括基金招募说明书、《基金合同》、基金托管协议、基金产品资料概要、基金份额发售公告、《基金合同》生效公告、定期报告、临时公告、基金净值信息、基金份额申购、赎回价格、澄清公告、基金份额持有人大会决议、实施侧袋机制期间的信息披露、清算报告、基金投资资产支持证券情况、基金投资股指期货情况、基金投资港股通标的股票情况等其他必要的公告文件，由基金管理人拟定并负责公布。</w:t>
      </w:r>
    </w:p>
    <w:p w14:paraId="127CFC46">
      <w:pPr>
        <w:tabs>
          <w:tab w:val="left" w:pos="4680"/>
        </w:tabs>
        <w:spacing w:line="360" w:lineRule="auto"/>
        <w:ind w:firstLine="420" w:firstLineChars="200"/>
        <w:rPr>
          <w:rFonts w:ascii="宋体" w:hAnsi="宋体"/>
          <w:szCs w:val="21"/>
        </w:rPr>
      </w:pPr>
      <w:r>
        <w:rPr>
          <w:rFonts w:hint="eastAsia" w:ascii="宋体" w:hAnsi="宋体"/>
          <w:szCs w:val="21"/>
        </w:rPr>
        <w:t>基金管理人与基金托管人应严格遵守《基金合同》所规定的信息披露要求。基金资产净值、各类基金份额净值、基金业绩表现数据、基金定期报告和更新的招募说明书、基金产品资料概要、基金清算报告等相关基金信息按有关规定需经基金托管人复核的，须由基金托管人进行复核、审查，并向基金管理人</w:t>
      </w:r>
      <w:r>
        <w:rPr>
          <w:rFonts w:hint="eastAsia" w:ascii="宋体" w:hAnsi="宋体"/>
          <w:bCs/>
          <w:szCs w:val="21"/>
        </w:rPr>
        <w:t>进行书面或电子</w:t>
      </w:r>
      <w:r>
        <w:rPr>
          <w:rFonts w:ascii="宋体" w:hAnsi="宋体"/>
          <w:bCs/>
          <w:szCs w:val="21"/>
        </w:rPr>
        <w:t>确认</w:t>
      </w:r>
      <w:r>
        <w:rPr>
          <w:rFonts w:hint="eastAsia" w:ascii="宋体" w:hAnsi="宋体"/>
          <w:szCs w:val="21"/>
        </w:rPr>
        <w:t>。相关信息经基金托管人复核无误后方可公布。其他不需经基金托管人复核的信息披露内容，应及时告知基金托管人。</w:t>
      </w:r>
    </w:p>
    <w:p w14:paraId="73EB4EF5">
      <w:pPr>
        <w:tabs>
          <w:tab w:val="left" w:pos="4680"/>
        </w:tabs>
        <w:spacing w:line="360" w:lineRule="auto"/>
        <w:ind w:firstLine="420" w:firstLineChars="200"/>
        <w:rPr>
          <w:rFonts w:ascii="宋体" w:hAnsi="宋体"/>
          <w:szCs w:val="21"/>
        </w:rPr>
      </w:pPr>
      <w:r>
        <w:rPr>
          <w:rFonts w:hint="eastAsia" w:ascii="宋体" w:hAnsi="宋体"/>
          <w:szCs w:val="21"/>
          <w:lang w:eastAsia="zh-Hans"/>
        </w:rPr>
        <w:t>基金</w:t>
      </w:r>
      <w:r>
        <w:rPr>
          <w:rFonts w:hint="eastAsia" w:ascii="宋体" w:hAnsi="宋体"/>
          <w:szCs w:val="21"/>
        </w:rPr>
        <w:t>年度报告中的财务报告部分，需经符合《中华人民共和国证券法》规定的会计师事务所审计后，方可披露。</w:t>
      </w:r>
    </w:p>
    <w:p w14:paraId="7DAD23F8">
      <w:pPr>
        <w:pStyle w:val="3"/>
        <w:keepNext w:val="0"/>
        <w:keepLines w:val="0"/>
        <w:tabs>
          <w:tab w:val="left" w:pos="1080"/>
        </w:tabs>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68" w:name="_Toc382819123"/>
      <w:r>
        <w:rPr>
          <w:rFonts w:hint="eastAsia" w:ascii="宋体" w:hAnsi="宋体" w:eastAsia="宋体"/>
          <w:b w:val="0"/>
          <w:bCs w:val="0"/>
          <w:sz w:val="21"/>
          <w:szCs w:val="21"/>
        </w:rPr>
        <w:t>基金管理人应当在中国证监会规定的时间内，将应予披露的基金信息通过符合</w:t>
      </w:r>
      <w:r>
        <w:rPr>
          <w:rFonts w:ascii="宋体" w:hAnsi="宋体" w:eastAsia="宋体"/>
          <w:b w:val="0"/>
          <w:bCs w:val="0"/>
          <w:sz w:val="21"/>
          <w:szCs w:val="21"/>
        </w:rPr>
        <w:t>中国证监会</w:t>
      </w:r>
      <w:r>
        <w:rPr>
          <w:rFonts w:hint="eastAsia" w:ascii="宋体" w:hAnsi="宋体" w:eastAsia="宋体"/>
          <w:b w:val="0"/>
          <w:bCs w:val="0"/>
          <w:sz w:val="21"/>
          <w:szCs w:val="21"/>
        </w:rPr>
        <w:t>规定条件</w:t>
      </w:r>
      <w:r>
        <w:rPr>
          <w:rFonts w:ascii="宋体" w:hAnsi="宋体" w:eastAsia="宋体"/>
          <w:b w:val="0"/>
          <w:bCs w:val="0"/>
          <w:sz w:val="21"/>
          <w:szCs w:val="21"/>
        </w:rPr>
        <w:t>的</w:t>
      </w:r>
      <w:r>
        <w:rPr>
          <w:rFonts w:hint="eastAsia" w:ascii="宋体" w:hAnsi="宋体" w:eastAsia="宋体"/>
          <w:b w:val="0"/>
          <w:bCs w:val="0"/>
          <w:sz w:val="21"/>
          <w:szCs w:val="21"/>
        </w:rPr>
        <w:t>全国性报刊及《信息披露办法》规定的</w:t>
      </w:r>
      <w:r>
        <w:rPr>
          <w:rFonts w:ascii="宋体" w:hAnsi="宋体" w:eastAsia="宋体"/>
          <w:b w:val="0"/>
          <w:bCs w:val="0"/>
          <w:sz w:val="21"/>
          <w:szCs w:val="21"/>
        </w:rPr>
        <w:t>互联网网站</w:t>
      </w:r>
      <w:r>
        <w:rPr>
          <w:rFonts w:hint="eastAsia" w:ascii="宋体" w:hAnsi="宋体" w:eastAsia="宋体"/>
          <w:b w:val="0"/>
          <w:bCs w:val="0"/>
          <w:sz w:val="21"/>
          <w:szCs w:val="21"/>
        </w:rPr>
        <w:t>等媒介披露。根据法律法规应由基金托管人公开披露的信息，基金托管人将通过规定报刊和规定网站公开披露。</w:t>
      </w:r>
      <w:bookmarkEnd w:id="68"/>
    </w:p>
    <w:p w14:paraId="63FD2B9E">
      <w:pPr>
        <w:pStyle w:val="3"/>
        <w:keepNext w:val="0"/>
        <w:keepLines w:val="0"/>
        <w:tabs>
          <w:tab w:val="left" w:pos="1080"/>
        </w:tabs>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bookmarkStart w:id="69" w:name="_Toc382819124"/>
      <w:r>
        <w:rPr>
          <w:rFonts w:hint="eastAsia" w:ascii="宋体" w:hAnsi="宋体" w:eastAsia="宋体"/>
          <w:b w:val="0"/>
          <w:bCs w:val="0"/>
          <w:sz w:val="21"/>
          <w:szCs w:val="21"/>
        </w:rPr>
        <w:t>（三）基金管理人和基金托管人在信息披露中的职责和信息披露程序</w:t>
      </w:r>
      <w:bookmarkEnd w:id="69"/>
    </w:p>
    <w:p w14:paraId="38DD17A4">
      <w:pPr>
        <w:tabs>
          <w:tab w:val="left" w:pos="4680"/>
        </w:tabs>
        <w:spacing w:line="360" w:lineRule="auto"/>
        <w:ind w:firstLine="420" w:firstLineChars="200"/>
        <w:outlineLvl w:val="2"/>
        <w:rPr>
          <w:rFonts w:ascii="宋体" w:hAnsi="宋体"/>
          <w:szCs w:val="21"/>
        </w:rPr>
      </w:pPr>
      <w:r>
        <w:rPr>
          <w:rFonts w:hint="eastAsia" w:ascii="宋体" w:hAnsi="宋体"/>
          <w:szCs w:val="21"/>
        </w:rPr>
        <w:t>1、职责</w:t>
      </w:r>
    </w:p>
    <w:p w14:paraId="7520C826">
      <w:pPr>
        <w:tabs>
          <w:tab w:val="left" w:pos="4680"/>
        </w:tabs>
        <w:spacing w:line="360" w:lineRule="auto"/>
        <w:ind w:firstLine="420" w:firstLineChars="200"/>
        <w:rPr>
          <w:rFonts w:ascii="宋体" w:hAnsi="宋体"/>
          <w:szCs w:val="21"/>
        </w:rPr>
      </w:pPr>
      <w:r>
        <w:rPr>
          <w:rFonts w:hint="eastAsia" w:ascii="宋体" w:hAnsi="宋体"/>
          <w:szCs w:val="21"/>
        </w:rPr>
        <w:t>基金托管人和基金管理人在信息披露过程中应以保护基金份额持有人利益为宗旨，诚实信用，严守秘密。基金管理人负责办理应由基金管理人负责的与基金有关的信息披露事宜，对于本条第（二）款规定的应由基金托管人复核的事项，应提前通知基金托管人，基金托管人应在接到通知后的规定时间内予以书面答复。</w:t>
      </w:r>
    </w:p>
    <w:p w14:paraId="60F46EE0">
      <w:pPr>
        <w:tabs>
          <w:tab w:val="left" w:pos="4680"/>
        </w:tabs>
        <w:spacing w:line="360" w:lineRule="auto"/>
        <w:ind w:firstLine="420" w:firstLineChars="200"/>
        <w:outlineLvl w:val="2"/>
        <w:rPr>
          <w:rFonts w:ascii="宋体" w:hAnsi="宋体"/>
          <w:szCs w:val="21"/>
        </w:rPr>
      </w:pPr>
      <w:r>
        <w:rPr>
          <w:rFonts w:hint="eastAsia" w:ascii="宋体" w:hAnsi="宋体"/>
          <w:szCs w:val="21"/>
        </w:rPr>
        <w:t>2、程序</w:t>
      </w:r>
    </w:p>
    <w:p w14:paraId="0F6256B9">
      <w:pPr>
        <w:tabs>
          <w:tab w:val="left" w:pos="4680"/>
        </w:tabs>
        <w:spacing w:line="360" w:lineRule="auto"/>
        <w:ind w:firstLine="420" w:firstLineChars="200"/>
        <w:rPr>
          <w:rFonts w:ascii="宋体" w:hAnsi="宋体"/>
          <w:szCs w:val="21"/>
        </w:rPr>
      </w:pPr>
      <w:r>
        <w:rPr>
          <w:rFonts w:hint="eastAsia" w:ascii="宋体" w:hAnsi="宋体"/>
          <w:szCs w:val="21"/>
        </w:rPr>
        <w:t>按有关规定须经基金托管人复核的信息披露文件，由基金管理人起草，并经基金托管人复核后由基金管理人公告。</w:t>
      </w:r>
    </w:p>
    <w:p w14:paraId="5C2E2BAC">
      <w:pPr>
        <w:tabs>
          <w:tab w:val="left" w:pos="4680"/>
        </w:tabs>
        <w:spacing w:line="360" w:lineRule="auto"/>
        <w:ind w:firstLine="420" w:firstLineChars="200"/>
        <w:rPr>
          <w:rFonts w:ascii="宋体" w:hAnsi="宋体"/>
          <w:szCs w:val="21"/>
        </w:rPr>
      </w:pPr>
      <w:r>
        <w:rPr>
          <w:rFonts w:hint="eastAsia" w:ascii="宋体" w:hAnsi="宋体"/>
          <w:szCs w:val="21"/>
        </w:rPr>
        <w:t>发生《基金合同》中规定需要披露的事项时，按《基金合同》规定公告。</w:t>
      </w:r>
    </w:p>
    <w:p w14:paraId="5C11E907">
      <w:pPr>
        <w:tabs>
          <w:tab w:val="left" w:pos="4680"/>
        </w:tabs>
        <w:spacing w:line="360" w:lineRule="auto"/>
        <w:ind w:firstLine="420" w:firstLineChars="200"/>
        <w:outlineLvl w:val="2"/>
        <w:rPr>
          <w:rFonts w:ascii="宋体" w:hAnsi="宋体"/>
          <w:szCs w:val="21"/>
        </w:rPr>
      </w:pPr>
      <w:r>
        <w:rPr>
          <w:rFonts w:hint="eastAsia" w:ascii="宋体" w:hAnsi="宋体"/>
          <w:szCs w:val="21"/>
        </w:rPr>
        <w:t>3、信息文本的存放</w:t>
      </w:r>
    </w:p>
    <w:p w14:paraId="441727EB">
      <w:pPr>
        <w:autoSpaceDE w:val="0"/>
        <w:autoSpaceDN w:val="0"/>
        <w:adjustRightInd w:val="0"/>
        <w:spacing w:line="360" w:lineRule="auto"/>
        <w:ind w:firstLine="420" w:firstLineChars="200"/>
        <w:rPr>
          <w:rFonts w:ascii="宋体" w:hAnsi="宋体"/>
          <w:szCs w:val="21"/>
        </w:rPr>
      </w:pPr>
      <w:r>
        <w:rPr>
          <w:rFonts w:hint="eastAsia" w:ascii="宋体" w:hAnsi="宋体"/>
          <w:bCs/>
          <w:szCs w:val="21"/>
        </w:rPr>
        <w:t>依法必须披露的信息发布后，基金管理人、基金托管人应当按照相关法律法规规定将信息置备于各自办公场所，供社会公众查阅、复制</w:t>
      </w:r>
      <w:r>
        <w:rPr>
          <w:rFonts w:ascii="宋体" w:hAnsi="宋体"/>
          <w:bCs/>
          <w:szCs w:val="21"/>
        </w:rPr>
        <w:t>。</w:t>
      </w:r>
      <w:r>
        <w:rPr>
          <w:rFonts w:hint="eastAsia" w:ascii="宋体" w:hAnsi="宋体"/>
          <w:bCs/>
          <w:szCs w:val="21"/>
        </w:rPr>
        <w:t>投资者</w:t>
      </w:r>
      <w:r>
        <w:rPr>
          <w:rFonts w:hint="eastAsia" w:ascii="宋体" w:hAnsi="宋体"/>
          <w:szCs w:val="21"/>
        </w:rPr>
        <w:t>在支付工本费后可以获得上述文件的复制件或复印件。</w:t>
      </w:r>
    </w:p>
    <w:p w14:paraId="4A87AE64">
      <w:pPr>
        <w:autoSpaceDE w:val="0"/>
        <w:autoSpaceDN w:val="0"/>
        <w:adjustRightInd w:val="0"/>
        <w:spacing w:line="360" w:lineRule="auto"/>
        <w:ind w:firstLine="420" w:firstLineChars="200"/>
        <w:rPr>
          <w:rFonts w:ascii="宋体" w:hAnsi="宋体"/>
          <w:szCs w:val="21"/>
        </w:rPr>
      </w:pPr>
      <w:r>
        <w:rPr>
          <w:rFonts w:hint="eastAsia" w:ascii="宋体" w:hAnsi="宋体"/>
          <w:szCs w:val="21"/>
        </w:rPr>
        <w:t>基金管理人和基金托管人应保证文本的内容与所公告的内容完全一致。</w:t>
      </w:r>
    </w:p>
    <w:p w14:paraId="14FE481F">
      <w:pPr>
        <w:spacing w:line="360" w:lineRule="auto"/>
        <w:ind w:firstLine="420" w:firstLineChars="200"/>
        <w:outlineLvl w:val="2"/>
        <w:rPr>
          <w:rFonts w:ascii="宋体" w:hAnsi="宋体"/>
          <w:szCs w:val="21"/>
        </w:rPr>
      </w:pPr>
      <w:r>
        <w:rPr>
          <w:rFonts w:hint="eastAsia" w:ascii="宋体" w:hAnsi="宋体"/>
          <w:szCs w:val="21"/>
        </w:rPr>
        <w:t>4、暂停</w:t>
      </w:r>
      <w:r>
        <w:rPr>
          <w:rFonts w:hint="eastAsia" w:ascii="宋体" w:hAnsi="宋体" w:cs="Arial"/>
          <w:szCs w:val="21"/>
        </w:rPr>
        <w:t>或延迟披露基金相关信息</w:t>
      </w:r>
      <w:r>
        <w:rPr>
          <w:rFonts w:hint="eastAsia" w:ascii="宋体" w:hAnsi="宋体"/>
          <w:szCs w:val="21"/>
        </w:rPr>
        <w:t>的情形</w:t>
      </w:r>
    </w:p>
    <w:p w14:paraId="2B8E2522">
      <w:pPr>
        <w:spacing w:line="360" w:lineRule="auto"/>
        <w:ind w:firstLine="420" w:firstLineChars="200"/>
        <w:rPr>
          <w:rFonts w:ascii="宋体" w:hAnsi="宋体"/>
          <w:szCs w:val="21"/>
        </w:rPr>
      </w:pPr>
      <w:r>
        <w:rPr>
          <w:rFonts w:hint="eastAsia" w:ascii="宋体" w:hAnsi="宋体"/>
          <w:szCs w:val="21"/>
        </w:rPr>
        <w:t>（1）基金投资涉及的证券、期货交易市场遇法定节假日或因其他原因停市时；</w:t>
      </w:r>
    </w:p>
    <w:p w14:paraId="387681DF">
      <w:pPr>
        <w:pStyle w:val="35"/>
        <w:spacing w:after="78"/>
        <w:ind w:firstLine="420"/>
        <w:rPr>
          <w:rFonts w:ascii="宋体" w:hAnsi="宋体"/>
          <w:sz w:val="21"/>
          <w:szCs w:val="21"/>
        </w:rPr>
      </w:pPr>
      <w:r>
        <w:rPr>
          <w:rFonts w:hint="eastAsia" w:ascii="宋体" w:hAnsi="宋体"/>
          <w:sz w:val="21"/>
          <w:szCs w:val="21"/>
        </w:rPr>
        <w:t>（2）因不可抗力或其他情形致使基金管理人、基金托管人无法准确评估基金资产价值时；</w:t>
      </w:r>
    </w:p>
    <w:p w14:paraId="225C3A68">
      <w:pPr>
        <w:spacing w:line="360" w:lineRule="auto"/>
        <w:ind w:right="28" w:firstLine="420" w:firstLineChars="200"/>
        <w:rPr>
          <w:rFonts w:ascii="宋体" w:hAnsi="宋体"/>
          <w:szCs w:val="21"/>
        </w:rPr>
      </w:pPr>
      <w:r>
        <w:rPr>
          <w:rFonts w:hint="eastAsia" w:ascii="宋体" w:hAnsi="宋体"/>
          <w:szCs w:val="21"/>
        </w:rPr>
        <w:t>（3）中国证监会和《基金合同》认定的其他情形。</w:t>
      </w:r>
    </w:p>
    <w:p w14:paraId="7E5FE330">
      <w:pPr>
        <w:pStyle w:val="2"/>
        <w:keepNext w:val="0"/>
        <w:keepLines w:val="0"/>
        <w:numPr>
          <w:ilvl w:val="0"/>
          <w:numId w:val="2"/>
        </w:numPr>
        <w:tabs>
          <w:tab w:val="left" w:pos="420"/>
        </w:tabs>
        <w:autoSpaceDE w:val="0"/>
        <w:autoSpaceDN w:val="0"/>
        <w:adjustRightInd w:val="0"/>
        <w:spacing w:before="360" w:after="360"/>
        <w:textAlignment w:val="baseline"/>
        <w:rPr>
          <w:rFonts w:ascii="宋体" w:hAnsi="宋体" w:eastAsia="宋体" w:cs="Arial"/>
          <w:sz w:val="21"/>
          <w:szCs w:val="21"/>
        </w:rPr>
      </w:pPr>
      <w:bookmarkStart w:id="70" w:name="_Toc382819125"/>
      <w:r>
        <w:rPr>
          <w:rFonts w:hint="eastAsia" w:ascii="宋体" w:hAnsi="宋体" w:eastAsia="宋体" w:cs="Arial"/>
          <w:sz w:val="21"/>
          <w:szCs w:val="21"/>
        </w:rPr>
        <w:t>基金费用</w:t>
      </w:r>
      <w:bookmarkEnd w:id="70"/>
    </w:p>
    <w:p w14:paraId="5F7C1B53">
      <w:pPr>
        <w:spacing w:line="360" w:lineRule="auto"/>
        <w:ind w:firstLine="420" w:firstLineChars="200"/>
        <w:rPr>
          <w:rFonts w:ascii="宋体" w:hAnsi="宋体"/>
          <w:szCs w:val="21"/>
        </w:rPr>
      </w:pPr>
      <w:r>
        <w:rPr>
          <w:rFonts w:hint="eastAsia" w:ascii="宋体" w:hAnsi="宋体"/>
          <w:szCs w:val="21"/>
        </w:rPr>
        <w:t>本基金基金财产中持有的基金托管人自身托管的基金部分不收取托管费。本基金的托管费按前一日基金资产净值扣除基金财产中持有的基金托管人自身托管的基金部分所对应资产后剩余部分的0.1%的年费率计提。托管费的计算方法如下：</w:t>
      </w:r>
    </w:p>
    <w:p w14:paraId="03625C89">
      <w:pPr>
        <w:spacing w:line="360" w:lineRule="auto"/>
        <w:ind w:firstLine="420" w:firstLineChars="200"/>
        <w:rPr>
          <w:rFonts w:ascii="宋体" w:hAnsi="宋体"/>
          <w:szCs w:val="21"/>
        </w:rPr>
      </w:pPr>
      <w:r>
        <w:rPr>
          <w:rFonts w:hint="eastAsia" w:ascii="宋体" w:hAnsi="宋体"/>
          <w:szCs w:val="21"/>
        </w:rPr>
        <w:t>H＝E×年托管费率÷当年天数</w:t>
      </w:r>
    </w:p>
    <w:p w14:paraId="20D946C0">
      <w:pPr>
        <w:spacing w:line="360" w:lineRule="auto"/>
        <w:ind w:firstLine="420" w:firstLineChars="200"/>
        <w:rPr>
          <w:rFonts w:ascii="宋体" w:hAnsi="宋体"/>
          <w:szCs w:val="21"/>
        </w:rPr>
      </w:pPr>
      <w:r>
        <w:rPr>
          <w:rFonts w:hint="eastAsia" w:ascii="宋体" w:hAnsi="宋体"/>
          <w:szCs w:val="21"/>
        </w:rPr>
        <w:t>H为每日应计提的基金托管费</w:t>
      </w:r>
    </w:p>
    <w:p w14:paraId="2BF7274A">
      <w:pPr>
        <w:spacing w:line="360" w:lineRule="auto"/>
        <w:ind w:firstLine="420" w:firstLineChars="200"/>
        <w:rPr>
          <w:rFonts w:ascii="宋体" w:hAnsi="宋体"/>
          <w:szCs w:val="21"/>
        </w:rPr>
      </w:pPr>
      <w:r>
        <w:rPr>
          <w:rFonts w:hint="eastAsia" w:ascii="宋体" w:hAnsi="宋体"/>
          <w:szCs w:val="21"/>
        </w:rPr>
        <w:t>E为前一日的基金资产净值</w:t>
      </w:r>
    </w:p>
    <w:p w14:paraId="2F7C2A1A">
      <w:pPr>
        <w:spacing w:line="360" w:lineRule="auto"/>
        <w:ind w:firstLine="420" w:firstLineChars="200"/>
        <w:rPr>
          <w:rFonts w:ascii="宋体" w:hAnsi="宋体"/>
          <w:szCs w:val="21"/>
        </w:rPr>
      </w:pPr>
      <w:bookmarkStart w:id="71" w:name="_Hlk221014466"/>
      <w:r>
        <w:rPr>
          <w:rFonts w:hint="eastAsia" w:ascii="宋体" w:hAnsi="宋体"/>
          <w:szCs w:val="21"/>
        </w:rPr>
        <w:t>基金托管费每日计提，逐日累计至每月月末，按月支付。</w:t>
      </w:r>
      <w:bookmarkStart w:id="72" w:name="_Hlk221014592"/>
      <w:r>
        <w:rPr>
          <w:rFonts w:hint="eastAsia" w:ascii="宋体" w:hAnsi="宋体"/>
          <w:szCs w:val="21"/>
        </w:rPr>
        <w:t>由基金管理人与基金托管人核对一致后，由基金托管人按照与基金管理人协商一致的方式于次月首日起5个工作日内从基金财产中一次性支付给基金托管人</w:t>
      </w:r>
      <w:bookmarkEnd w:id="72"/>
      <w:r>
        <w:rPr>
          <w:rFonts w:hint="eastAsia" w:ascii="宋体" w:hAnsi="宋体"/>
          <w:szCs w:val="21"/>
        </w:rPr>
        <w:t>，若遇法定节假日、休息日或不可抗力致使无法按时支付的，</w:t>
      </w:r>
      <w:bookmarkStart w:id="73" w:name="_Hlk221014631"/>
      <w:r>
        <w:rPr>
          <w:rFonts w:hint="eastAsia" w:ascii="宋体" w:hAnsi="宋体"/>
          <w:szCs w:val="21"/>
        </w:rPr>
        <w:t>支付日期顺延</w:t>
      </w:r>
      <w:bookmarkEnd w:id="73"/>
      <w:r>
        <w:rPr>
          <w:rFonts w:hint="eastAsia" w:ascii="宋体" w:hAnsi="宋体"/>
          <w:szCs w:val="21"/>
        </w:rPr>
        <w:t>。</w:t>
      </w:r>
      <w:bookmarkEnd w:id="71"/>
    </w:p>
    <w:p w14:paraId="292D9D65">
      <w:pPr>
        <w:spacing w:line="360" w:lineRule="auto"/>
        <w:ind w:firstLine="420" w:firstLineChars="200"/>
        <w:rPr>
          <w:rFonts w:ascii="宋体" w:hAnsi="宋体"/>
          <w:szCs w:val="21"/>
        </w:rPr>
      </w:pPr>
    </w:p>
    <w:p w14:paraId="001F402D">
      <w:pPr>
        <w:spacing w:line="360" w:lineRule="auto"/>
        <w:ind w:firstLine="420" w:firstLineChars="200"/>
        <w:rPr>
          <w:rFonts w:ascii="宋体" w:hAnsi="宋体"/>
          <w:szCs w:val="21"/>
          <w:lang w:val="zh-CN"/>
        </w:rPr>
      </w:pPr>
      <w:r>
        <w:rPr>
          <w:rFonts w:hint="eastAsia" w:ascii="宋体" w:hAnsi="宋体"/>
          <w:szCs w:val="21"/>
        </w:rPr>
        <w:t>其他基金费用按照《基金合同》的约定计提和支付。</w:t>
      </w:r>
    </w:p>
    <w:p w14:paraId="024C7006">
      <w:pPr>
        <w:pStyle w:val="2"/>
        <w:keepNext w:val="0"/>
        <w:keepLines w:val="0"/>
        <w:numPr>
          <w:ilvl w:val="0"/>
          <w:numId w:val="2"/>
        </w:numPr>
        <w:tabs>
          <w:tab w:val="left" w:pos="420"/>
        </w:tabs>
        <w:autoSpaceDE w:val="0"/>
        <w:autoSpaceDN w:val="0"/>
        <w:adjustRightInd w:val="0"/>
        <w:spacing w:before="360" w:after="360"/>
        <w:textAlignment w:val="baseline"/>
        <w:rPr>
          <w:rFonts w:ascii="宋体" w:hAnsi="宋体" w:eastAsia="宋体" w:cs="Arial"/>
          <w:sz w:val="21"/>
          <w:szCs w:val="21"/>
        </w:rPr>
      </w:pPr>
      <w:bookmarkStart w:id="74" w:name="_Toc382819126"/>
      <w:r>
        <w:rPr>
          <w:rFonts w:hint="eastAsia" w:ascii="宋体" w:hAnsi="宋体" w:eastAsia="宋体" w:cs="Arial"/>
          <w:sz w:val="21"/>
          <w:szCs w:val="21"/>
        </w:rPr>
        <w:t>基金份额持有人名册的保管</w:t>
      </w:r>
      <w:bookmarkEnd w:id="74"/>
    </w:p>
    <w:p w14:paraId="2AE49A51">
      <w:pPr>
        <w:spacing w:line="360" w:lineRule="auto"/>
        <w:ind w:firstLine="420" w:firstLineChars="200"/>
        <w:rPr>
          <w:rFonts w:ascii="宋体" w:hAnsi="宋体"/>
          <w:szCs w:val="21"/>
        </w:rPr>
      </w:pPr>
      <w:r>
        <w:rPr>
          <w:rFonts w:hint="eastAsia" w:ascii="宋体" w:hAnsi="宋体"/>
          <w:szCs w:val="21"/>
        </w:rPr>
        <w:t>基金管理人妥善保管的基金份额持有人名册，包括《基金合同》生效日、《基金合同》终止日、基金份额持有人大会权益登记日、每年6月30日、12月31日的基金份额持有人名册。基金份额持有人名册的内容必须包括基金份额持有人的名称和持有的基金份额。</w:t>
      </w:r>
    </w:p>
    <w:p w14:paraId="3FD8BFEE">
      <w:pPr>
        <w:spacing w:line="360" w:lineRule="auto"/>
        <w:ind w:firstLine="420" w:firstLineChars="200"/>
        <w:rPr>
          <w:rFonts w:ascii="宋体" w:hAnsi="宋体"/>
          <w:szCs w:val="21"/>
        </w:rPr>
      </w:pPr>
      <w:r>
        <w:rPr>
          <w:rFonts w:hint="eastAsia" w:ascii="宋体" w:hAnsi="宋体"/>
          <w:szCs w:val="21"/>
        </w:rPr>
        <w:t>基金份额持有人名册由基金的</w:t>
      </w:r>
      <w:r>
        <w:rPr>
          <w:rFonts w:hint="eastAsia" w:ascii="宋体" w:hAnsi="宋体" w:cs="Arial"/>
          <w:szCs w:val="21"/>
        </w:rPr>
        <w:t>基金登记机构根据基金管理人的指令编制和保管</w:t>
      </w:r>
      <w:r>
        <w:rPr>
          <w:rFonts w:hint="eastAsia" w:ascii="宋体" w:hAnsi="宋体"/>
          <w:szCs w:val="21"/>
        </w:rPr>
        <w:t>，基金管理人应按照目前相关规则保管基金份额持有人名册。保管方式可以采用电子或文档的形式。保管期限不低于法律</w:t>
      </w:r>
      <w:r>
        <w:rPr>
          <w:rFonts w:ascii="宋体" w:hAnsi="宋体"/>
          <w:szCs w:val="21"/>
        </w:rPr>
        <w:t>法规</w:t>
      </w:r>
      <w:r>
        <w:rPr>
          <w:rFonts w:hint="eastAsia" w:ascii="宋体" w:hAnsi="宋体"/>
          <w:szCs w:val="21"/>
        </w:rPr>
        <w:t>规定</w:t>
      </w:r>
      <w:r>
        <w:rPr>
          <w:rFonts w:ascii="宋体" w:hAnsi="宋体"/>
          <w:szCs w:val="21"/>
        </w:rPr>
        <w:t>的最低期限</w:t>
      </w:r>
      <w:r>
        <w:rPr>
          <w:rFonts w:hint="eastAsia" w:ascii="宋体" w:hAnsi="宋体"/>
          <w:szCs w:val="21"/>
        </w:rPr>
        <w:t>。</w:t>
      </w:r>
    </w:p>
    <w:p w14:paraId="61801C36">
      <w:pPr>
        <w:spacing w:line="360" w:lineRule="auto"/>
        <w:ind w:firstLine="420" w:firstLineChars="200"/>
        <w:rPr>
          <w:rFonts w:ascii="宋体" w:hAnsi="宋体" w:cs="Arial"/>
          <w:szCs w:val="21"/>
        </w:rPr>
      </w:pPr>
      <w:r>
        <w:rPr>
          <w:rFonts w:hint="eastAsia" w:ascii="宋体" w:hAnsi="宋体"/>
          <w:szCs w:val="21"/>
        </w:rPr>
        <w:t>在基金托管人编制中期报告和</w:t>
      </w:r>
      <w:r>
        <w:rPr>
          <w:rFonts w:ascii="宋体" w:hAnsi="宋体"/>
          <w:szCs w:val="21"/>
        </w:rPr>
        <w:t>年度报告</w:t>
      </w:r>
      <w:r>
        <w:rPr>
          <w:rFonts w:hint="eastAsia" w:ascii="宋体" w:hAnsi="宋体"/>
          <w:szCs w:val="21"/>
        </w:rPr>
        <w:t>前，基金管理人应将每年6月30日、12月31日的基金持有人名册送交基金托管人，文件方式可以采用电子或文档的形式并且保证其的真实、准确、完整。基金托管人应妥善保管，不得将持有人名册用于基金托管业务以外的其他用途。</w:t>
      </w:r>
    </w:p>
    <w:p w14:paraId="6B0B6223">
      <w:pPr>
        <w:pStyle w:val="2"/>
        <w:keepNext w:val="0"/>
        <w:keepLines w:val="0"/>
        <w:numPr>
          <w:ilvl w:val="0"/>
          <w:numId w:val="2"/>
        </w:numPr>
        <w:tabs>
          <w:tab w:val="left" w:pos="420"/>
        </w:tabs>
        <w:autoSpaceDE w:val="0"/>
        <w:autoSpaceDN w:val="0"/>
        <w:adjustRightInd w:val="0"/>
        <w:spacing w:before="360" w:after="360"/>
        <w:textAlignment w:val="baseline"/>
        <w:rPr>
          <w:rFonts w:ascii="宋体" w:hAnsi="宋体" w:eastAsia="宋体" w:cs="Arial"/>
          <w:sz w:val="21"/>
          <w:szCs w:val="21"/>
        </w:rPr>
      </w:pPr>
      <w:bookmarkStart w:id="75" w:name="_Toc382819127"/>
      <w:r>
        <w:rPr>
          <w:rFonts w:hint="eastAsia" w:ascii="宋体" w:hAnsi="宋体" w:eastAsia="宋体" w:cs="Arial"/>
          <w:sz w:val="21"/>
          <w:szCs w:val="21"/>
        </w:rPr>
        <w:t>基金有关文件和档案的保存</w:t>
      </w:r>
      <w:bookmarkEnd w:id="75"/>
    </w:p>
    <w:p w14:paraId="6A2A39D7">
      <w:pPr>
        <w:spacing w:line="360" w:lineRule="auto"/>
        <w:ind w:firstLine="420" w:firstLineChars="200"/>
        <w:outlineLvl w:val="1"/>
        <w:rPr>
          <w:rFonts w:ascii="宋体" w:hAnsi="宋体" w:cs="Arial"/>
          <w:szCs w:val="21"/>
        </w:rPr>
      </w:pPr>
      <w:r>
        <w:rPr>
          <w:rFonts w:hint="eastAsia" w:ascii="宋体" w:hAnsi="宋体" w:cs="Arial"/>
          <w:szCs w:val="21"/>
        </w:rPr>
        <w:t>（一）档案保存</w:t>
      </w:r>
    </w:p>
    <w:p w14:paraId="1F433467">
      <w:pPr>
        <w:spacing w:line="360" w:lineRule="auto"/>
        <w:ind w:firstLine="420" w:firstLineChars="200"/>
        <w:rPr>
          <w:rFonts w:ascii="宋体" w:hAnsi="宋体" w:cs="Arial"/>
          <w:szCs w:val="21"/>
        </w:rPr>
      </w:pPr>
      <w:r>
        <w:rPr>
          <w:rFonts w:hint="eastAsia" w:ascii="宋体" w:hAnsi="宋体" w:cs="Arial"/>
          <w:szCs w:val="21"/>
        </w:rPr>
        <w:t>基金管理人和基金托管人应按各自职责完整保存本基金的基金账册、原始凭证、记账凭证、交易记录、公告、重要合同等相关资料，承担保密义务并按规定的期限保管。基金管理人应保存基金财产管理业务活动的记录、账册、报表和其他相关资料，基金托管人应保存基金托管业务活动的记录、账册、报表和其他相关资料。保存期限</w:t>
      </w:r>
      <w:r>
        <w:rPr>
          <w:rFonts w:hint="eastAsia" w:ascii="宋体" w:hAnsi="宋体"/>
          <w:szCs w:val="21"/>
        </w:rPr>
        <w:t>不低于法律</w:t>
      </w:r>
      <w:r>
        <w:rPr>
          <w:rFonts w:ascii="宋体" w:hAnsi="宋体"/>
          <w:szCs w:val="21"/>
        </w:rPr>
        <w:t>法规</w:t>
      </w:r>
      <w:r>
        <w:rPr>
          <w:rFonts w:hint="eastAsia" w:ascii="宋体" w:hAnsi="宋体"/>
          <w:szCs w:val="21"/>
        </w:rPr>
        <w:t>规定</w:t>
      </w:r>
      <w:r>
        <w:rPr>
          <w:rFonts w:ascii="宋体" w:hAnsi="宋体"/>
          <w:szCs w:val="21"/>
        </w:rPr>
        <w:t>的最低期限</w:t>
      </w:r>
      <w:r>
        <w:rPr>
          <w:rFonts w:hint="eastAsia" w:ascii="宋体" w:hAnsi="宋体"/>
          <w:szCs w:val="21"/>
        </w:rPr>
        <w:t>。</w:t>
      </w:r>
    </w:p>
    <w:p w14:paraId="2730F15C">
      <w:pPr>
        <w:spacing w:line="360" w:lineRule="auto"/>
        <w:ind w:firstLine="420" w:firstLineChars="200"/>
        <w:outlineLvl w:val="1"/>
        <w:rPr>
          <w:rFonts w:ascii="宋体" w:hAnsi="宋体" w:cs="Arial"/>
          <w:szCs w:val="21"/>
        </w:rPr>
      </w:pPr>
      <w:r>
        <w:rPr>
          <w:rFonts w:hint="eastAsia" w:ascii="宋体" w:hAnsi="宋体" w:cs="Arial"/>
          <w:szCs w:val="21"/>
        </w:rPr>
        <w:t>（二）合同档案的建立</w:t>
      </w:r>
    </w:p>
    <w:p w14:paraId="61A40854">
      <w:pPr>
        <w:spacing w:line="360" w:lineRule="auto"/>
        <w:ind w:firstLine="420" w:firstLineChars="200"/>
        <w:rPr>
          <w:rFonts w:ascii="宋体" w:hAnsi="宋体" w:cs="Arial"/>
          <w:szCs w:val="21"/>
        </w:rPr>
      </w:pPr>
      <w:r>
        <w:rPr>
          <w:rFonts w:hint="eastAsia" w:ascii="宋体" w:hAnsi="宋体" w:cs="Arial"/>
          <w:szCs w:val="21"/>
        </w:rPr>
        <w:t>1、基金管理人或基金托管人在签署与本基金有关的合同文本后，应及时按相关法律法规及本协议的规定将合同正本或副本提交对方。</w:t>
      </w:r>
    </w:p>
    <w:p w14:paraId="535B5E1F">
      <w:pPr>
        <w:spacing w:line="360" w:lineRule="auto"/>
        <w:ind w:firstLine="420" w:firstLineChars="200"/>
        <w:rPr>
          <w:rFonts w:ascii="宋体" w:hAnsi="宋体" w:cs="Arial"/>
          <w:szCs w:val="21"/>
        </w:rPr>
      </w:pPr>
      <w:r>
        <w:rPr>
          <w:rFonts w:hint="eastAsia" w:ascii="宋体" w:hAnsi="宋体" w:cs="Arial"/>
          <w:szCs w:val="21"/>
        </w:rPr>
        <w:t>2、基金管理人和基金托管人应按各自职责保管就基金资产对外签署的全部合同的正本。</w:t>
      </w:r>
    </w:p>
    <w:p w14:paraId="36816054">
      <w:pPr>
        <w:spacing w:line="360" w:lineRule="auto"/>
        <w:ind w:firstLine="420" w:firstLineChars="200"/>
        <w:outlineLvl w:val="1"/>
        <w:rPr>
          <w:rFonts w:ascii="宋体" w:hAnsi="宋体" w:cs="Arial"/>
          <w:szCs w:val="21"/>
        </w:rPr>
      </w:pPr>
      <w:r>
        <w:rPr>
          <w:rFonts w:hint="eastAsia" w:ascii="宋体" w:hAnsi="宋体" w:cs="Arial"/>
          <w:szCs w:val="21"/>
        </w:rPr>
        <w:t>（三）变更与协助</w:t>
      </w:r>
    </w:p>
    <w:p w14:paraId="771CDC6B">
      <w:pPr>
        <w:spacing w:line="360" w:lineRule="auto"/>
        <w:ind w:firstLine="420" w:firstLineChars="200"/>
        <w:rPr>
          <w:rFonts w:ascii="宋体" w:hAnsi="宋体"/>
          <w:szCs w:val="21"/>
        </w:rPr>
      </w:pPr>
      <w:r>
        <w:rPr>
          <w:rFonts w:hint="eastAsia" w:ascii="宋体" w:hAnsi="宋体" w:cs="Arial"/>
          <w:szCs w:val="21"/>
        </w:rPr>
        <w:t>若基金管理人和基金托管人发生变更，未变更的一方有义务协助变更后的接任人接收相应文件。</w:t>
      </w:r>
    </w:p>
    <w:p w14:paraId="34576320">
      <w:pPr>
        <w:pStyle w:val="2"/>
        <w:keepNext w:val="0"/>
        <w:keepLines w:val="0"/>
        <w:numPr>
          <w:ilvl w:val="0"/>
          <w:numId w:val="2"/>
        </w:numPr>
        <w:tabs>
          <w:tab w:val="left" w:pos="420"/>
        </w:tabs>
        <w:autoSpaceDE w:val="0"/>
        <w:autoSpaceDN w:val="0"/>
        <w:adjustRightInd w:val="0"/>
        <w:spacing w:before="360" w:after="360"/>
        <w:textAlignment w:val="baseline"/>
        <w:rPr>
          <w:rFonts w:ascii="宋体" w:hAnsi="宋体" w:eastAsia="宋体" w:cs="Arial"/>
          <w:sz w:val="21"/>
          <w:szCs w:val="21"/>
        </w:rPr>
      </w:pPr>
      <w:bookmarkStart w:id="76" w:name="_Toc382819128"/>
      <w:bookmarkStart w:id="77" w:name="_Hlk207919470"/>
      <w:r>
        <w:rPr>
          <w:rFonts w:hint="eastAsia" w:ascii="宋体" w:hAnsi="宋体" w:eastAsia="宋体" w:cs="Arial"/>
          <w:sz w:val="21"/>
          <w:szCs w:val="21"/>
        </w:rPr>
        <w:t>基金管理人和基金托管人的更换</w:t>
      </w:r>
      <w:bookmarkEnd w:id="76"/>
    </w:p>
    <w:p w14:paraId="517B676A">
      <w:pPr>
        <w:pStyle w:val="3"/>
        <w:keepNext w:val="0"/>
        <w:keepLines w:val="0"/>
        <w:autoSpaceDE w:val="0"/>
        <w:autoSpaceDN w:val="0"/>
        <w:adjustRightInd w:val="0"/>
        <w:spacing w:before="0" w:after="0" w:line="360" w:lineRule="auto"/>
        <w:ind w:firstLine="308" w:firstLineChars="147"/>
        <w:textAlignment w:val="baseline"/>
        <w:rPr>
          <w:rFonts w:ascii="宋体" w:hAnsi="宋体" w:eastAsia="宋体" w:cs="Arial"/>
          <w:b w:val="0"/>
          <w:bCs w:val="0"/>
          <w:kern w:val="0"/>
          <w:sz w:val="21"/>
          <w:szCs w:val="21"/>
        </w:rPr>
      </w:pPr>
      <w:bookmarkStart w:id="78" w:name="_Toc382819129"/>
      <w:r>
        <w:rPr>
          <w:rFonts w:hint="eastAsia" w:ascii="宋体" w:hAnsi="宋体" w:eastAsia="宋体" w:cs="Arial"/>
          <w:b w:val="0"/>
          <w:bCs w:val="0"/>
          <w:kern w:val="0"/>
          <w:sz w:val="21"/>
          <w:szCs w:val="21"/>
        </w:rPr>
        <w:t>（一）基金管理人的更换</w:t>
      </w:r>
      <w:bookmarkEnd w:id="78"/>
    </w:p>
    <w:p w14:paraId="67AC4BD7">
      <w:pPr>
        <w:spacing w:line="360" w:lineRule="auto"/>
        <w:ind w:firstLine="420" w:firstLineChars="200"/>
        <w:rPr>
          <w:rFonts w:ascii="宋体" w:hAnsi="宋体"/>
          <w:szCs w:val="21"/>
        </w:rPr>
      </w:pPr>
      <w:r>
        <w:rPr>
          <w:rFonts w:hint="eastAsia" w:ascii="宋体" w:hAnsi="宋体"/>
          <w:szCs w:val="21"/>
        </w:rPr>
        <w:t>1.基金管理人的更换条件</w:t>
      </w:r>
    </w:p>
    <w:p w14:paraId="49E3010D">
      <w:pPr>
        <w:spacing w:line="360" w:lineRule="auto"/>
        <w:ind w:firstLine="420" w:firstLineChars="200"/>
        <w:rPr>
          <w:rFonts w:ascii="宋体" w:hAnsi="宋体"/>
          <w:szCs w:val="21"/>
        </w:rPr>
      </w:pPr>
      <w:r>
        <w:rPr>
          <w:rFonts w:hint="eastAsia" w:ascii="宋体" w:hAnsi="宋体"/>
          <w:szCs w:val="21"/>
        </w:rPr>
        <w:t>有下列情形之一的，基金管理人职责终止：</w:t>
      </w:r>
    </w:p>
    <w:p w14:paraId="5921F98D">
      <w:pPr>
        <w:spacing w:line="360" w:lineRule="auto"/>
        <w:ind w:firstLine="420" w:firstLineChars="200"/>
        <w:rPr>
          <w:rFonts w:ascii="宋体" w:hAnsi="宋体"/>
          <w:szCs w:val="21"/>
        </w:rPr>
      </w:pPr>
      <w:r>
        <w:rPr>
          <w:rFonts w:hint="eastAsia" w:ascii="宋体" w:hAnsi="宋体"/>
          <w:szCs w:val="21"/>
        </w:rPr>
        <w:t>(1) 被依法取消基金管理资格；</w:t>
      </w:r>
    </w:p>
    <w:p w14:paraId="25315334">
      <w:pPr>
        <w:spacing w:line="360" w:lineRule="auto"/>
        <w:ind w:firstLine="420" w:firstLineChars="200"/>
        <w:rPr>
          <w:rFonts w:ascii="宋体" w:hAnsi="宋体"/>
          <w:szCs w:val="21"/>
        </w:rPr>
      </w:pPr>
      <w:r>
        <w:rPr>
          <w:rFonts w:hint="eastAsia" w:ascii="宋体" w:hAnsi="宋体"/>
          <w:szCs w:val="21"/>
        </w:rPr>
        <w:t>(2) 被基金份额持有人大会解任；</w:t>
      </w:r>
    </w:p>
    <w:p w14:paraId="76E83E4A">
      <w:pPr>
        <w:spacing w:line="360" w:lineRule="auto"/>
        <w:ind w:firstLine="420" w:firstLineChars="200"/>
        <w:rPr>
          <w:rFonts w:ascii="宋体" w:hAnsi="宋体"/>
          <w:szCs w:val="21"/>
        </w:rPr>
      </w:pPr>
      <w:r>
        <w:rPr>
          <w:rFonts w:hint="eastAsia" w:ascii="宋体" w:hAnsi="宋体"/>
          <w:szCs w:val="21"/>
        </w:rPr>
        <w:t>(3) 依法解散、被依法撤销或被依法宣告破产；</w:t>
      </w:r>
    </w:p>
    <w:p w14:paraId="70BD5F39">
      <w:pPr>
        <w:spacing w:line="360" w:lineRule="auto"/>
        <w:ind w:firstLine="420" w:firstLineChars="200"/>
        <w:rPr>
          <w:rFonts w:ascii="宋体" w:hAnsi="宋体"/>
          <w:szCs w:val="21"/>
        </w:rPr>
      </w:pPr>
      <w:r>
        <w:rPr>
          <w:rFonts w:hint="eastAsia" w:ascii="宋体" w:hAnsi="宋体"/>
          <w:szCs w:val="21"/>
        </w:rPr>
        <w:t>(4) 法律法规</w:t>
      </w:r>
      <w:r>
        <w:rPr>
          <w:rFonts w:hint="eastAsia" w:ascii="宋体" w:hAnsi="宋体"/>
          <w:bCs/>
          <w:szCs w:val="21"/>
        </w:rPr>
        <w:t>及中国证监会规定的</w:t>
      </w:r>
      <w:r>
        <w:rPr>
          <w:rFonts w:hint="eastAsia" w:ascii="宋体" w:hAnsi="宋体"/>
          <w:szCs w:val="21"/>
        </w:rPr>
        <w:t>和《基金合同》规定的其它情形。</w:t>
      </w:r>
    </w:p>
    <w:p w14:paraId="1ACA6ECF">
      <w:pPr>
        <w:spacing w:line="360" w:lineRule="auto"/>
        <w:ind w:firstLine="420" w:firstLineChars="200"/>
        <w:rPr>
          <w:rFonts w:ascii="宋体" w:hAnsi="宋体"/>
          <w:szCs w:val="21"/>
        </w:rPr>
      </w:pPr>
      <w:r>
        <w:rPr>
          <w:rFonts w:hint="eastAsia" w:ascii="宋体" w:hAnsi="宋体"/>
          <w:szCs w:val="21"/>
        </w:rPr>
        <w:t>2.更换基金管理人的程序</w:t>
      </w:r>
    </w:p>
    <w:p w14:paraId="1DFF033B">
      <w:pPr>
        <w:spacing w:line="360" w:lineRule="auto"/>
        <w:ind w:firstLine="420" w:firstLineChars="200"/>
        <w:rPr>
          <w:rFonts w:ascii="宋体" w:hAnsi="宋体"/>
          <w:szCs w:val="21"/>
        </w:rPr>
      </w:pPr>
      <w:r>
        <w:rPr>
          <w:rFonts w:hint="eastAsia" w:ascii="宋体" w:hAnsi="宋体"/>
          <w:szCs w:val="21"/>
        </w:rPr>
        <w:t>（1）提名：新任基金管理人由基金托管人或由单独或合计持有10%以上（含10%）基金份额的基金份额持有人提名；</w:t>
      </w:r>
    </w:p>
    <w:p w14:paraId="261D2B47">
      <w:pPr>
        <w:spacing w:line="360" w:lineRule="auto"/>
        <w:ind w:firstLine="420" w:firstLineChars="200"/>
        <w:rPr>
          <w:rFonts w:ascii="宋体" w:hAnsi="宋体"/>
          <w:szCs w:val="21"/>
        </w:rPr>
      </w:pPr>
      <w:r>
        <w:rPr>
          <w:rFonts w:hint="eastAsia" w:ascii="宋体" w:hAnsi="宋体"/>
          <w:szCs w:val="21"/>
        </w:rPr>
        <w:t>（2）决议：基金份额持有人大会在基金管理人职责终止后6个月内对被提名的</w:t>
      </w:r>
      <w:r>
        <w:rPr>
          <w:rFonts w:hint="eastAsia" w:ascii="宋体" w:hAnsi="宋体"/>
          <w:bCs/>
          <w:szCs w:val="21"/>
        </w:rPr>
        <w:t>新任</w:t>
      </w:r>
      <w:r>
        <w:rPr>
          <w:rFonts w:hint="eastAsia" w:ascii="宋体" w:hAnsi="宋体"/>
          <w:szCs w:val="21"/>
        </w:rPr>
        <w:t>基金管理人形成决议，该决议需经参加大会的基金份额持有人所持表决权的2/3以上（含2/3）表决通过</w:t>
      </w:r>
      <w:r>
        <w:rPr>
          <w:rFonts w:ascii="宋体" w:hAnsi="宋体"/>
          <w:bCs/>
          <w:szCs w:val="21"/>
        </w:rPr>
        <w:t>，决议自表决通过之日起生效</w:t>
      </w:r>
      <w:r>
        <w:rPr>
          <w:rFonts w:hint="eastAsia" w:ascii="宋体" w:hAnsi="宋体"/>
          <w:bCs/>
          <w:szCs w:val="21"/>
        </w:rPr>
        <w:t>，新任基金管理人应当符合法律法规及中国证监会规定的资格条件</w:t>
      </w:r>
      <w:r>
        <w:rPr>
          <w:rFonts w:hint="eastAsia" w:ascii="宋体" w:hAnsi="宋体"/>
          <w:szCs w:val="21"/>
        </w:rPr>
        <w:t>；</w:t>
      </w:r>
    </w:p>
    <w:p w14:paraId="1FE40ECC">
      <w:pPr>
        <w:spacing w:line="360" w:lineRule="auto"/>
        <w:ind w:firstLine="420" w:firstLineChars="200"/>
        <w:rPr>
          <w:rFonts w:ascii="宋体" w:hAnsi="宋体"/>
          <w:szCs w:val="21"/>
        </w:rPr>
      </w:pPr>
      <w:r>
        <w:rPr>
          <w:rFonts w:hint="eastAsia" w:ascii="宋体" w:hAnsi="宋体"/>
          <w:szCs w:val="21"/>
        </w:rPr>
        <w:t>（3）临时基金管理人：新任基金管理人产生之前，由中国证监会指定临时基金管理人；</w:t>
      </w:r>
    </w:p>
    <w:p w14:paraId="03F3D1A0">
      <w:pPr>
        <w:spacing w:line="360" w:lineRule="auto"/>
        <w:ind w:firstLine="420" w:firstLineChars="200"/>
        <w:rPr>
          <w:rFonts w:ascii="宋体" w:hAnsi="宋体"/>
          <w:szCs w:val="21"/>
        </w:rPr>
      </w:pPr>
      <w:r>
        <w:rPr>
          <w:rFonts w:hint="eastAsia" w:ascii="宋体" w:hAnsi="宋体"/>
          <w:szCs w:val="21"/>
        </w:rPr>
        <w:t>（4）</w:t>
      </w:r>
      <w:r>
        <w:rPr>
          <w:rFonts w:ascii="宋体" w:hAnsi="宋体"/>
          <w:szCs w:val="21"/>
        </w:rPr>
        <w:t>备案</w:t>
      </w:r>
      <w:r>
        <w:rPr>
          <w:rFonts w:hint="eastAsia" w:ascii="宋体" w:hAnsi="宋体"/>
          <w:szCs w:val="21"/>
        </w:rPr>
        <w:t>：基金份额持有人大会</w:t>
      </w:r>
      <w:r>
        <w:rPr>
          <w:rFonts w:ascii="宋体" w:hAnsi="宋体"/>
          <w:szCs w:val="21"/>
        </w:rPr>
        <w:t>更换</w:t>
      </w:r>
      <w:r>
        <w:rPr>
          <w:rFonts w:hint="eastAsia" w:ascii="宋体" w:hAnsi="宋体"/>
          <w:szCs w:val="21"/>
        </w:rPr>
        <w:t>基金管理人的决议须</w:t>
      </w:r>
      <w:r>
        <w:rPr>
          <w:rFonts w:ascii="宋体" w:hAnsi="宋体"/>
          <w:szCs w:val="21"/>
        </w:rPr>
        <w:t>报</w:t>
      </w:r>
      <w:r>
        <w:rPr>
          <w:rFonts w:hint="eastAsia" w:ascii="宋体" w:hAnsi="宋体"/>
          <w:szCs w:val="21"/>
        </w:rPr>
        <w:t>中国证监会</w:t>
      </w:r>
      <w:r>
        <w:rPr>
          <w:rFonts w:ascii="宋体" w:hAnsi="宋体"/>
          <w:szCs w:val="21"/>
        </w:rPr>
        <w:t>备案</w:t>
      </w:r>
      <w:r>
        <w:rPr>
          <w:rFonts w:hint="eastAsia" w:ascii="宋体" w:hAnsi="宋体"/>
          <w:szCs w:val="21"/>
        </w:rPr>
        <w:t>；</w:t>
      </w:r>
    </w:p>
    <w:p w14:paraId="24BCA390">
      <w:pPr>
        <w:spacing w:line="360" w:lineRule="auto"/>
        <w:ind w:firstLine="420" w:firstLineChars="200"/>
        <w:rPr>
          <w:rFonts w:ascii="宋体" w:hAnsi="宋体"/>
          <w:szCs w:val="21"/>
        </w:rPr>
      </w:pPr>
      <w:r>
        <w:rPr>
          <w:rFonts w:hint="eastAsia" w:ascii="宋体" w:hAnsi="宋体"/>
          <w:szCs w:val="21"/>
        </w:rPr>
        <w:t>（5）公告：基金管理人更换后，由基金托管人在</w:t>
      </w:r>
      <w:r>
        <w:rPr>
          <w:rFonts w:ascii="宋体" w:hAnsi="宋体"/>
          <w:bCs/>
          <w:szCs w:val="21"/>
        </w:rPr>
        <w:t>更换基金管理人的基金份额持有人大会决议生效后</w:t>
      </w:r>
      <w:r>
        <w:rPr>
          <w:rFonts w:hint="eastAsia" w:ascii="宋体" w:hAnsi="宋体"/>
          <w:bCs/>
          <w:szCs w:val="21"/>
        </w:rPr>
        <w:t>依照《信息披露办法》的规定</w:t>
      </w:r>
      <w:r>
        <w:rPr>
          <w:rFonts w:ascii="宋体" w:hAnsi="宋体"/>
          <w:bCs/>
          <w:szCs w:val="21"/>
        </w:rPr>
        <w:t>在</w:t>
      </w:r>
      <w:r>
        <w:rPr>
          <w:rFonts w:hint="eastAsia" w:ascii="宋体" w:hAnsi="宋体"/>
          <w:bCs/>
          <w:szCs w:val="21"/>
        </w:rPr>
        <w:t>规定媒介</w:t>
      </w:r>
      <w:r>
        <w:rPr>
          <w:rFonts w:ascii="宋体" w:hAnsi="宋体"/>
          <w:bCs/>
          <w:szCs w:val="21"/>
        </w:rPr>
        <w:t>公告</w:t>
      </w:r>
      <w:r>
        <w:rPr>
          <w:rFonts w:hint="eastAsia" w:ascii="宋体" w:hAnsi="宋体"/>
          <w:szCs w:val="21"/>
        </w:rPr>
        <w:t>；</w:t>
      </w:r>
    </w:p>
    <w:p w14:paraId="08BA224A">
      <w:pPr>
        <w:spacing w:line="360" w:lineRule="auto"/>
        <w:ind w:firstLine="420" w:firstLineChars="200"/>
        <w:rPr>
          <w:rFonts w:ascii="宋体" w:hAnsi="宋体"/>
          <w:szCs w:val="21"/>
        </w:rPr>
      </w:pPr>
      <w:r>
        <w:rPr>
          <w:rFonts w:hint="eastAsia" w:ascii="宋体" w:hAnsi="宋体"/>
          <w:bCs/>
          <w:szCs w:val="21"/>
        </w:rPr>
        <w:t>（6）</w:t>
      </w:r>
      <w:r>
        <w:rPr>
          <w:rFonts w:ascii="宋体" w:hAnsi="宋体"/>
          <w:bCs/>
          <w:szCs w:val="21"/>
        </w:rPr>
        <w:t>交接：基金管理人职责终止的，</w:t>
      </w:r>
      <w:r>
        <w:rPr>
          <w:rFonts w:hint="eastAsia" w:ascii="宋体" w:hAnsi="宋体"/>
          <w:szCs w:val="21"/>
        </w:rPr>
        <w:t>基金管理人应妥善保管基金管理业务资料，及时向临时基金管理人或新任基金管理人办理基金管理业务的移交手续，临时基金管理人或新任基金管理人应及时接收</w:t>
      </w:r>
      <w:r>
        <w:rPr>
          <w:rFonts w:ascii="宋体" w:hAnsi="宋体"/>
          <w:bCs/>
          <w:szCs w:val="21"/>
        </w:rPr>
        <w:t>。新任基金管理人</w:t>
      </w:r>
      <w:r>
        <w:rPr>
          <w:rFonts w:hint="eastAsia" w:ascii="宋体" w:hAnsi="宋体"/>
          <w:bCs/>
          <w:szCs w:val="21"/>
        </w:rPr>
        <w:t>或者临时基金管理人</w:t>
      </w:r>
      <w:r>
        <w:rPr>
          <w:rFonts w:ascii="宋体" w:hAnsi="宋体"/>
          <w:bCs/>
          <w:szCs w:val="21"/>
        </w:rPr>
        <w:t>应与基金托管人核对基金资产总值</w:t>
      </w:r>
      <w:r>
        <w:rPr>
          <w:rFonts w:hint="eastAsia" w:ascii="宋体" w:hAnsi="宋体"/>
          <w:bCs/>
          <w:szCs w:val="21"/>
        </w:rPr>
        <w:t>和净值</w:t>
      </w:r>
      <w:r>
        <w:rPr>
          <w:rFonts w:hint="eastAsia" w:ascii="宋体" w:hAnsi="宋体"/>
          <w:szCs w:val="21"/>
        </w:rPr>
        <w:t>；</w:t>
      </w:r>
    </w:p>
    <w:p w14:paraId="1F30B4C7">
      <w:pPr>
        <w:spacing w:line="360" w:lineRule="auto"/>
        <w:ind w:firstLine="420" w:firstLineChars="200"/>
        <w:rPr>
          <w:rFonts w:ascii="宋体" w:hAnsi="宋体"/>
          <w:szCs w:val="21"/>
        </w:rPr>
      </w:pPr>
      <w:r>
        <w:rPr>
          <w:rFonts w:hint="eastAsia" w:ascii="宋体" w:hAnsi="宋体"/>
          <w:szCs w:val="21"/>
        </w:rPr>
        <w:t>（</w:t>
      </w:r>
      <w:r>
        <w:rPr>
          <w:rFonts w:ascii="宋体" w:hAnsi="宋体"/>
          <w:szCs w:val="21"/>
        </w:rPr>
        <w:t>7</w:t>
      </w:r>
      <w:r>
        <w:rPr>
          <w:rFonts w:hint="eastAsia" w:ascii="宋体" w:hAnsi="宋体"/>
          <w:szCs w:val="21"/>
        </w:rPr>
        <w:t>）审计：基金管理人职责终止的，应当按照法律法规规定聘请</w:t>
      </w:r>
      <w:r>
        <w:rPr>
          <w:rFonts w:hint="eastAsia" w:ascii="宋体" w:hAnsi="宋体"/>
          <w:bCs/>
          <w:szCs w:val="21"/>
        </w:rPr>
        <w:t>符合《中华人民共和国证券法》规定的</w:t>
      </w:r>
      <w:r>
        <w:rPr>
          <w:rFonts w:hint="eastAsia" w:ascii="宋体" w:hAnsi="宋体"/>
          <w:szCs w:val="21"/>
        </w:rPr>
        <w:t>会计师事务所对基金财产进行审计，并将审计结果予以公告，同时报中国证监会备案</w:t>
      </w:r>
      <w:r>
        <w:rPr>
          <w:rFonts w:hint="eastAsia" w:ascii="宋体" w:hAnsi="宋体"/>
          <w:bCs/>
          <w:szCs w:val="21"/>
        </w:rPr>
        <w:t>，审计费用从基金财产中列支</w:t>
      </w:r>
      <w:r>
        <w:rPr>
          <w:rFonts w:hint="eastAsia" w:ascii="宋体" w:hAnsi="宋体"/>
          <w:szCs w:val="21"/>
        </w:rPr>
        <w:t>；</w:t>
      </w:r>
    </w:p>
    <w:p w14:paraId="62626DBA">
      <w:pPr>
        <w:spacing w:line="360" w:lineRule="auto"/>
        <w:ind w:firstLine="420" w:firstLineChars="200"/>
        <w:rPr>
          <w:rFonts w:ascii="宋体" w:hAnsi="宋体"/>
          <w:szCs w:val="21"/>
        </w:rPr>
      </w:pPr>
      <w:r>
        <w:rPr>
          <w:rFonts w:hint="eastAsia" w:ascii="宋体" w:hAnsi="宋体"/>
          <w:szCs w:val="21"/>
        </w:rPr>
        <w:t>（</w:t>
      </w:r>
      <w:r>
        <w:rPr>
          <w:rFonts w:ascii="宋体" w:hAnsi="宋体"/>
          <w:szCs w:val="21"/>
        </w:rPr>
        <w:t>8</w:t>
      </w:r>
      <w:r>
        <w:rPr>
          <w:rFonts w:hint="eastAsia" w:ascii="宋体" w:hAnsi="宋体"/>
          <w:szCs w:val="21"/>
        </w:rPr>
        <w:t>）基金名称变更：基金管理人更换后，如果原任或新任基金管理人要求，应按其要求替换或删除基金名称中与原基金管理人有关的名称字样。</w:t>
      </w:r>
    </w:p>
    <w:p w14:paraId="1175D15D">
      <w:pPr>
        <w:spacing w:line="360" w:lineRule="auto"/>
        <w:ind w:firstLine="420" w:firstLineChars="200"/>
        <w:rPr>
          <w:rFonts w:ascii="宋体" w:hAnsi="宋体"/>
          <w:szCs w:val="21"/>
        </w:rPr>
      </w:pPr>
      <w:r>
        <w:rPr>
          <w:rFonts w:hint="eastAsia" w:ascii="宋体" w:hAnsi="宋体"/>
          <w:szCs w:val="21"/>
        </w:rPr>
        <w:t>3.原任基金管理人职责终止后，新任基金管理人或临时基金管理人接收基金管理业务前，原任基金管理人和基金托管人需采取审慎措施确保基金财产的安全，不对基金份额持有人的利益造成损失，并有义务协助新任基金管理人或临时基金管理人尽快恢复基金财产的投资运作。</w:t>
      </w:r>
    </w:p>
    <w:p w14:paraId="2CBDBCA2">
      <w:pPr>
        <w:pStyle w:val="3"/>
        <w:keepNext w:val="0"/>
        <w:keepLines w:val="0"/>
        <w:autoSpaceDE w:val="0"/>
        <w:autoSpaceDN w:val="0"/>
        <w:adjustRightInd w:val="0"/>
        <w:spacing w:before="0" w:after="0" w:line="360" w:lineRule="auto"/>
        <w:ind w:firstLine="308" w:firstLineChars="147"/>
        <w:textAlignment w:val="baseline"/>
        <w:rPr>
          <w:rFonts w:ascii="宋体" w:hAnsi="宋体" w:eastAsia="宋体" w:cs="Arial"/>
          <w:b w:val="0"/>
          <w:bCs w:val="0"/>
          <w:kern w:val="0"/>
          <w:sz w:val="21"/>
          <w:szCs w:val="21"/>
        </w:rPr>
      </w:pPr>
      <w:bookmarkStart w:id="79" w:name="_Toc382819130"/>
      <w:r>
        <w:rPr>
          <w:rFonts w:hint="eastAsia" w:ascii="宋体" w:hAnsi="宋体" w:eastAsia="宋体" w:cs="Arial"/>
          <w:b w:val="0"/>
          <w:bCs w:val="0"/>
          <w:kern w:val="0"/>
          <w:sz w:val="21"/>
          <w:szCs w:val="21"/>
        </w:rPr>
        <w:t>（二）基金托管人的更换</w:t>
      </w:r>
      <w:bookmarkEnd w:id="79"/>
    </w:p>
    <w:p w14:paraId="462D32E8">
      <w:pPr>
        <w:spacing w:line="360" w:lineRule="auto"/>
        <w:ind w:firstLine="420" w:firstLineChars="200"/>
        <w:rPr>
          <w:rFonts w:ascii="宋体" w:hAnsi="宋体"/>
          <w:szCs w:val="21"/>
        </w:rPr>
      </w:pPr>
      <w:r>
        <w:rPr>
          <w:rFonts w:hint="eastAsia" w:ascii="宋体" w:hAnsi="宋体"/>
          <w:szCs w:val="21"/>
        </w:rPr>
        <w:t>1.基金托管人的更换条件</w:t>
      </w:r>
    </w:p>
    <w:p w14:paraId="61603433">
      <w:pPr>
        <w:spacing w:line="360" w:lineRule="auto"/>
        <w:ind w:firstLine="420" w:firstLineChars="200"/>
        <w:rPr>
          <w:rFonts w:ascii="宋体" w:hAnsi="宋体"/>
          <w:szCs w:val="21"/>
        </w:rPr>
      </w:pPr>
      <w:r>
        <w:rPr>
          <w:rFonts w:hint="eastAsia" w:ascii="宋体" w:hAnsi="宋体"/>
          <w:szCs w:val="21"/>
        </w:rPr>
        <w:t>有下列情形之一的，基金托管人职责终止：</w:t>
      </w:r>
    </w:p>
    <w:p w14:paraId="106E4DC3">
      <w:pPr>
        <w:spacing w:line="360" w:lineRule="auto"/>
        <w:ind w:firstLine="420" w:firstLineChars="200"/>
        <w:rPr>
          <w:rFonts w:ascii="宋体" w:hAnsi="宋体"/>
          <w:szCs w:val="21"/>
        </w:rPr>
      </w:pPr>
      <w:r>
        <w:rPr>
          <w:rFonts w:hint="eastAsia" w:ascii="宋体" w:hAnsi="宋体"/>
          <w:szCs w:val="21"/>
        </w:rPr>
        <w:t>(1) 被依法取消基金托管资格；</w:t>
      </w:r>
    </w:p>
    <w:p w14:paraId="4E41D084">
      <w:pPr>
        <w:spacing w:line="360" w:lineRule="auto"/>
        <w:ind w:firstLine="420" w:firstLineChars="200"/>
        <w:rPr>
          <w:rFonts w:ascii="宋体" w:hAnsi="宋体"/>
          <w:szCs w:val="21"/>
        </w:rPr>
      </w:pPr>
      <w:r>
        <w:rPr>
          <w:rFonts w:hint="eastAsia" w:ascii="宋体" w:hAnsi="宋体"/>
          <w:szCs w:val="21"/>
        </w:rPr>
        <w:t>(2) 被基金份额持有人大会解任；</w:t>
      </w:r>
    </w:p>
    <w:p w14:paraId="31F00F2B">
      <w:pPr>
        <w:spacing w:line="360" w:lineRule="auto"/>
        <w:ind w:firstLine="420" w:firstLineChars="200"/>
        <w:rPr>
          <w:rFonts w:ascii="宋体" w:hAnsi="宋体"/>
          <w:szCs w:val="21"/>
        </w:rPr>
      </w:pPr>
      <w:r>
        <w:rPr>
          <w:rFonts w:hint="eastAsia" w:ascii="宋体" w:hAnsi="宋体"/>
          <w:szCs w:val="21"/>
        </w:rPr>
        <w:t>(3) 依法解散、被依法撤销或被依法宣告破产；</w:t>
      </w:r>
    </w:p>
    <w:p w14:paraId="5CCA1AD2">
      <w:pPr>
        <w:spacing w:line="360" w:lineRule="auto"/>
        <w:ind w:firstLine="420" w:firstLineChars="200"/>
        <w:rPr>
          <w:rFonts w:ascii="宋体" w:hAnsi="宋体"/>
          <w:szCs w:val="21"/>
        </w:rPr>
      </w:pPr>
      <w:r>
        <w:rPr>
          <w:rFonts w:hint="eastAsia" w:ascii="宋体" w:hAnsi="宋体"/>
          <w:szCs w:val="21"/>
        </w:rPr>
        <w:t>(4) 法律法规</w:t>
      </w:r>
      <w:r>
        <w:rPr>
          <w:rFonts w:hint="eastAsia" w:ascii="宋体" w:hAnsi="宋体"/>
          <w:bCs/>
          <w:szCs w:val="21"/>
        </w:rPr>
        <w:t>及中国证监会规定的</w:t>
      </w:r>
      <w:r>
        <w:rPr>
          <w:rFonts w:hint="eastAsia" w:ascii="宋体" w:hAnsi="宋体"/>
          <w:szCs w:val="21"/>
        </w:rPr>
        <w:t>和《基金合同》规定的其它情形。</w:t>
      </w:r>
    </w:p>
    <w:p w14:paraId="6B4968F8">
      <w:pPr>
        <w:spacing w:line="360" w:lineRule="auto"/>
        <w:ind w:firstLine="420" w:firstLineChars="200"/>
        <w:rPr>
          <w:rFonts w:ascii="宋体" w:hAnsi="宋体"/>
          <w:szCs w:val="21"/>
        </w:rPr>
      </w:pPr>
      <w:r>
        <w:rPr>
          <w:rFonts w:hint="eastAsia" w:ascii="宋体" w:hAnsi="宋体"/>
          <w:szCs w:val="21"/>
        </w:rPr>
        <w:t>2.更换基金托管人的程序</w:t>
      </w:r>
    </w:p>
    <w:p w14:paraId="12A7087E">
      <w:pPr>
        <w:spacing w:line="360" w:lineRule="auto"/>
        <w:ind w:firstLine="420" w:firstLineChars="200"/>
        <w:rPr>
          <w:rFonts w:ascii="宋体" w:hAnsi="宋体"/>
          <w:szCs w:val="21"/>
        </w:rPr>
      </w:pPr>
      <w:r>
        <w:rPr>
          <w:rFonts w:hint="eastAsia" w:ascii="宋体" w:hAnsi="宋体"/>
          <w:szCs w:val="21"/>
        </w:rPr>
        <w:t>（1）提名：新任基金托管人由基金管理人或由单独或合计持有10%以上（含10%）基金份额的基金份额持有人提名；</w:t>
      </w:r>
    </w:p>
    <w:p w14:paraId="71A07CB9">
      <w:pPr>
        <w:spacing w:line="360" w:lineRule="auto"/>
        <w:ind w:firstLine="420" w:firstLineChars="200"/>
        <w:rPr>
          <w:rFonts w:ascii="宋体" w:hAnsi="宋体"/>
          <w:szCs w:val="21"/>
        </w:rPr>
      </w:pPr>
      <w:r>
        <w:rPr>
          <w:rFonts w:hint="eastAsia" w:ascii="宋体" w:hAnsi="宋体"/>
          <w:szCs w:val="21"/>
        </w:rPr>
        <w:t>（2）决议：基金份额持有人大会在基金托管人职责终止后6个月内对被提名的</w:t>
      </w:r>
      <w:r>
        <w:rPr>
          <w:rFonts w:ascii="宋体" w:hAnsi="宋体"/>
          <w:bCs/>
          <w:szCs w:val="21"/>
        </w:rPr>
        <w:t>新任</w:t>
      </w:r>
      <w:r>
        <w:rPr>
          <w:rFonts w:hint="eastAsia" w:ascii="宋体" w:hAnsi="宋体"/>
          <w:szCs w:val="21"/>
        </w:rPr>
        <w:t>基金托管人形成决议，该决议需经参加大会的基金份额持有人所持表决权的2/3以上（含2/3）表决通过，</w:t>
      </w:r>
      <w:r>
        <w:rPr>
          <w:rFonts w:hint="eastAsia" w:ascii="宋体" w:hAnsi="宋体"/>
          <w:bCs/>
          <w:szCs w:val="21"/>
        </w:rPr>
        <w:t>决议</w:t>
      </w:r>
      <w:r>
        <w:rPr>
          <w:rFonts w:hint="eastAsia" w:ascii="宋体" w:hAnsi="宋体"/>
          <w:szCs w:val="21"/>
        </w:rPr>
        <w:t>自表决通过之日起生效</w:t>
      </w:r>
      <w:r>
        <w:rPr>
          <w:rFonts w:hint="eastAsia" w:ascii="宋体" w:hAnsi="宋体"/>
          <w:bCs/>
          <w:szCs w:val="21"/>
        </w:rPr>
        <w:t>，新任基金托管人应当符合法律法规及中国证监会规定的资格条件</w:t>
      </w:r>
      <w:r>
        <w:rPr>
          <w:rFonts w:hint="eastAsia" w:ascii="宋体" w:hAnsi="宋体"/>
          <w:szCs w:val="21"/>
        </w:rPr>
        <w:t>；</w:t>
      </w:r>
    </w:p>
    <w:p w14:paraId="761294A4">
      <w:pPr>
        <w:spacing w:line="360" w:lineRule="auto"/>
        <w:ind w:firstLine="420" w:firstLineChars="200"/>
        <w:rPr>
          <w:rFonts w:ascii="宋体" w:hAnsi="宋体"/>
          <w:szCs w:val="21"/>
        </w:rPr>
      </w:pPr>
      <w:r>
        <w:rPr>
          <w:rFonts w:hint="eastAsia" w:ascii="宋体" w:hAnsi="宋体"/>
          <w:szCs w:val="21"/>
        </w:rPr>
        <w:t>（3）临时基金托管人：新任基金托管人产生之前，由中国证监会指定临时基金托管人；</w:t>
      </w:r>
    </w:p>
    <w:p w14:paraId="50C6F33F">
      <w:pPr>
        <w:spacing w:line="360" w:lineRule="auto"/>
        <w:ind w:firstLine="420" w:firstLineChars="200"/>
        <w:rPr>
          <w:rFonts w:ascii="宋体" w:hAnsi="宋体"/>
          <w:szCs w:val="21"/>
        </w:rPr>
      </w:pPr>
      <w:r>
        <w:rPr>
          <w:rFonts w:hint="eastAsia" w:ascii="宋体" w:hAnsi="宋体"/>
          <w:szCs w:val="21"/>
        </w:rPr>
        <w:t>（4）</w:t>
      </w:r>
      <w:r>
        <w:rPr>
          <w:rFonts w:hint="eastAsia" w:ascii="宋体" w:hAnsi="宋体"/>
          <w:bCs/>
          <w:szCs w:val="21"/>
        </w:rPr>
        <w:t>备案</w:t>
      </w:r>
      <w:r>
        <w:rPr>
          <w:rFonts w:hint="eastAsia" w:ascii="宋体" w:hAnsi="宋体"/>
          <w:szCs w:val="21"/>
        </w:rPr>
        <w:t>：基金份额持有人大会</w:t>
      </w:r>
      <w:r>
        <w:rPr>
          <w:rFonts w:ascii="宋体" w:hAnsi="宋体"/>
          <w:szCs w:val="21"/>
        </w:rPr>
        <w:t>更换</w:t>
      </w:r>
      <w:r>
        <w:rPr>
          <w:rFonts w:hint="eastAsia" w:ascii="宋体" w:hAnsi="宋体"/>
          <w:szCs w:val="21"/>
        </w:rPr>
        <w:t>基金托管人的决议须</w:t>
      </w:r>
      <w:r>
        <w:rPr>
          <w:rFonts w:ascii="宋体" w:hAnsi="宋体"/>
          <w:szCs w:val="21"/>
        </w:rPr>
        <w:t>报</w:t>
      </w:r>
      <w:r>
        <w:rPr>
          <w:rFonts w:hint="eastAsia" w:ascii="宋体" w:hAnsi="宋体"/>
          <w:szCs w:val="21"/>
        </w:rPr>
        <w:t>中国证监会</w:t>
      </w:r>
      <w:r>
        <w:rPr>
          <w:rFonts w:hint="eastAsia" w:ascii="宋体" w:hAnsi="宋体"/>
          <w:bCs/>
          <w:szCs w:val="21"/>
        </w:rPr>
        <w:t>备案</w:t>
      </w:r>
      <w:r>
        <w:rPr>
          <w:rFonts w:hint="eastAsia" w:ascii="宋体" w:hAnsi="宋体"/>
          <w:szCs w:val="21"/>
        </w:rPr>
        <w:t>；</w:t>
      </w:r>
    </w:p>
    <w:p w14:paraId="6A3D75E4">
      <w:pPr>
        <w:spacing w:line="360" w:lineRule="auto"/>
        <w:ind w:firstLine="420" w:firstLineChars="200"/>
        <w:rPr>
          <w:rFonts w:ascii="宋体" w:hAnsi="宋体"/>
          <w:bCs/>
          <w:szCs w:val="21"/>
        </w:rPr>
      </w:pPr>
      <w:r>
        <w:rPr>
          <w:rFonts w:hint="eastAsia" w:ascii="宋体" w:hAnsi="宋体"/>
          <w:szCs w:val="21"/>
        </w:rPr>
        <w:t>（5）公告：</w:t>
      </w:r>
      <w:r>
        <w:rPr>
          <w:rFonts w:ascii="宋体" w:hAnsi="宋体"/>
          <w:szCs w:val="21"/>
        </w:rPr>
        <w:t>基金托管人更换后，由基金管理人在</w:t>
      </w:r>
      <w:r>
        <w:rPr>
          <w:rFonts w:ascii="宋体" w:hAnsi="宋体"/>
          <w:bCs/>
          <w:szCs w:val="21"/>
        </w:rPr>
        <w:t>更换基金托管人的基金份额持有人大会决议生效</w:t>
      </w:r>
      <w:r>
        <w:rPr>
          <w:rFonts w:ascii="宋体" w:hAnsi="宋体"/>
          <w:szCs w:val="21"/>
        </w:rPr>
        <w:t>后</w:t>
      </w:r>
      <w:r>
        <w:rPr>
          <w:rFonts w:hint="eastAsia" w:ascii="宋体" w:hAnsi="宋体"/>
          <w:bCs/>
          <w:szCs w:val="21"/>
        </w:rPr>
        <w:t>依照《信息披露办法》的</w:t>
      </w:r>
      <w:r>
        <w:rPr>
          <w:rFonts w:hint="eastAsia" w:ascii="宋体" w:hAnsi="宋体"/>
          <w:szCs w:val="21"/>
        </w:rPr>
        <w:t>规定</w:t>
      </w:r>
      <w:r>
        <w:rPr>
          <w:rFonts w:ascii="宋体" w:hAnsi="宋体"/>
          <w:bCs/>
          <w:szCs w:val="21"/>
        </w:rPr>
        <w:t>在</w:t>
      </w:r>
      <w:r>
        <w:rPr>
          <w:rFonts w:hint="eastAsia" w:ascii="宋体" w:hAnsi="宋体"/>
          <w:bCs/>
          <w:szCs w:val="21"/>
        </w:rPr>
        <w:t>规定</w:t>
      </w:r>
      <w:r>
        <w:rPr>
          <w:rFonts w:hint="eastAsia" w:ascii="宋体" w:hAnsi="宋体"/>
          <w:szCs w:val="21"/>
        </w:rPr>
        <w:t>媒介</w:t>
      </w:r>
      <w:r>
        <w:rPr>
          <w:rFonts w:ascii="宋体" w:hAnsi="宋体"/>
          <w:szCs w:val="21"/>
        </w:rPr>
        <w:t>公告</w:t>
      </w:r>
      <w:r>
        <w:rPr>
          <w:rFonts w:hint="eastAsia" w:ascii="宋体" w:hAnsi="宋体"/>
          <w:bCs/>
          <w:szCs w:val="21"/>
        </w:rPr>
        <w:t>；</w:t>
      </w:r>
    </w:p>
    <w:p w14:paraId="67EFAA41">
      <w:pPr>
        <w:spacing w:line="360" w:lineRule="auto"/>
        <w:ind w:firstLine="420" w:firstLineChars="200"/>
        <w:rPr>
          <w:rFonts w:ascii="宋体" w:hAnsi="宋体"/>
          <w:szCs w:val="21"/>
        </w:rPr>
      </w:pPr>
      <w:r>
        <w:rPr>
          <w:rFonts w:hint="eastAsia" w:ascii="宋体" w:hAnsi="宋体"/>
          <w:bCs/>
          <w:szCs w:val="21"/>
        </w:rPr>
        <w:t>（6）</w:t>
      </w:r>
      <w:r>
        <w:rPr>
          <w:rFonts w:ascii="宋体" w:hAnsi="宋体"/>
          <w:bCs/>
          <w:szCs w:val="21"/>
        </w:rPr>
        <w:t>交接：基金托管人职责终止的，应当妥善保管基金财产和基金托管业务资料，及时办理基金财产和基金托管业务的移交手续，</w:t>
      </w:r>
      <w:r>
        <w:rPr>
          <w:rFonts w:ascii="宋体" w:hAnsi="宋体"/>
          <w:szCs w:val="21"/>
        </w:rPr>
        <w:t>新任基金托管人</w:t>
      </w:r>
      <w:r>
        <w:rPr>
          <w:rFonts w:ascii="宋体" w:hAnsi="宋体"/>
          <w:bCs/>
          <w:szCs w:val="21"/>
        </w:rPr>
        <w:t>或者临时基金托管人应当及时接收。新任基金托管人</w:t>
      </w:r>
      <w:r>
        <w:rPr>
          <w:rFonts w:hint="eastAsia" w:ascii="宋体" w:hAnsi="宋体"/>
          <w:bCs/>
          <w:szCs w:val="21"/>
        </w:rPr>
        <w:t>或者临时基金托管人</w:t>
      </w:r>
      <w:r>
        <w:rPr>
          <w:rFonts w:ascii="宋体" w:hAnsi="宋体"/>
          <w:szCs w:val="21"/>
        </w:rPr>
        <w:t>与基金管理人核对</w:t>
      </w:r>
      <w:r>
        <w:rPr>
          <w:rFonts w:ascii="宋体" w:hAnsi="宋体"/>
          <w:bCs/>
          <w:szCs w:val="21"/>
        </w:rPr>
        <w:t>基金</w:t>
      </w:r>
      <w:r>
        <w:rPr>
          <w:rFonts w:ascii="宋体" w:hAnsi="宋体"/>
          <w:szCs w:val="21"/>
        </w:rPr>
        <w:t>资产总值</w:t>
      </w:r>
      <w:r>
        <w:rPr>
          <w:rFonts w:hint="eastAsia" w:ascii="宋体" w:hAnsi="宋体"/>
          <w:bCs/>
          <w:szCs w:val="21"/>
        </w:rPr>
        <w:t>和净值</w:t>
      </w:r>
      <w:r>
        <w:rPr>
          <w:rFonts w:ascii="宋体" w:hAnsi="宋体"/>
          <w:szCs w:val="21"/>
        </w:rPr>
        <w:t>；</w:t>
      </w:r>
    </w:p>
    <w:p w14:paraId="682BAA59">
      <w:pPr>
        <w:spacing w:line="360" w:lineRule="auto"/>
        <w:ind w:firstLine="420" w:firstLineChars="200"/>
        <w:rPr>
          <w:rFonts w:ascii="宋体" w:hAnsi="宋体"/>
          <w:szCs w:val="21"/>
        </w:rPr>
      </w:pPr>
      <w:r>
        <w:rPr>
          <w:rFonts w:hint="eastAsia" w:ascii="宋体" w:hAnsi="宋体"/>
          <w:szCs w:val="21"/>
        </w:rPr>
        <w:t>（7）审计：基金托管人职责终止的，应当按照法律法规规定聘请</w:t>
      </w:r>
      <w:r>
        <w:rPr>
          <w:rFonts w:hint="eastAsia" w:ascii="宋体" w:hAnsi="宋体"/>
          <w:bCs/>
          <w:szCs w:val="21"/>
        </w:rPr>
        <w:t>符合《中华人民共和国证券法》规定的</w:t>
      </w:r>
      <w:r>
        <w:rPr>
          <w:rFonts w:hint="eastAsia" w:ascii="宋体" w:hAnsi="宋体"/>
          <w:szCs w:val="21"/>
        </w:rPr>
        <w:t>会计师事务所对基金财产进行审计，并</w:t>
      </w:r>
      <w:r>
        <w:rPr>
          <w:rFonts w:ascii="宋体" w:hAnsi="宋体"/>
          <w:bCs/>
          <w:szCs w:val="21"/>
        </w:rPr>
        <w:t>将审计结果</w:t>
      </w:r>
      <w:r>
        <w:rPr>
          <w:rFonts w:hint="eastAsia" w:ascii="宋体" w:hAnsi="宋体"/>
          <w:szCs w:val="21"/>
        </w:rPr>
        <w:t>予以公告，同时报中国证监会备案</w:t>
      </w:r>
      <w:r>
        <w:rPr>
          <w:rFonts w:hint="eastAsia" w:ascii="宋体" w:hAnsi="宋体"/>
          <w:bCs/>
          <w:szCs w:val="21"/>
        </w:rPr>
        <w:t>，审计费用从基金财产中列支</w:t>
      </w:r>
      <w:r>
        <w:rPr>
          <w:rFonts w:hint="eastAsia" w:ascii="宋体" w:hAnsi="宋体"/>
          <w:szCs w:val="21"/>
        </w:rPr>
        <w:t>。</w:t>
      </w:r>
    </w:p>
    <w:p w14:paraId="36A7A520">
      <w:pPr>
        <w:spacing w:line="360" w:lineRule="auto"/>
        <w:ind w:firstLine="472" w:firstLineChars="225"/>
        <w:rPr>
          <w:rFonts w:ascii="宋体" w:hAnsi="宋体"/>
          <w:szCs w:val="21"/>
        </w:rPr>
      </w:pPr>
      <w:r>
        <w:rPr>
          <w:rFonts w:hint="eastAsia" w:ascii="宋体" w:hAnsi="宋体"/>
          <w:szCs w:val="21"/>
        </w:rPr>
        <w:t>3.原基金托管人职责终止后，新任基金托管人或临时基金托管人接收基金财产和基金托管业务前，原基金托管人和基金管理人需采取审慎措施确保基金财产的安全，不对基金份额持有人的利益造成损失，并有义务协助新任基金托管人或临时基金托管人尽快交接基金资产。</w:t>
      </w:r>
    </w:p>
    <w:p w14:paraId="14D3BFC7">
      <w:pPr>
        <w:spacing w:line="360" w:lineRule="auto"/>
        <w:ind w:firstLine="420" w:firstLineChars="200"/>
        <w:outlineLvl w:val="1"/>
        <w:rPr>
          <w:rFonts w:ascii="宋体" w:hAnsi="宋体"/>
          <w:bCs/>
          <w:szCs w:val="21"/>
        </w:rPr>
      </w:pPr>
      <w:r>
        <w:rPr>
          <w:rFonts w:hint="eastAsia" w:ascii="宋体" w:hAnsi="宋体"/>
          <w:bCs/>
          <w:szCs w:val="21"/>
        </w:rPr>
        <w:t>（三）</w:t>
      </w:r>
      <w:r>
        <w:rPr>
          <w:rFonts w:hint="eastAsia" w:ascii="宋体" w:hAnsi="宋体"/>
          <w:bCs/>
          <w:szCs w:val="21"/>
        </w:rPr>
        <w:tab/>
      </w:r>
      <w:r>
        <w:rPr>
          <w:rFonts w:hint="eastAsia" w:ascii="宋体" w:hAnsi="宋体"/>
          <w:bCs/>
          <w:szCs w:val="21"/>
        </w:rPr>
        <w:t>基金管理人和基金托管人的同时更换程序</w:t>
      </w:r>
    </w:p>
    <w:p w14:paraId="68F443C0">
      <w:pPr>
        <w:spacing w:line="360" w:lineRule="auto"/>
        <w:ind w:firstLine="472" w:firstLineChars="225"/>
        <w:rPr>
          <w:rFonts w:ascii="宋体" w:hAnsi="宋体"/>
          <w:szCs w:val="21"/>
        </w:rPr>
      </w:pPr>
      <w:r>
        <w:rPr>
          <w:rFonts w:hint="eastAsia" w:ascii="宋体" w:hAnsi="宋体"/>
          <w:szCs w:val="21"/>
        </w:rPr>
        <w:t>1.提名：如果基金管理人和基金托管人同时更换，由单独或合计持有基金总份额10%以上（含10%）的基金份额持有人提名新的基金管理人和基金托管人；</w:t>
      </w:r>
    </w:p>
    <w:p w14:paraId="40970B8E">
      <w:pPr>
        <w:spacing w:line="360" w:lineRule="auto"/>
        <w:ind w:firstLine="472" w:firstLineChars="225"/>
        <w:rPr>
          <w:rFonts w:ascii="宋体" w:hAnsi="宋体"/>
          <w:szCs w:val="21"/>
        </w:rPr>
      </w:pPr>
      <w:r>
        <w:rPr>
          <w:rFonts w:hint="eastAsia" w:ascii="宋体" w:hAnsi="宋体"/>
          <w:szCs w:val="21"/>
        </w:rPr>
        <w:t>2.基金管理人和基金托管人的更换分别按上述程序进行；</w:t>
      </w:r>
    </w:p>
    <w:p w14:paraId="001B4A58">
      <w:pPr>
        <w:spacing w:line="360" w:lineRule="auto"/>
        <w:ind w:firstLine="472" w:firstLineChars="225"/>
        <w:rPr>
          <w:rFonts w:ascii="宋体" w:hAnsi="宋体"/>
          <w:szCs w:val="21"/>
        </w:rPr>
      </w:pPr>
      <w:r>
        <w:rPr>
          <w:rFonts w:hint="eastAsia" w:ascii="宋体" w:hAnsi="宋体"/>
          <w:szCs w:val="21"/>
        </w:rPr>
        <w:t>3.公告：新任基金管理人和新任基金托管人应在更换基金管理人和基金托管人的基金份额持有人大会决议生效后依照《信息披露办法》的规定在规定媒介上联合公告。</w:t>
      </w:r>
    </w:p>
    <w:bookmarkEnd w:id="77"/>
    <w:p w14:paraId="7B99A505">
      <w:pPr>
        <w:pStyle w:val="2"/>
        <w:keepNext w:val="0"/>
        <w:keepLines w:val="0"/>
        <w:numPr>
          <w:ilvl w:val="0"/>
          <w:numId w:val="2"/>
        </w:numPr>
        <w:tabs>
          <w:tab w:val="left" w:pos="420"/>
        </w:tabs>
        <w:autoSpaceDE w:val="0"/>
        <w:autoSpaceDN w:val="0"/>
        <w:adjustRightInd w:val="0"/>
        <w:spacing w:before="360" w:after="360"/>
        <w:textAlignment w:val="baseline"/>
        <w:rPr>
          <w:rFonts w:ascii="宋体" w:hAnsi="宋体" w:eastAsia="宋体" w:cs="Arial"/>
          <w:sz w:val="21"/>
          <w:szCs w:val="21"/>
        </w:rPr>
      </w:pPr>
      <w:bookmarkStart w:id="80" w:name="_Toc382819131"/>
      <w:r>
        <w:rPr>
          <w:rFonts w:hint="eastAsia" w:ascii="宋体" w:hAnsi="宋体" w:eastAsia="宋体" w:cs="Arial"/>
          <w:sz w:val="21"/>
          <w:szCs w:val="21"/>
        </w:rPr>
        <w:t>禁止行为</w:t>
      </w:r>
      <w:bookmarkEnd w:id="80"/>
    </w:p>
    <w:p w14:paraId="71AAEB14">
      <w:pPr>
        <w:spacing w:line="360" w:lineRule="auto"/>
        <w:ind w:firstLine="472" w:firstLineChars="225"/>
        <w:rPr>
          <w:rFonts w:ascii="宋体" w:hAnsi="宋体"/>
          <w:szCs w:val="21"/>
        </w:rPr>
      </w:pPr>
      <w:r>
        <w:rPr>
          <w:rFonts w:hint="eastAsia" w:ascii="宋体" w:hAnsi="宋体"/>
          <w:szCs w:val="21"/>
        </w:rPr>
        <w:t>托管协议当事人禁止从事的行为，包括但不限于：</w:t>
      </w:r>
    </w:p>
    <w:p w14:paraId="71D20F25">
      <w:pPr>
        <w:spacing w:line="360" w:lineRule="auto"/>
        <w:ind w:firstLine="472" w:firstLineChars="225"/>
        <w:rPr>
          <w:rFonts w:ascii="宋体" w:hAnsi="宋体"/>
          <w:szCs w:val="21"/>
        </w:rPr>
      </w:pPr>
      <w:r>
        <w:rPr>
          <w:rFonts w:hint="eastAsia" w:ascii="宋体" w:hAnsi="宋体"/>
          <w:szCs w:val="21"/>
        </w:rPr>
        <w:t>（一）基金管理人、基金托管人将其固有财产或者他人财产混同于基金财产从事证券投资。</w:t>
      </w:r>
    </w:p>
    <w:p w14:paraId="1CF13C7C">
      <w:pPr>
        <w:spacing w:line="360" w:lineRule="auto"/>
        <w:ind w:firstLine="472" w:firstLineChars="225"/>
        <w:rPr>
          <w:rFonts w:ascii="宋体" w:hAnsi="宋体"/>
          <w:szCs w:val="21"/>
        </w:rPr>
      </w:pPr>
      <w:r>
        <w:rPr>
          <w:rFonts w:hint="eastAsia" w:ascii="宋体" w:hAnsi="宋体"/>
          <w:szCs w:val="21"/>
        </w:rPr>
        <w:t>（二）基金管理人、基金托管人不公平地对待其管理或托管的不同基金财产。</w:t>
      </w:r>
    </w:p>
    <w:p w14:paraId="009B14C6">
      <w:pPr>
        <w:spacing w:line="360" w:lineRule="auto"/>
        <w:ind w:firstLine="472" w:firstLineChars="225"/>
        <w:rPr>
          <w:rFonts w:ascii="宋体" w:hAnsi="宋体"/>
          <w:szCs w:val="21"/>
        </w:rPr>
      </w:pPr>
      <w:r>
        <w:rPr>
          <w:rFonts w:hint="eastAsia" w:ascii="宋体" w:hAnsi="宋体"/>
          <w:szCs w:val="21"/>
        </w:rPr>
        <w:t>（三）基金管理人、基金托管人利用基金财产为基金份额持有人以外的第三人牟取利益。</w:t>
      </w:r>
    </w:p>
    <w:p w14:paraId="49EC820C">
      <w:pPr>
        <w:spacing w:line="360" w:lineRule="auto"/>
        <w:ind w:firstLine="472" w:firstLineChars="225"/>
        <w:rPr>
          <w:rFonts w:ascii="宋体" w:hAnsi="宋体"/>
          <w:szCs w:val="21"/>
        </w:rPr>
      </w:pPr>
      <w:r>
        <w:rPr>
          <w:rFonts w:hint="eastAsia" w:ascii="宋体" w:hAnsi="宋体"/>
          <w:szCs w:val="21"/>
        </w:rPr>
        <w:t>（四）基金管理人、基金托管人向基金份额持有人违规承诺收益或者承担损失。</w:t>
      </w:r>
    </w:p>
    <w:p w14:paraId="287B7055">
      <w:pPr>
        <w:spacing w:line="360" w:lineRule="auto"/>
        <w:ind w:firstLine="472" w:firstLineChars="225"/>
        <w:rPr>
          <w:rFonts w:ascii="宋体" w:hAnsi="宋体"/>
          <w:szCs w:val="21"/>
        </w:rPr>
      </w:pPr>
      <w:r>
        <w:rPr>
          <w:rFonts w:hint="eastAsia" w:ascii="宋体" w:hAnsi="宋体"/>
          <w:szCs w:val="21"/>
        </w:rPr>
        <w:t>（五）基金管理人、基金托管人对他人泄露基金经营过程中任何尚未按法律法规规定的方式公开披露的信息。</w:t>
      </w:r>
    </w:p>
    <w:p w14:paraId="144C7E35">
      <w:pPr>
        <w:spacing w:line="360" w:lineRule="auto"/>
        <w:ind w:firstLine="472" w:firstLineChars="225"/>
        <w:rPr>
          <w:rFonts w:ascii="宋体" w:hAnsi="宋体"/>
          <w:szCs w:val="21"/>
        </w:rPr>
      </w:pPr>
      <w:r>
        <w:rPr>
          <w:rFonts w:hint="eastAsia" w:ascii="宋体" w:hAnsi="宋体"/>
          <w:szCs w:val="21"/>
        </w:rPr>
        <w:t>（六）基金管理人在没有充足资金的情况下向基金托管人发出投资指令和赎回、分红资金的划拨指令，或违规向基金托管人发出指令。</w:t>
      </w:r>
    </w:p>
    <w:p w14:paraId="6B33368D">
      <w:pPr>
        <w:spacing w:line="360" w:lineRule="auto"/>
        <w:ind w:firstLine="472" w:firstLineChars="225"/>
        <w:rPr>
          <w:rFonts w:ascii="宋体" w:hAnsi="宋体"/>
          <w:szCs w:val="21"/>
        </w:rPr>
      </w:pPr>
      <w:r>
        <w:rPr>
          <w:rFonts w:hint="eastAsia" w:ascii="宋体" w:hAnsi="宋体"/>
          <w:szCs w:val="21"/>
        </w:rPr>
        <w:t>（七）基金托管人对基金管理人的符合本协议约定的有效指令拖延或拒绝执行。</w:t>
      </w:r>
    </w:p>
    <w:p w14:paraId="1C48733F">
      <w:pPr>
        <w:spacing w:line="360" w:lineRule="auto"/>
        <w:ind w:firstLine="472" w:firstLineChars="225"/>
        <w:rPr>
          <w:rFonts w:ascii="宋体" w:hAnsi="宋体"/>
          <w:szCs w:val="21"/>
        </w:rPr>
      </w:pPr>
      <w:r>
        <w:rPr>
          <w:rFonts w:hint="eastAsia" w:ascii="宋体" w:hAnsi="宋体"/>
          <w:szCs w:val="21"/>
        </w:rPr>
        <w:t xml:space="preserve">（八）基金管理人、基金托管人在行政上、财务上不独立，其高级管理人员相互兼职。 </w:t>
      </w:r>
    </w:p>
    <w:p w14:paraId="02A05703">
      <w:pPr>
        <w:spacing w:line="360" w:lineRule="auto"/>
        <w:ind w:firstLine="472" w:firstLineChars="225"/>
        <w:rPr>
          <w:rFonts w:ascii="宋体" w:hAnsi="宋体"/>
          <w:szCs w:val="21"/>
        </w:rPr>
      </w:pPr>
      <w:r>
        <w:rPr>
          <w:rFonts w:hint="eastAsia" w:ascii="宋体" w:hAnsi="宋体"/>
          <w:szCs w:val="21"/>
        </w:rPr>
        <w:t xml:space="preserve">（九）基金托管人私自动用或处分基金资产，根据基金管理人的合法指令、基金合同或托管协议的规定进行处分的除外。 </w:t>
      </w:r>
    </w:p>
    <w:p w14:paraId="0F91F07D">
      <w:pPr>
        <w:spacing w:line="360" w:lineRule="auto"/>
        <w:ind w:firstLine="472" w:firstLineChars="225"/>
        <w:rPr>
          <w:rFonts w:ascii="宋体" w:hAnsi="宋体"/>
          <w:szCs w:val="21"/>
        </w:rPr>
      </w:pPr>
      <w:r>
        <w:rPr>
          <w:rFonts w:hint="eastAsia" w:ascii="宋体" w:hAnsi="宋体"/>
          <w:szCs w:val="21"/>
        </w:rPr>
        <w:t>（十）基金管理人、基金托管人不得利用基金财产用于下列投资或者活动：（1）承销证券；（2）违反规定向他人贷款或者提供担保；（3）从事承担无限责任的投资；（4）向其基金管理人、基金托管人出资；（5）从事内幕交易、操纵证券交易价格及其他不正当的证券交易活动；（6）法律、行政法规和中国证监会规定禁止的其他活动。</w:t>
      </w:r>
    </w:p>
    <w:p w14:paraId="4D2E9323">
      <w:pPr>
        <w:spacing w:line="360" w:lineRule="auto"/>
        <w:ind w:firstLine="472" w:firstLineChars="225"/>
        <w:rPr>
          <w:rFonts w:ascii="宋体" w:hAnsi="宋体"/>
          <w:szCs w:val="21"/>
        </w:rPr>
      </w:pPr>
      <w:r>
        <w:rPr>
          <w:rFonts w:hint="eastAsia" w:ascii="宋体" w:hAnsi="宋体"/>
          <w:szCs w:val="21"/>
        </w:rPr>
        <w:t>（十一）法律法规和基金合同禁止的其他行为，以及依照法律法规有关规定，由中国证监会规定禁止基金管理人、基金托管人从事的其他行为。</w:t>
      </w:r>
    </w:p>
    <w:p w14:paraId="288114CF">
      <w:pPr>
        <w:spacing w:line="360" w:lineRule="auto"/>
        <w:ind w:firstLine="472" w:firstLineChars="225"/>
        <w:rPr>
          <w:rFonts w:ascii="宋体" w:hAnsi="宋体"/>
          <w:szCs w:val="21"/>
        </w:rPr>
      </w:pPr>
      <w:r>
        <w:rPr>
          <w:rFonts w:hint="eastAsia" w:ascii="宋体" w:hAnsi="宋体"/>
          <w:szCs w:val="21"/>
        </w:rPr>
        <w:t>（十二）基金托管人不得承担以下职责：</w:t>
      </w:r>
    </w:p>
    <w:p w14:paraId="411D14AF">
      <w:pPr>
        <w:pStyle w:val="46"/>
        <w:numPr>
          <w:ilvl w:val="0"/>
          <w:numId w:val="3"/>
        </w:numPr>
        <w:spacing w:line="360" w:lineRule="auto"/>
        <w:ind w:firstLineChars="0"/>
        <w:rPr>
          <w:rFonts w:ascii="宋体" w:hAnsi="宋体"/>
          <w:szCs w:val="21"/>
        </w:rPr>
      </w:pPr>
      <w:r>
        <w:rPr>
          <w:rFonts w:hint="eastAsia" w:ascii="宋体" w:hAnsi="宋体"/>
          <w:szCs w:val="21"/>
        </w:rPr>
        <w:t>承担基金财产的信用风险、市场风险等；</w:t>
      </w:r>
    </w:p>
    <w:p w14:paraId="1ABEC76B">
      <w:pPr>
        <w:pStyle w:val="46"/>
        <w:numPr>
          <w:ilvl w:val="0"/>
          <w:numId w:val="3"/>
        </w:numPr>
        <w:spacing w:line="360" w:lineRule="auto"/>
        <w:ind w:firstLineChars="0"/>
        <w:rPr>
          <w:rFonts w:ascii="宋体" w:hAnsi="宋体"/>
          <w:szCs w:val="21"/>
        </w:rPr>
      </w:pPr>
      <w:r>
        <w:rPr>
          <w:rFonts w:hint="eastAsia" w:ascii="宋体" w:hAnsi="宋体"/>
          <w:szCs w:val="21"/>
        </w:rPr>
        <w:t>为基金财产提供直接或间接、显性或隐性担保，包括承诺本金或保证收益；</w:t>
      </w:r>
    </w:p>
    <w:p w14:paraId="3FE4F10F">
      <w:pPr>
        <w:pStyle w:val="46"/>
        <w:numPr>
          <w:ilvl w:val="0"/>
          <w:numId w:val="3"/>
        </w:numPr>
        <w:spacing w:line="360" w:lineRule="auto"/>
        <w:ind w:firstLineChars="0"/>
        <w:rPr>
          <w:rFonts w:ascii="宋体" w:hAnsi="宋体"/>
          <w:szCs w:val="21"/>
        </w:rPr>
      </w:pPr>
      <w:r>
        <w:rPr>
          <w:rFonts w:hint="eastAsia" w:ascii="宋体" w:hAnsi="宋体"/>
          <w:b/>
          <w:bCs/>
          <w:szCs w:val="21"/>
        </w:rPr>
        <w:t>为基金财产垫付资金、提供流动性支持或融资承诺等；</w:t>
      </w:r>
    </w:p>
    <w:p w14:paraId="255102A7">
      <w:pPr>
        <w:pStyle w:val="46"/>
        <w:numPr>
          <w:ilvl w:val="0"/>
          <w:numId w:val="3"/>
        </w:numPr>
        <w:spacing w:line="360" w:lineRule="auto"/>
        <w:ind w:firstLineChars="0"/>
        <w:rPr>
          <w:rFonts w:ascii="宋体" w:hAnsi="宋体"/>
          <w:szCs w:val="21"/>
        </w:rPr>
      </w:pPr>
      <w:r>
        <w:rPr>
          <w:rFonts w:hint="eastAsia" w:ascii="宋体" w:hAnsi="宋体"/>
          <w:szCs w:val="21"/>
        </w:rPr>
        <w:t xml:space="preserve">参与投资者适当性管理； </w:t>
      </w:r>
    </w:p>
    <w:p w14:paraId="46E99124">
      <w:pPr>
        <w:pStyle w:val="46"/>
        <w:numPr>
          <w:ilvl w:val="0"/>
          <w:numId w:val="3"/>
        </w:numPr>
        <w:spacing w:line="360" w:lineRule="auto"/>
        <w:ind w:firstLineChars="0"/>
        <w:rPr>
          <w:rFonts w:ascii="宋体" w:hAnsi="宋体"/>
          <w:szCs w:val="21"/>
        </w:rPr>
      </w:pPr>
      <w:r>
        <w:rPr>
          <w:rFonts w:hint="eastAsia" w:ascii="宋体" w:hAnsi="宋体"/>
          <w:szCs w:val="21"/>
        </w:rPr>
        <w:t xml:space="preserve">保证投资项目及交易信息真实性； </w:t>
      </w:r>
    </w:p>
    <w:p w14:paraId="50F4808F">
      <w:pPr>
        <w:pStyle w:val="46"/>
        <w:numPr>
          <w:ilvl w:val="0"/>
          <w:numId w:val="3"/>
        </w:numPr>
        <w:spacing w:line="360" w:lineRule="auto"/>
        <w:ind w:firstLineChars="0"/>
        <w:rPr>
          <w:rFonts w:ascii="宋体" w:hAnsi="宋体"/>
          <w:szCs w:val="21"/>
        </w:rPr>
      </w:pPr>
      <w:r>
        <w:rPr>
          <w:rFonts w:hint="eastAsia" w:ascii="宋体" w:hAnsi="宋体"/>
          <w:szCs w:val="21"/>
        </w:rPr>
        <w:t>保证基金财产资金来源的合法合规性；</w:t>
      </w:r>
    </w:p>
    <w:p w14:paraId="5C25FF9F">
      <w:pPr>
        <w:pStyle w:val="46"/>
        <w:numPr>
          <w:ilvl w:val="0"/>
          <w:numId w:val="3"/>
        </w:numPr>
        <w:spacing w:line="360" w:lineRule="auto"/>
        <w:ind w:firstLineChars="0"/>
        <w:rPr>
          <w:rFonts w:ascii="宋体" w:hAnsi="宋体"/>
          <w:szCs w:val="21"/>
        </w:rPr>
      </w:pPr>
      <w:r>
        <w:rPr>
          <w:rFonts w:hint="eastAsia" w:ascii="宋体" w:hAnsi="宋体"/>
          <w:b/>
          <w:bCs/>
          <w:szCs w:val="21"/>
        </w:rPr>
        <w:t>对已划出托管账户以及处于基金托管人实际控制之外的资产承担保管责任；</w:t>
      </w:r>
    </w:p>
    <w:p w14:paraId="7910F814">
      <w:pPr>
        <w:pStyle w:val="46"/>
        <w:numPr>
          <w:ilvl w:val="0"/>
          <w:numId w:val="3"/>
        </w:numPr>
        <w:spacing w:line="360" w:lineRule="auto"/>
        <w:ind w:firstLineChars="0"/>
        <w:rPr>
          <w:rFonts w:ascii="宋体" w:hAnsi="宋体"/>
          <w:szCs w:val="21"/>
        </w:rPr>
      </w:pPr>
      <w:r>
        <w:rPr>
          <w:rFonts w:hint="eastAsia" w:ascii="宋体" w:hAnsi="宋体"/>
          <w:szCs w:val="21"/>
        </w:rPr>
        <w:t>参与基金管理人对托管产品的投资决策；</w:t>
      </w:r>
    </w:p>
    <w:p w14:paraId="6D1764C4">
      <w:pPr>
        <w:pStyle w:val="46"/>
        <w:numPr>
          <w:ilvl w:val="0"/>
          <w:numId w:val="3"/>
        </w:numPr>
        <w:spacing w:line="360" w:lineRule="auto"/>
        <w:ind w:firstLineChars="0"/>
        <w:rPr>
          <w:rFonts w:ascii="宋体" w:hAnsi="宋体"/>
          <w:szCs w:val="21"/>
        </w:rPr>
      </w:pPr>
      <w:r>
        <w:rPr>
          <w:rFonts w:hint="eastAsia" w:ascii="宋体" w:hAnsi="宋体"/>
          <w:b/>
          <w:bCs/>
          <w:szCs w:val="21"/>
        </w:rPr>
        <w:t xml:space="preserve">违规代替基金管理人向其他机构或者个人进行托管产品信息披露或提供相关数据信息； </w:t>
      </w:r>
    </w:p>
    <w:p w14:paraId="7316359C">
      <w:pPr>
        <w:pStyle w:val="46"/>
        <w:numPr>
          <w:ilvl w:val="0"/>
          <w:numId w:val="3"/>
        </w:numPr>
        <w:spacing w:line="360" w:lineRule="auto"/>
        <w:ind w:firstLineChars="0"/>
        <w:rPr>
          <w:rFonts w:ascii="宋体" w:hAnsi="宋体"/>
          <w:szCs w:val="21"/>
        </w:rPr>
      </w:pPr>
      <w:r>
        <w:rPr>
          <w:rFonts w:hint="eastAsia" w:ascii="宋体" w:hAnsi="宋体"/>
          <w:szCs w:val="21"/>
        </w:rPr>
        <w:t>基金管理人未接受基金托管人的复核意见进行信息披露产生的相应责任；</w:t>
      </w:r>
    </w:p>
    <w:p w14:paraId="03E1448D">
      <w:pPr>
        <w:pStyle w:val="46"/>
        <w:numPr>
          <w:ilvl w:val="0"/>
          <w:numId w:val="3"/>
        </w:numPr>
        <w:spacing w:line="360" w:lineRule="auto"/>
        <w:ind w:firstLineChars="0"/>
        <w:rPr>
          <w:rFonts w:ascii="宋体" w:hAnsi="宋体"/>
          <w:szCs w:val="21"/>
        </w:rPr>
      </w:pPr>
      <w:r>
        <w:rPr>
          <w:rFonts w:hint="eastAsia" w:ascii="宋体" w:hAnsi="宋体"/>
          <w:szCs w:val="21"/>
        </w:rPr>
        <w:t>负责未兑付产品的资金追偿、财产保全、诉讼仲裁、债务重组和破产程序等，法律另有规定的除外；</w:t>
      </w:r>
    </w:p>
    <w:p w14:paraId="400A54CD">
      <w:pPr>
        <w:pStyle w:val="46"/>
        <w:numPr>
          <w:ilvl w:val="0"/>
          <w:numId w:val="3"/>
        </w:numPr>
        <w:spacing w:line="360" w:lineRule="auto"/>
        <w:ind w:firstLineChars="0"/>
        <w:rPr>
          <w:rFonts w:ascii="宋体" w:hAnsi="宋体"/>
          <w:szCs w:val="21"/>
        </w:rPr>
      </w:pPr>
      <w:r>
        <w:rPr>
          <w:rFonts w:hint="eastAsia" w:ascii="宋体" w:hAnsi="宋体"/>
          <w:szCs w:val="21"/>
        </w:rPr>
        <w:t>因不可抗力，以及非本机构履职错误或过失造成的基金财产损失；</w:t>
      </w:r>
    </w:p>
    <w:p w14:paraId="08351AB9">
      <w:pPr>
        <w:pStyle w:val="46"/>
        <w:numPr>
          <w:ilvl w:val="0"/>
          <w:numId w:val="3"/>
        </w:numPr>
        <w:spacing w:line="360" w:lineRule="auto"/>
        <w:ind w:firstLineChars="0"/>
        <w:rPr>
          <w:rFonts w:ascii="宋体" w:hAnsi="宋体"/>
          <w:szCs w:val="21"/>
        </w:rPr>
      </w:pPr>
      <w:r>
        <w:rPr>
          <w:rFonts w:hint="eastAsia" w:ascii="宋体" w:hAnsi="宋体"/>
          <w:szCs w:val="21"/>
        </w:rPr>
        <w:t>国务院金融监管部门规定的不属于基金托管人托管业务范围的其他职责。</w:t>
      </w:r>
    </w:p>
    <w:p w14:paraId="426A2DDE">
      <w:pPr>
        <w:spacing w:line="360" w:lineRule="auto"/>
        <w:rPr>
          <w:rFonts w:ascii="宋体" w:hAnsi="宋体"/>
          <w:szCs w:val="21"/>
        </w:rPr>
      </w:pPr>
      <w:r>
        <w:rPr>
          <w:rFonts w:hint="eastAsia" w:ascii="宋体" w:hAnsi="宋体"/>
          <w:szCs w:val="21"/>
        </w:rPr>
        <w:t xml:space="preserve">   （十三）如法律、行政法规或监管部门取消或变更上述规定，如适用于本基金，基金管理人在履行适当程序后，本基金可不受上述规定的限制或以变更后的规定为准。</w:t>
      </w:r>
      <w:bookmarkStart w:id="81" w:name="_Toc382819132"/>
    </w:p>
    <w:p w14:paraId="58F10EB8">
      <w:pPr>
        <w:pStyle w:val="2"/>
        <w:keepNext w:val="0"/>
        <w:keepLines w:val="0"/>
        <w:numPr>
          <w:ilvl w:val="0"/>
          <w:numId w:val="2"/>
        </w:numPr>
        <w:tabs>
          <w:tab w:val="left" w:pos="420"/>
        </w:tabs>
        <w:autoSpaceDE w:val="0"/>
        <w:autoSpaceDN w:val="0"/>
        <w:adjustRightInd w:val="0"/>
        <w:spacing w:before="360" w:after="360"/>
        <w:textAlignment w:val="baseline"/>
        <w:rPr>
          <w:rFonts w:ascii="宋体" w:hAnsi="宋体" w:eastAsia="宋体" w:cs="Arial"/>
          <w:sz w:val="21"/>
          <w:szCs w:val="21"/>
        </w:rPr>
      </w:pPr>
      <w:r>
        <w:rPr>
          <w:rFonts w:hint="eastAsia" w:ascii="宋体" w:hAnsi="宋体" w:eastAsia="宋体" w:cs="Arial"/>
          <w:sz w:val="21"/>
          <w:szCs w:val="21"/>
        </w:rPr>
        <w:t>基金托管协议的变更、终止与基金财产的清算</w:t>
      </w:r>
      <w:bookmarkEnd w:id="81"/>
    </w:p>
    <w:p w14:paraId="3ED3A1EE">
      <w:pPr>
        <w:spacing w:line="360" w:lineRule="auto"/>
        <w:ind w:firstLine="420" w:firstLineChars="200"/>
        <w:outlineLvl w:val="1"/>
        <w:rPr>
          <w:rFonts w:ascii="宋体" w:hAnsi="宋体"/>
          <w:szCs w:val="21"/>
        </w:rPr>
      </w:pPr>
      <w:r>
        <w:rPr>
          <w:rFonts w:hint="eastAsia" w:ascii="宋体" w:hAnsi="宋体"/>
          <w:szCs w:val="21"/>
        </w:rPr>
        <w:t>（一）托管协议的变更与终止</w:t>
      </w:r>
    </w:p>
    <w:p w14:paraId="5EEA4688">
      <w:pPr>
        <w:spacing w:line="360" w:lineRule="auto"/>
        <w:ind w:firstLine="420" w:firstLineChars="200"/>
        <w:outlineLvl w:val="2"/>
        <w:rPr>
          <w:rFonts w:ascii="宋体" w:hAnsi="宋体"/>
          <w:szCs w:val="21"/>
        </w:rPr>
      </w:pPr>
      <w:r>
        <w:rPr>
          <w:rFonts w:hint="eastAsia" w:ascii="宋体" w:hAnsi="宋体"/>
          <w:szCs w:val="21"/>
        </w:rPr>
        <w:t>1.托管协议的变更程序</w:t>
      </w:r>
    </w:p>
    <w:p w14:paraId="30F607A2">
      <w:pPr>
        <w:autoSpaceDE w:val="0"/>
        <w:autoSpaceDN w:val="0"/>
        <w:adjustRightInd w:val="0"/>
        <w:spacing w:line="360" w:lineRule="auto"/>
        <w:ind w:firstLine="444" w:firstLineChars="200"/>
        <w:jc w:val="left"/>
        <w:rPr>
          <w:rFonts w:ascii="宋体" w:hAnsi="宋体"/>
          <w:spacing w:val="6"/>
          <w:szCs w:val="21"/>
        </w:rPr>
      </w:pPr>
      <w:r>
        <w:rPr>
          <w:rFonts w:hint="eastAsia" w:ascii="宋体" w:hAnsi="宋体"/>
          <w:spacing w:val="6"/>
          <w:szCs w:val="21"/>
        </w:rPr>
        <w:t>本协议双方当事人经协商一致，可以对协议的内容进行变更。变更后的托管协议，其内容不得与《基金合同》的规定有任何冲突</w:t>
      </w:r>
      <w:r>
        <w:rPr>
          <w:rStyle w:val="22"/>
          <w:rFonts w:hint="eastAsia"/>
        </w:rPr>
        <w:t>，</w:t>
      </w:r>
      <w:r>
        <w:rPr>
          <w:rFonts w:hint="eastAsia" w:ascii="宋体" w:hAnsi="宋体"/>
          <w:spacing w:val="6"/>
          <w:szCs w:val="21"/>
        </w:rPr>
        <w:t>基金托管协议的变更按规定报中国证监会备案。</w:t>
      </w:r>
    </w:p>
    <w:p w14:paraId="72C41CDB">
      <w:pPr>
        <w:spacing w:line="360" w:lineRule="auto"/>
        <w:ind w:firstLine="420" w:firstLineChars="200"/>
        <w:outlineLvl w:val="2"/>
        <w:rPr>
          <w:rFonts w:ascii="宋体" w:hAnsi="宋体"/>
          <w:szCs w:val="21"/>
        </w:rPr>
      </w:pPr>
      <w:r>
        <w:rPr>
          <w:rFonts w:hint="eastAsia" w:ascii="宋体" w:hAnsi="宋体"/>
          <w:szCs w:val="21"/>
        </w:rPr>
        <w:t>2.基金托管协议终止的情形</w:t>
      </w:r>
    </w:p>
    <w:p w14:paraId="2256EE5C">
      <w:pPr>
        <w:autoSpaceDE w:val="0"/>
        <w:autoSpaceDN w:val="0"/>
        <w:adjustRightInd w:val="0"/>
        <w:spacing w:line="360" w:lineRule="auto"/>
        <w:ind w:firstLine="444" w:firstLineChars="200"/>
        <w:jc w:val="left"/>
        <w:rPr>
          <w:rFonts w:ascii="宋体" w:hAnsi="宋体"/>
          <w:spacing w:val="6"/>
          <w:szCs w:val="21"/>
        </w:rPr>
      </w:pPr>
      <w:r>
        <w:rPr>
          <w:rFonts w:hint="eastAsia" w:ascii="宋体" w:hAnsi="宋体"/>
          <w:spacing w:val="6"/>
          <w:szCs w:val="21"/>
        </w:rPr>
        <w:t>发生以下情况，本托管协议终止：</w:t>
      </w:r>
    </w:p>
    <w:p w14:paraId="5848BFF8">
      <w:pPr>
        <w:autoSpaceDE w:val="0"/>
        <w:autoSpaceDN w:val="0"/>
        <w:adjustRightInd w:val="0"/>
        <w:spacing w:line="360" w:lineRule="auto"/>
        <w:ind w:firstLine="444" w:firstLineChars="200"/>
        <w:jc w:val="left"/>
        <w:rPr>
          <w:rFonts w:ascii="宋体" w:hAnsi="宋体"/>
          <w:spacing w:val="6"/>
          <w:szCs w:val="21"/>
        </w:rPr>
      </w:pPr>
      <w:r>
        <w:rPr>
          <w:rFonts w:hint="eastAsia" w:ascii="宋体" w:hAnsi="宋体"/>
          <w:spacing w:val="6"/>
          <w:szCs w:val="21"/>
        </w:rPr>
        <w:t>（1）《基金合同》终止；</w:t>
      </w:r>
    </w:p>
    <w:p w14:paraId="1390325D">
      <w:pPr>
        <w:autoSpaceDE w:val="0"/>
        <w:autoSpaceDN w:val="0"/>
        <w:adjustRightInd w:val="0"/>
        <w:spacing w:line="360" w:lineRule="auto"/>
        <w:ind w:firstLine="444" w:firstLineChars="200"/>
        <w:jc w:val="left"/>
        <w:rPr>
          <w:rFonts w:ascii="宋体" w:hAnsi="宋体"/>
          <w:spacing w:val="6"/>
          <w:szCs w:val="21"/>
        </w:rPr>
      </w:pPr>
      <w:r>
        <w:rPr>
          <w:rFonts w:hint="eastAsia" w:ascii="宋体" w:hAnsi="宋体"/>
          <w:spacing w:val="6"/>
          <w:szCs w:val="21"/>
        </w:rPr>
        <w:t>（2）基金托管人解散、依法被撤销、破产或有其他基金托管人接管基金资产；</w:t>
      </w:r>
    </w:p>
    <w:p w14:paraId="5162BBBD">
      <w:pPr>
        <w:autoSpaceDE w:val="0"/>
        <w:autoSpaceDN w:val="0"/>
        <w:adjustRightInd w:val="0"/>
        <w:spacing w:line="360" w:lineRule="auto"/>
        <w:ind w:firstLine="444" w:firstLineChars="200"/>
        <w:jc w:val="left"/>
        <w:rPr>
          <w:rFonts w:ascii="宋体" w:hAnsi="宋体"/>
          <w:spacing w:val="6"/>
          <w:szCs w:val="21"/>
        </w:rPr>
      </w:pPr>
      <w:r>
        <w:rPr>
          <w:rFonts w:hint="eastAsia" w:ascii="宋体" w:hAnsi="宋体"/>
          <w:spacing w:val="6"/>
          <w:szCs w:val="21"/>
        </w:rPr>
        <w:t>（3）基金管理人解散、依法被撤销、破产或有其他基金管理人接管基金管理权；</w:t>
      </w:r>
    </w:p>
    <w:p w14:paraId="1B7003A0">
      <w:pPr>
        <w:autoSpaceDE w:val="0"/>
        <w:autoSpaceDN w:val="0"/>
        <w:adjustRightInd w:val="0"/>
        <w:spacing w:line="360" w:lineRule="auto"/>
        <w:ind w:firstLine="444" w:firstLineChars="200"/>
        <w:jc w:val="left"/>
        <w:rPr>
          <w:rFonts w:ascii="宋体" w:hAnsi="宋体"/>
          <w:spacing w:val="6"/>
          <w:szCs w:val="21"/>
        </w:rPr>
      </w:pPr>
      <w:r>
        <w:rPr>
          <w:rFonts w:hint="eastAsia" w:ascii="宋体" w:hAnsi="宋体"/>
          <w:spacing w:val="6"/>
          <w:szCs w:val="21"/>
        </w:rPr>
        <w:t>（4）发生法律法规或《基金合同》规定的终止事项。</w:t>
      </w:r>
    </w:p>
    <w:p w14:paraId="14BF5FED">
      <w:pPr>
        <w:spacing w:line="360" w:lineRule="auto"/>
        <w:ind w:firstLine="420" w:firstLineChars="200"/>
        <w:outlineLvl w:val="1"/>
        <w:rPr>
          <w:rFonts w:ascii="宋体" w:hAnsi="宋体"/>
          <w:szCs w:val="21"/>
        </w:rPr>
      </w:pPr>
      <w:bookmarkStart w:id="82" w:name="_Hlk207919495"/>
      <w:r>
        <w:rPr>
          <w:rFonts w:hint="eastAsia" w:ascii="宋体" w:hAnsi="宋体"/>
          <w:szCs w:val="21"/>
        </w:rPr>
        <w:t>（二）基金财产的清算</w:t>
      </w:r>
    </w:p>
    <w:p w14:paraId="4290C6C2">
      <w:pPr>
        <w:spacing w:line="360" w:lineRule="auto"/>
        <w:ind w:firstLine="420" w:firstLineChars="200"/>
        <w:rPr>
          <w:rFonts w:ascii="宋体" w:hAnsi="宋体"/>
          <w:szCs w:val="21"/>
        </w:rPr>
      </w:pPr>
      <w:r>
        <w:rPr>
          <w:rFonts w:hint="eastAsia" w:ascii="宋体" w:hAnsi="宋体"/>
          <w:szCs w:val="21"/>
        </w:rPr>
        <w:t>1.基金财产清算小组：自出现《基金合同》终止事由之日起30个工作日内成立清算小组，基金管理人组织基金财产清算小组并在中国证监会的监督下进行基金清算。</w:t>
      </w:r>
    </w:p>
    <w:p w14:paraId="2052607D">
      <w:pPr>
        <w:spacing w:line="360" w:lineRule="auto"/>
        <w:ind w:firstLine="420" w:firstLineChars="200"/>
        <w:rPr>
          <w:rFonts w:ascii="宋体" w:hAnsi="宋体"/>
          <w:szCs w:val="21"/>
        </w:rPr>
      </w:pPr>
      <w:r>
        <w:rPr>
          <w:rFonts w:hint="eastAsia" w:ascii="宋体" w:hAnsi="宋体"/>
          <w:szCs w:val="21"/>
        </w:rPr>
        <w:t>2.</w:t>
      </w:r>
      <w:r>
        <w:rPr>
          <w:rFonts w:hint="eastAsia" w:ascii="宋体" w:hAnsi="宋体"/>
          <w:kern w:val="0"/>
          <w:szCs w:val="21"/>
        </w:rPr>
        <w:t>在基金财产清算小组接管基金财产之前，基金管理人和基金托管人应按照《基金合同》和本托管协议的规定继续履行保护基金财产安全的职责。</w:t>
      </w:r>
    </w:p>
    <w:p w14:paraId="792028A3">
      <w:pPr>
        <w:spacing w:line="360" w:lineRule="auto"/>
        <w:ind w:firstLine="420" w:firstLineChars="200"/>
        <w:rPr>
          <w:rFonts w:ascii="宋体" w:hAnsi="宋体"/>
          <w:szCs w:val="21"/>
        </w:rPr>
      </w:pPr>
      <w:r>
        <w:rPr>
          <w:rFonts w:hint="eastAsia" w:ascii="宋体" w:hAnsi="宋体"/>
          <w:szCs w:val="21"/>
        </w:rPr>
        <w:t>3.基金财产清算小组组成：基金财产清算小组成员由基金管理人、基金托管人、符合《中华人民共和国证券法》规定的注册会计师、律师以及中国证监会指定的人员组成。基金财产清算小组可以聘用必要的工作人员。</w:t>
      </w:r>
    </w:p>
    <w:p w14:paraId="3167D7B6">
      <w:pPr>
        <w:spacing w:line="360" w:lineRule="auto"/>
        <w:ind w:firstLine="420" w:firstLineChars="200"/>
        <w:rPr>
          <w:rFonts w:ascii="宋体" w:hAnsi="宋体"/>
          <w:szCs w:val="21"/>
        </w:rPr>
      </w:pPr>
      <w:r>
        <w:rPr>
          <w:rFonts w:hint="eastAsia" w:ascii="宋体" w:hAnsi="宋体"/>
          <w:szCs w:val="21"/>
        </w:rPr>
        <w:t>4.基金财产清算小组职责：基金财产清算小组负责基金财产的保管、清理、估价、变现和分配。基金财产清算小组可以依法进行必要的民事活动。</w:t>
      </w:r>
    </w:p>
    <w:p w14:paraId="1062D1E1">
      <w:pPr>
        <w:tabs>
          <w:tab w:val="left" w:pos="6435"/>
        </w:tabs>
        <w:spacing w:line="360" w:lineRule="auto"/>
        <w:ind w:firstLine="420" w:firstLineChars="200"/>
        <w:rPr>
          <w:rFonts w:ascii="宋体" w:hAnsi="宋体"/>
          <w:szCs w:val="21"/>
        </w:rPr>
      </w:pPr>
      <w:r>
        <w:rPr>
          <w:rFonts w:hint="eastAsia" w:ascii="宋体" w:hAnsi="宋体"/>
          <w:szCs w:val="21"/>
        </w:rPr>
        <w:t>5.基金财产清算程序：</w:t>
      </w:r>
      <w:r>
        <w:rPr>
          <w:rFonts w:hint="eastAsia" w:ascii="宋体" w:hAnsi="宋体"/>
          <w:szCs w:val="21"/>
        </w:rPr>
        <w:tab/>
      </w:r>
    </w:p>
    <w:p w14:paraId="0E4009A7">
      <w:pPr>
        <w:spacing w:line="360" w:lineRule="auto"/>
        <w:ind w:firstLine="420" w:firstLineChars="200"/>
        <w:rPr>
          <w:rFonts w:ascii="宋体" w:hAnsi="宋体"/>
          <w:szCs w:val="21"/>
        </w:rPr>
      </w:pPr>
      <w:r>
        <w:rPr>
          <w:rFonts w:hint="eastAsia" w:ascii="宋体" w:hAnsi="宋体"/>
          <w:szCs w:val="21"/>
        </w:rPr>
        <w:t>（1）《基金合同》终止情形出现时，由基金财产清算小组统一接管基金财产；</w:t>
      </w:r>
    </w:p>
    <w:p w14:paraId="708FC9A9">
      <w:pPr>
        <w:spacing w:line="360" w:lineRule="auto"/>
        <w:ind w:firstLine="420" w:firstLineChars="200"/>
        <w:rPr>
          <w:rFonts w:ascii="宋体" w:hAnsi="宋体"/>
          <w:szCs w:val="21"/>
        </w:rPr>
      </w:pPr>
      <w:r>
        <w:rPr>
          <w:rFonts w:hint="eastAsia" w:ascii="宋体" w:hAnsi="宋体"/>
          <w:szCs w:val="21"/>
        </w:rPr>
        <w:t>（2）对基金财产和债权债务进行清理和确认；</w:t>
      </w:r>
    </w:p>
    <w:p w14:paraId="28B76BBB">
      <w:pPr>
        <w:spacing w:line="360" w:lineRule="auto"/>
        <w:ind w:firstLine="420" w:firstLineChars="200"/>
        <w:rPr>
          <w:rFonts w:ascii="宋体" w:hAnsi="宋体"/>
          <w:szCs w:val="21"/>
        </w:rPr>
      </w:pPr>
      <w:r>
        <w:rPr>
          <w:rFonts w:hint="eastAsia" w:ascii="宋体" w:hAnsi="宋体"/>
          <w:szCs w:val="21"/>
        </w:rPr>
        <w:t>（3）对基金财产进行估值和变现；</w:t>
      </w:r>
    </w:p>
    <w:p w14:paraId="1E035FE5">
      <w:pPr>
        <w:spacing w:line="360" w:lineRule="auto"/>
        <w:ind w:firstLine="420" w:firstLineChars="200"/>
        <w:rPr>
          <w:rFonts w:ascii="宋体" w:hAnsi="宋体"/>
          <w:szCs w:val="21"/>
        </w:rPr>
      </w:pPr>
      <w:r>
        <w:rPr>
          <w:rFonts w:hint="eastAsia" w:ascii="宋体" w:hAnsi="宋体"/>
          <w:szCs w:val="21"/>
        </w:rPr>
        <w:t>（4）制作清算报告；</w:t>
      </w:r>
    </w:p>
    <w:p w14:paraId="66DB951D">
      <w:pPr>
        <w:spacing w:line="360" w:lineRule="auto"/>
        <w:ind w:firstLine="420" w:firstLineChars="200"/>
        <w:rPr>
          <w:rFonts w:ascii="宋体" w:hAnsi="宋体"/>
          <w:szCs w:val="21"/>
        </w:rPr>
      </w:pPr>
      <w:r>
        <w:rPr>
          <w:rFonts w:hint="eastAsia" w:ascii="宋体" w:hAnsi="宋体"/>
          <w:szCs w:val="21"/>
        </w:rPr>
        <w:t>（5）</w:t>
      </w:r>
      <w:r>
        <w:rPr>
          <w:rFonts w:hint="eastAsia" w:ascii="宋体" w:hAnsi="宋体"/>
          <w:bCs/>
          <w:szCs w:val="21"/>
        </w:rPr>
        <w:t>聘请会计师事务所对清算报告进行外部审计，聘请律师事务所对清算报告出具法律意见书；</w:t>
      </w:r>
    </w:p>
    <w:p w14:paraId="3F44B7A8">
      <w:pPr>
        <w:spacing w:line="360" w:lineRule="auto"/>
        <w:ind w:firstLine="420" w:firstLineChars="200"/>
        <w:rPr>
          <w:rFonts w:ascii="宋体" w:hAnsi="宋体"/>
          <w:kern w:val="0"/>
          <w:szCs w:val="21"/>
        </w:rPr>
      </w:pPr>
      <w:r>
        <w:rPr>
          <w:rFonts w:hint="eastAsia" w:ascii="宋体" w:hAnsi="宋体"/>
          <w:szCs w:val="21"/>
        </w:rPr>
        <w:t>（6）将清算报告报中国证监会备案并公告；</w:t>
      </w:r>
    </w:p>
    <w:p w14:paraId="25B373BA">
      <w:pPr>
        <w:spacing w:line="360" w:lineRule="auto"/>
        <w:ind w:firstLine="420" w:firstLineChars="200"/>
        <w:rPr>
          <w:rFonts w:ascii="宋体" w:hAnsi="宋体"/>
          <w:bCs/>
          <w:szCs w:val="21"/>
        </w:rPr>
      </w:pPr>
      <w:r>
        <w:rPr>
          <w:rFonts w:hint="eastAsia" w:ascii="宋体" w:hAnsi="宋体"/>
          <w:szCs w:val="21"/>
        </w:rPr>
        <w:t>（7）</w:t>
      </w:r>
      <w:r>
        <w:rPr>
          <w:rFonts w:hint="eastAsia" w:ascii="宋体" w:hAnsi="宋体"/>
          <w:bCs/>
          <w:szCs w:val="21"/>
        </w:rPr>
        <w:t>对基金剩余财产进行分配。</w:t>
      </w:r>
    </w:p>
    <w:p w14:paraId="23604B3E">
      <w:pPr>
        <w:spacing w:line="360" w:lineRule="auto"/>
        <w:ind w:firstLine="420" w:firstLineChars="200"/>
        <w:rPr>
          <w:rFonts w:ascii="宋体" w:hAnsi="宋体"/>
          <w:szCs w:val="21"/>
        </w:rPr>
      </w:pPr>
      <w:r>
        <w:rPr>
          <w:rFonts w:hint="eastAsia" w:ascii="宋体" w:hAnsi="宋体"/>
          <w:bCs/>
          <w:szCs w:val="21"/>
        </w:rPr>
        <w:t>基金财产清算的期限为6个月，但因本基金所持证券的流动性受到限制而不能及时变现的，清算期限相应顺延。</w:t>
      </w:r>
    </w:p>
    <w:p w14:paraId="289DEAC6">
      <w:pPr>
        <w:adjustRightInd w:val="0"/>
        <w:snapToGrid w:val="0"/>
        <w:spacing w:line="360" w:lineRule="auto"/>
        <w:ind w:firstLine="420" w:firstLineChars="200"/>
        <w:rPr>
          <w:rFonts w:ascii="宋体" w:hAnsi="宋体" w:cs="Arial"/>
          <w:szCs w:val="21"/>
        </w:rPr>
      </w:pPr>
      <w:r>
        <w:rPr>
          <w:rFonts w:hint="eastAsia" w:ascii="宋体" w:hAnsi="宋体" w:cs="Arial"/>
          <w:szCs w:val="21"/>
        </w:rPr>
        <w:t>6.清算费用</w:t>
      </w:r>
    </w:p>
    <w:p w14:paraId="0A71D1AF">
      <w:pPr>
        <w:adjustRightInd w:val="0"/>
        <w:snapToGrid w:val="0"/>
        <w:spacing w:line="360" w:lineRule="auto"/>
        <w:ind w:firstLine="420" w:firstLineChars="200"/>
        <w:rPr>
          <w:rFonts w:ascii="宋体" w:hAnsi="宋体" w:cs="Arial"/>
          <w:szCs w:val="21"/>
        </w:rPr>
      </w:pPr>
      <w:r>
        <w:rPr>
          <w:rFonts w:hint="eastAsia" w:ascii="宋体" w:hAnsi="宋体" w:cs="Arial"/>
          <w:szCs w:val="21"/>
        </w:rPr>
        <w:t>清算费用是指基金财产清算小组在进行基金财产清算过程中发生的所有合理费用，清算费用由基金财产清算小组优先从基金财产中支付。</w:t>
      </w:r>
    </w:p>
    <w:p w14:paraId="4072805E">
      <w:pPr>
        <w:adjustRightInd w:val="0"/>
        <w:snapToGrid w:val="0"/>
        <w:spacing w:line="360" w:lineRule="auto"/>
        <w:ind w:firstLine="420" w:firstLineChars="200"/>
        <w:rPr>
          <w:rFonts w:ascii="宋体" w:hAnsi="宋体" w:cs="Arial"/>
          <w:szCs w:val="21"/>
        </w:rPr>
      </w:pPr>
      <w:r>
        <w:rPr>
          <w:rFonts w:hint="eastAsia" w:ascii="宋体" w:hAnsi="宋体" w:cs="Arial"/>
          <w:szCs w:val="21"/>
        </w:rPr>
        <w:t>7.基金财产按下列顺序清偿：</w:t>
      </w:r>
    </w:p>
    <w:p w14:paraId="75A213B5">
      <w:pPr>
        <w:adjustRightInd w:val="0"/>
        <w:snapToGrid w:val="0"/>
        <w:spacing w:line="360" w:lineRule="auto"/>
        <w:ind w:firstLine="420" w:firstLineChars="200"/>
        <w:rPr>
          <w:rFonts w:ascii="宋体" w:hAnsi="宋体" w:cs="Arial"/>
          <w:szCs w:val="21"/>
        </w:rPr>
      </w:pPr>
      <w:r>
        <w:rPr>
          <w:rFonts w:hint="eastAsia" w:ascii="宋体" w:hAnsi="宋体" w:cs="Arial"/>
          <w:szCs w:val="21"/>
        </w:rPr>
        <w:t>(1)支付清算费用；</w:t>
      </w:r>
    </w:p>
    <w:p w14:paraId="5F15B8E3">
      <w:pPr>
        <w:adjustRightInd w:val="0"/>
        <w:snapToGrid w:val="0"/>
        <w:spacing w:line="360" w:lineRule="auto"/>
        <w:ind w:firstLine="420" w:firstLineChars="200"/>
        <w:rPr>
          <w:rFonts w:ascii="宋体" w:hAnsi="宋体" w:cs="Arial"/>
          <w:szCs w:val="21"/>
        </w:rPr>
      </w:pPr>
      <w:r>
        <w:rPr>
          <w:rFonts w:hint="eastAsia" w:ascii="宋体" w:hAnsi="宋体" w:cs="Arial"/>
          <w:szCs w:val="21"/>
        </w:rPr>
        <w:t>(2)交纳所欠税款；</w:t>
      </w:r>
    </w:p>
    <w:p w14:paraId="7988D98B">
      <w:pPr>
        <w:adjustRightInd w:val="0"/>
        <w:snapToGrid w:val="0"/>
        <w:spacing w:line="360" w:lineRule="auto"/>
        <w:ind w:firstLine="420" w:firstLineChars="200"/>
        <w:rPr>
          <w:rFonts w:ascii="宋体" w:hAnsi="宋体" w:cs="Arial"/>
          <w:szCs w:val="21"/>
        </w:rPr>
      </w:pPr>
      <w:r>
        <w:rPr>
          <w:rFonts w:hint="eastAsia" w:ascii="宋体" w:hAnsi="宋体" w:cs="Arial"/>
          <w:szCs w:val="21"/>
        </w:rPr>
        <w:t>(3)清偿基金债务；</w:t>
      </w:r>
    </w:p>
    <w:p w14:paraId="0E5B4096">
      <w:pPr>
        <w:adjustRightInd w:val="0"/>
        <w:snapToGrid w:val="0"/>
        <w:spacing w:line="360" w:lineRule="auto"/>
        <w:ind w:firstLine="420" w:firstLineChars="200"/>
        <w:rPr>
          <w:rFonts w:ascii="宋体" w:hAnsi="宋体" w:cs="Arial"/>
          <w:szCs w:val="21"/>
        </w:rPr>
      </w:pPr>
      <w:r>
        <w:rPr>
          <w:rFonts w:hint="eastAsia" w:ascii="宋体" w:hAnsi="宋体" w:cs="Arial"/>
          <w:szCs w:val="21"/>
        </w:rPr>
        <w:t>(4)按基金份额持有人持有的基金份额比例进行分配。</w:t>
      </w:r>
    </w:p>
    <w:p w14:paraId="663651C3">
      <w:pPr>
        <w:spacing w:line="360" w:lineRule="auto"/>
        <w:ind w:firstLine="420" w:firstLineChars="200"/>
        <w:rPr>
          <w:rFonts w:ascii="宋体" w:hAnsi="宋体" w:cs="Arial"/>
          <w:szCs w:val="21"/>
        </w:rPr>
      </w:pPr>
      <w:r>
        <w:rPr>
          <w:rFonts w:hint="eastAsia" w:ascii="宋体" w:hAnsi="宋体" w:cs="Arial"/>
          <w:szCs w:val="21"/>
        </w:rPr>
        <w:t>基金财产未按前款(1)－(3)项规定清偿前，不分配给基金份额持有人。</w:t>
      </w:r>
    </w:p>
    <w:p w14:paraId="15DDC1B3">
      <w:pPr>
        <w:spacing w:line="360" w:lineRule="auto"/>
        <w:ind w:firstLine="420" w:firstLineChars="200"/>
        <w:rPr>
          <w:rFonts w:ascii="宋体" w:hAnsi="宋体" w:cs="Arial"/>
          <w:szCs w:val="21"/>
        </w:rPr>
      </w:pPr>
      <w:r>
        <w:rPr>
          <w:rFonts w:hint="eastAsia" w:ascii="宋体" w:hAnsi="宋体" w:cs="Arial"/>
          <w:szCs w:val="21"/>
        </w:rPr>
        <w:t>其中，对于投资人通过直销机构认购/申购的C类基金份额所计提的销售服务费，或者通过其他销售机构认购/申购的C类基金份额持续持有超过一年后所计提的销售服务费，将在基金合同终止时随剩余资产分配款项一并返还给投资人。</w:t>
      </w:r>
    </w:p>
    <w:p w14:paraId="58DC83A8">
      <w:pPr>
        <w:spacing w:line="360" w:lineRule="auto"/>
        <w:ind w:firstLine="420" w:firstLineChars="200"/>
        <w:outlineLvl w:val="1"/>
        <w:rPr>
          <w:rFonts w:ascii="宋体" w:hAnsi="宋体"/>
          <w:bCs/>
          <w:szCs w:val="21"/>
        </w:rPr>
      </w:pPr>
      <w:r>
        <w:rPr>
          <w:rFonts w:hint="eastAsia" w:ascii="宋体" w:hAnsi="宋体"/>
          <w:bCs/>
          <w:szCs w:val="21"/>
        </w:rPr>
        <w:t>（三）基金财产清算的公告</w:t>
      </w:r>
    </w:p>
    <w:p w14:paraId="331AE557">
      <w:pPr>
        <w:spacing w:line="360" w:lineRule="auto"/>
        <w:ind w:firstLine="420" w:firstLineChars="200"/>
        <w:rPr>
          <w:rFonts w:ascii="宋体" w:hAnsi="宋体"/>
          <w:szCs w:val="21"/>
        </w:rPr>
      </w:pPr>
      <w:r>
        <w:rPr>
          <w:rFonts w:hint="eastAsia" w:ascii="宋体" w:hAnsi="宋体"/>
          <w:szCs w:val="21"/>
        </w:rPr>
        <w:t>清算过程中的有关重大事项须及时公告；基金财产清算报告经</w:t>
      </w:r>
      <w:r>
        <w:rPr>
          <w:rFonts w:ascii="宋体" w:hAnsi="宋体"/>
          <w:bCs/>
          <w:szCs w:val="21"/>
        </w:rPr>
        <w:t>符合</w:t>
      </w:r>
      <w:r>
        <w:rPr>
          <w:rFonts w:hint="eastAsia" w:ascii="宋体" w:hAnsi="宋体"/>
          <w:bCs/>
          <w:szCs w:val="21"/>
        </w:rPr>
        <w:t>《中华人民共和国证券法》规定的</w:t>
      </w:r>
      <w:r>
        <w:rPr>
          <w:rFonts w:hint="eastAsia" w:ascii="宋体" w:hAnsi="宋体"/>
          <w:szCs w:val="21"/>
        </w:rPr>
        <w:t>会计师事务所审计并由律师事务所出具法律意见书后报中国证监会备案并公告。基金财产清算公告于基金财产清算报告报中国证监会备案后5个工作日内由基金财产清算小组进行公告</w:t>
      </w:r>
      <w:r>
        <w:rPr>
          <w:rFonts w:hint="eastAsia" w:ascii="宋体" w:hAnsi="宋体"/>
          <w:bCs/>
          <w:szCs w:val="21"/>
        </w:rPr>
        <w:t>，基金财产清算小组应当将清算报告登载在规定网站上，并将清算报告提示性公告登载在规定报刊上</w:t>
      </w:r>
      <w:r>
        <w:rPr>
          <w:rFonts w:hint="eastAsia" w:ascii="宋体" w:hAnsi="宋体"/>
          <w:szCs w:val="21"/>
        </w:rPr>
        <w:t>。</w:t>
      </w:r>
    </w:p>
    <w:p w14:paraId="52BEAD6E">
      <w:pPr>
        <w:spacing w:line="360" w:lineRule="auto"/>
        <w:ind w:firstLine="420" w:firstLineChars="200"/>
        <w:outlineLvl w:val="1"/>
        <w:rPr>
          <w:rFonts w:ascii="宋体" w:hAnsi="宋体"/>
          <w:bCs/>
          <w:szCs w:val="21"/>
        </w:rPr>
      </w:pPr>
      <w:r>
        <w:rPr>
          <w:rFonts w:hint="eastAsia" w:ascii="宋体" w:hAnsi="宋体"/>
          <w:bCs/>
          <w:szCs w:val="21"/>
        </w:rPr>
        <w:t>（四）基金财产清算账册及文件的保存</w:t>
      </w:r>
    </w:p>
    <w:p w14:paraId="0EE55533">
      <w:pPr>
        <w:spacing w:line="360" w:lineRule="auto"/>
        <w:ind w:firstLine="200"/>
        <w:rPr>
          <w:rFonts w:ascii="宋体" w:hAnsi="宋体"/>
          <w:szCs w:val="21"/>
        </w:rPr>
      </w:pPr>
      <w:r>
        <w:rPr>
          <w:rFonts w:hint="eastAsia" w:ascii="宋体" w:hAnsi="宋体"/>
          <w:szCs w:val="21"/>
        </w:rPr>
        <w:t>基金财产清算账册及有关文件由基金托管人保存不低于法律</w:t>
      </w:r>
      <w:r>
        <w:rPr>
          <w:rFonts w:ascii="宋体" w:hAnsi="宋体"/>
          <w:szCs w:val="21"/>
        </w:rPr>
        <w:t>法规规定的最低期限</w:t>
      </w:r>
      <w:r>
        <w:rPr>
          <w:rFonts w:hint="eastAsia" w:ascii="宋体" w:hAnsi="宋体"/>
          <w:szCs w:val="21"/>
        </w:rPr>
        <w:t>。</w:t>
      </w:r>
    </w:p>
    <w:bookmarkEnd w:id="82"/>
    <w:p w14:paraId="72A124B6">
      <w:pPr>
        <w:pStyle w:val="2"/>
        <w:keepNext w:val="0"/>
        <w:keepLines w:val="0"/>
        <w:numPr>
          <w:ilvl w:val="0"/>
          <w:numId w:val="2"/>
        </w:numPr>
        <w:tabs>
          <w:tab w:val="left" w:pos="420"/>
        </w:tabs>
        <w:autoSpaceDE w:val="0"/>
        <w:autoSpaceDN w:val="0"/>
        <w:adjustRightInd w:val="0"/>
        <w:spacing w:before="360" w:after="360"/>
        <w:textAlignment w:val="baseline"/>
        <w:rPr>
          <w:rFonts w:ascii="宋体" w:hAnsi="宋体" w:eastAsia="宋体" w:cs="Arial"/>
          <w:sz w:val="21"/>
          <w:szCs w:val="21"/>
        </w:rPr>
      </w:pPr>
      <w:bookmarkStart w:id="83" w:name="_Toc382819133"/>
      <w:r>
        <w:rPr>
          <w:rFonts w:hint="eastAsia" w:ascii="宋体" w:hAnsi="宋体" w:eastAsia="宋体" w:cs="Arial"/>
          <w:sz w:val="21"/>
          <w:szCs w:val="21"/>
        </w:rPr>
        <w:t>违约责任</w:t>
      </w:r>
      <w:bookmarkEnd w:id="83"/>
    </w:p>
    <w:p w14:paraId="762CCC33">
      <w:pPr>
        <w:spacing w:line="360" w:lineRule="auto"/>
        <w:ind w:firstLine="420" w:firstLineChars="200"/>
        <w:rPr>
          <w:bCs/>
          <w:szCs w:val="21"/>
        </w:rPr>
      </w:pPr>
      <w:r>
        <w:rPr>
          <w:rFonts w:hint="eastAsia" w:ascii="宋体" w:hAnsi="宋体"/>
          <w:szCs w:val="21"/>
        </w:rPr>
        <w:t>（一）如果由于基金管理人或基金托管人的过错，不履行本协议或者违反本协议约定的，有过错的一方应当承担违约责任，给另一方当事人造成损失的，应就直接损失进行赔偿。如果由于双方的过错，不履行本协议或者违反本协议约定的，应根据实际情况，由双方分别承担各自应负的违约责任</w:t>
      </w:r>
      <w:r>
        <w:rPr>
          <w:rFonts w:hint="eastAsia"/>
          <w:bCs/>
          <w:szCs w:val="21"/>
        </w:rPr>
        <w:t>，给基金财产或者基金份额持有人造成损害的，应当分别对各自的行为依法承担赔偿责任；因共同行为给基金财产或者基金份额持有人造成损害的，应当承担连带赔偿责任。对损失的赔偿，仅限于直接损失。</w:t>
      </w:r>
      <w:r>
        <w:rPr>
          <w:rFonts w:hint="eastAsia" w:ascii="宋体" w:hAnsi="宋体"/>
          <w:szCs w:val="21"/>
        </w:rPr>
        <w:t>但是发生下列情况，当事人免责：</w:t>
      </w:r>
    </w:p>
    <w:p w14:paraId="24230845">
      <w:pPr>
        <w:spacing w:line="360" w:lineRule="auto"/>
        <w:ind w:firstLine="420" w:firstLineChars="200"/>
        <w:rPr>
          <w:rFonts w:ascii="宋体" w:hAnsi="宋体"/>
          <w:szCs w:val="21"/>
        </w:rPr>
      </w:pPr>
      <w:r>
        <w:rPr>
          <w:rFonts w:hint="eastAsia" w:ascii="宋体" w:hAnsi="宋体"/>
          <w:szCs w:val="21"/>
        </w:rPr>
        <w:t>1、不可抗力；</w:t>
      </w:r>
    </w:p>
    <w:p w14:paraId="46539CAF">
      <w:pPr>
        <w:spacing w:line="360" w:lineRule="auto"/>
        <w:ind w:firstLine="420" w:firstLineChars="200"/>
        <w:rPr>
          <w:rFonts w:ascii="宋体" w:hAnsi="宋体"/>
          <w:szCs w:val="21"/>
        </w:rPr>
      </w:pPr>
      <w:r>
        <w:rPr>
          <w:rFonts w:hint="eastAsia" w:ascii="宋体" w:hAnsi="宋体"/>
          <w:szCs w:val="21"/>
        </w:rPr>
        <w:t>2、基金管理人和/或基金托管人按照当时有效的法律法规或中国证监会等监管机构的规定作为或不作为而造成的损失等；</w:t>
      </w:r>
    </w:p>
    <w:p w14:paraId="382ABF33">
      <w:pPr>
        <w:spacing w:line="360" w:lineRule="auto"/>
        <w:ind w:firstLine="420" w:firstLineChars="200"/>
        <w:rPr>
          <w:rFonts w:ascii="宋体" w:hAnsi="宋体"/>
          <w:szCs w:val="21"/>
        </w:rPr>
      </w:pPr>
      <w:r>
        <w:rPr>
          <w:rFonts w:hint="eastAsia" w:ascii="宋体" w:hAnsi="宋体"/>
          <w:szCs w:val="21"/>
        </w:rPr>
        <w:t>3、基金管理人由于按照基金合同规定的投资原则行使或不行使其投资权而造成的损失等。</w:t>
      </w:r>
    </w:p>
    <w:p w14:paraId="62AC1EB7">
      <w:pPr>
        <w:spacing w:line="360" w:lineRule="auto"/>
        <w:ind w:firstLine="420" w:firstLineChars="200"/>
        <w:rPr>
          <w:bCs/>
          <w:szCs w:val="21"/>
        </w:rPr>
      </w:pPr>
      <w:r>
        <w:rPr>
          <w:rFonts w:hint="eastAsia" w:ascii="宋体" w:hAnsi="宋体"/>
          <w:szCs w:val="21"/>
        </w:rPr>
        <w:t>（二）</w:t>
      </w:r>
      <w:r>
        <w:rPr>
          <w:rFonts w:hint="eastAsia"/>
          <w:bCs/>
          <w:szCs w:val="21"/>
        </w:rPr>
        <w:t>在发生一方或多方违约的情况下，在最大限度地保护基金份额持有人利益的前提下，《基金合同》和本协议能够继续履行的应当继续履行。非违约方当事人在职责范围内有义务及时采取必要的措施，尽力防止损失的扩大。没有采取适当措施致使损失进一步扩大的，不得就扩大的损失要求赔偿。非违约方因防止损失扩大而支出的合理费用由违约方承担。</w:t>
      </w:r>
    </w:p>
    <w:p w14:paraId="60B602CC">
      <w:pPr>
        <w:spacing w:line="360" w:lineRule="auto"/>
        <w:ind w:firstLine="420" w:firstLineChars="200"/>
        <w:rPr>
          <w:rFonts w:ascii="宋体" w:hAnsi="宋体"/>
          <w:szCs w:val="21"/>
          <w:lang w:val="zh-CN"/>
        </w:rPr>
      </w:pPr>
      <w:r>
        <w:rPr>
          <w:rFonts w:hint="eastAsia" w:ascii="宋体" w:hAnsi="宋体"/>
          <w:szCs w:val="21"/>
        </w:rPr>
        <w:t>（三）基金托管人发现基金管理人借助托管银行的品牌、声誉开展不当营销宣传的，应当督促相关机构及时纠正。相关机构未及时采取有效纠正措施的，基金托管人在遵守相关法律法规、监管规定，在履行适当程序以及不损害基金份额持有人利益前提下有权按照托管协议约定终止业务合作，并进行通知。</w:t>
      </w:r>
    </w:p>
    <w:p w14:paraId="7D395080">
      <w:pPr>
        <w:spacing w:line="360" w:lineRule="auto"/>
        <w:ind w:firstLine="420" w:firstLineChars="200"/>
        <w:rPr>
          <w:rFonts w:ascii="宋体" w:hAnsi="宋体"/>
          <w:szCs w:val="21"/>
          <w:lang w:val="zh-CN"/>
        </w:rPr>
      </w:pPr>
      <w:r>
        <w:rPr>
          <w:rFonts w:hint="eastAsia" w:ascii="宋体" w:hAnsi="宋体"/>
          <w:szCs w:val="21"/>
          <w:lang w:val="zh-CN"/>
        </w:rPr>
        <w:t>（四）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减轻或消除由此造成的影响。</w:t>
      </w:r>
    </w:p>
    <w:p w14:paraId="3111B704">
      <w:pPr>
        <w:pStyle w:val="2"/>
        <w:keepNext w:val="0"/>
        <w:keepLines w:val="0"/>
        <w:numPr>
          <w:ilvl w:val="0"/>
          <w:numId w:val="2"/>
        </w:numPr>
        <w:tabs>
          <w:tab w:val="left" w:pos="420"/>
        </w:tabs>
        <w:autoSpaceDE w:val="0"/>
        <w:autoSpaceDN w:val="0"/>
        <w:adjustRightInd w:val="0"/>
        <w:spacing w:before="360" w:after="360"/>
        <w:textAlignment w:val="baseline"/>
        <w:rPr>
          <w:rFonts w:ascii="宋体" w:hAnsi="宋体" w:eastAsia="宋体" w:cs="Arial"/>
          <w:sz w:val="21"/>
          <w:szCs w:val="21"/>
        </w:rPr>
      </w:pPr>
      <w:bookmarkStart w:id="84" w:name="_Toc382819134"/>
      <w:r>
        <w:rPr>
          <w:rFonts w:hint="eastAsia" w:ascii="宋体" w:hAnsi="宋体" w:eastAsia="宋体" w:cs="Arial"/>
          <w:sz w:val="21"/>
          <w:szCs w:val="21"/>
        </w:rPr>
        <w:t>适用法律及争议解决方式</w:t>
      </w:r>
      <w:bookmarkEnd w:id="84"/>
    </w:p>
    <w:p w14:paraId="63891C98">
      <w:pPr>
        <w:spacing w:line="360" w:lineRule="auto"/>
        <w:ind w:firstLine="420" w:firstLineChars="200"/>
        <w:rPr>
          <w:rFonts w:ascii="宋体" w:hAnsi="宋体"/>
          <w:szCs w:val="21"/>
          <w:lang w:val="zh-CN"/>
        </w:rPr>
      </w:pPr>
      <w:r>
        <w:rPr>
          <w:rFonts w:hint="eastAsia" w:ascii="宋体" w:hAnsi="宋体"/>
          <w:szCs w:val="21"/>
          <w:lang w:val="zh-CN"/>
        </w:rPr>
        <w:t>（一）</w:t>
      </w:r>
      <w:r>
        <w:rPr>
          <w:rFonts w:hint="eastAsia" w:ascii="宋体" w:hAnsi="宋体"/>
          <w:szCs w:val="21"/>
        </w:rPr>
        <w:t>本协议适用中华人民共和国法律（为本协议之目的，在此不包括香港、澳门特别行政区和台湾地区法律），并从其解释。</w:t>
      </w:r>
    </w:p>
    <w:p w14:paraId="6C8DD319">
      <w:pPr>
        <w:spacing w:line="360" w:lineRule="auto"/>
        <w:ind w:firstLine="422" w:firstLineChars="200"/>
        <w:rPr>
          <w:rFonts w:ascii="宋体" w:hAnsi="宋体"/>
          <w:b/>
          <w:bCs/>
          <w:szCs w:val="21"/>
        </w:rPr>
      </w:pPr>
      <w:r>
        <w:rPr>
          <w:rFonts w:hint="eastAsia" w:ascii="宋体" w:hAnsi="宋体"/>
          <w:b/>
          <w:bCs/>
          <w:szCs w:val="21"/>
        </w:rPr>
        <w:t>（二）</w:t>
      </w:r>
      <w:r>
        <w:rPr>
          <w:rFonts w:ascii="宋体" w:hAnsi="宋体"/>
          <w:b/>
          <w:bCs/>
          <w:szCs w:val="21"/>
        </w:rPr>
        <w:t>双方</w:t>
      </w:r>
      <w:r>
        <w:rPr>
          <w:rFonts w:hint="eastAsia" w:ascii="宋体" w:hAnsi="宋体"/>
          <w:b/>
          <w:bCs/>
          <w:szCs w:val="21"/>
        </w:rPr>
        <w:t>当事人同意，因本协议而产生的或与本协议有关的一切争议，除经友好协商可以解决的，任何一方均有权将争议提交</w:t>
      </w:r>
      <w:bookmarkStart w:id="85" w:name="OLE_LINK18"/>
      <w:bookmarkStart w:id="86" w:name="OLE_LINK19"/>
      <w:r>
        <w:rPr>
          <w:rFonts w:hint="eastAsia" w:ascii="宋体" w:hAnsi="宋体"/>
          <w:b/>
          <w:bCs/>
          <w:szCs w:val="21"/>
        </w:rPr>
        <w:t>上海国际经济贸易仲裁委员会</w:t>
      </w:r>
      <w:bookmarkEnd w:id="85"/>
      <w:bookmarkEnd w:id="86"/>
      <w:r>
        <w:rPr>
          <w:rFonts w:hint="eastAsia" w:ascii="宋体" w:hAnsi="宋体"/>
          <w:b/>
          <w:bCs/>
          <w:szCs w:val="21"/>
        </w:rPr>
        <w:t>，根据该会届时有效的仲裁规则进行仲裁，仲裁的地点在</w:t>
      </w:r>
      <w:r>
        <w:rPr>
          <w:rFonts w:hint="eastAsia" w:ascii="宋体" w:hAnsi="宋体"/>
          <w:b/>
          <w:bCs/>
          <w:szCs w:val="21"/>
          <w:u w:val="single"/>
        </w:rPr>
        <w:t>上海市</w:t>
      </w:r>
      <w:r>
        <w:rPr>
          <w:rFonts w:hint="eastAsia" w:ascii="宋体" w:hAnsi="宋体"/>
          <w:b/>
          <w:bCs/>
          <w:szCs w:val="21"/>
        </w:rPr>
        <w:t>，仲裁裁决是终局性的并对</w:t>
      </w:r>
      <w:r>
        <w:rPr>
          <w:rFonts w:ascii="宋体" w:hAnsi="宋体"/>
          <w:b/>
          <w:bCs/>
          <w:szCs w:val="21"/>
        </w:rPr>
        <w:t>双方</w:t>
      </w:r>
      <w:r>
        <w:rPr>
          <w:rFonts w:hint="eastAsia" w:ascii="宋体" w:hAnsi="宋体"/>
          <w:b/>
          <w:bCs/>
          <w:szCs w:val="21"/>
        </w:rPr>
        <w:t>均有约束力，除非仲裁裁决另有规定，仲裁费用由败诉方承担。</w:t>
      </w:r>
    </w:p>
    <w:p w14:paraId="4EB97D3D">
      <w:pPr>
        <w:spacing w:line="360" w:lineRule="auto"/>
        <w:ind w:firstLine="420" w:firstLineChars="200"/>
        <w:rPr>
          <w:rFonts w:ascii="宋体" w:hAnsi="宋体"/>
          <w:szCs w:val="21"/>
        </w:rPr>
      </w:pPr>
      <w:r>
        <w:rPr>
          <w:rFonts w:hint="eastAsia" w:ascii="宋体" w:hAnsi="宋体"/>
          <w:szCs w:val="21"/>
        </w:rPr>
        <w:t>争议处理期间，</w:t>
      </w:r>
      <w:r>
        <w:rPr>
          <w:rFonts w:ascii="宋体" w:hAnsi="宋体"/>
          <w:szCs w:val="21"/>
        </w:rPr>
        <w:t>双方</w:t>
      </w:r>
      <w:r>
        <w:rPr>
          <w:rFonts w:hint="eastAsia" w:ascii="宋体" w:hAnsi="宋体"/>
          <w:szCs w:val="21"/>
        </w:rPr>
        <w:t>当事人应恪守基金管理人和基金托管人职责，继续忠实、勤勉、尽责地履行《基金合同》和本托管协议规定的义务，维护基金份额持有人的合法权益。</w:t>
      </w:r>
    </w:p>
    <w:p w14:paraId="673D13AC">
      <w:pPr>
        <w:pStyle w:val="2"/>
        <w:keepNext w:val="0"/>
        <w:keepLines w:val="0"/>
        <w:numPr>
          <w:ilvl w:val="0"/>
          <w:numId w:val="2"/>
        </w:numPr>
        <w:tabs>
          <w:tab w:val="left" w:pos="420"/>
        </w:tabs>
        <w:autoSpaceDE w:val="0"/>
        <w:autoSpaceDN w:val="0"/>
        <w:adjustRightInd w:val="0"/>
        <w:spacing w:before="360" w:after="360"/>
        <w:textAlignment w:val="baseline"/>
        <w:rPr>
          <w:rFonts w:ascii="宋体" w:hAnsi="宋体" w:eastAsia="宋体" w:cs="Arial"/>
          <w:sz w:val="21"/>
          <w:szCs w:val="21"/>
        </w:rPr>
      </w:pPr>
      <w:bookmarkStart w:id="87" w:name="_Toc382819135"/>
      <w:r>
        <w:rPr>
          <w:rFonts w:hint="eastAsia" w:ascii="宋体" w:hAnsi="宋体" w:eastAsia="宋体" w:cs="Arial"/>
          <w:sz w:val="21"/>
          <w:szCs w:val="21"/>
        </w:rPr>
        <w:t>基金托管协议的效力和文本</w:t>
      </w:r>
      <w:bookmarkEnd w:id="87"/>
    </w:p>
    <w:p w14:paraId="138BDCE4">
      <w:pPr>
        <w:pStyle w:val="11"/>
        <w:rPr>
          <w:rFonts w:ascii="宋体" w:hAnsi="宋体"/>
          <w:szCs w:val="21"/>
        </w:rPr>
      </w:pPr>
      <w:r>
        <w:rPr>
          <w:rFonts w:hint="eastAsia" w:ascii="宋体" w:hAnsi="宋体"/>
          <w:szCs w:val="21"/>
        </w:rPr>
        <w:t>（一）</w:t>
      </w:r>
      <w:r>
        <w:rPr>
          <w:rFonts w:hint="eastAsia" w:ascii="宋体" w:hAnsi="宋体" w:cs="Arial"/>
          <w:kern w:val="44"/>
          <w:szCs w:val="21"/>
        </w:rPr>
        <w:t>本协议经基金管理人、基金托管人双方法定代表人或授权代表签字（或盖章）并加盖公章（或合同专用章）后成立</w:t>
      </w:r>
      <w:r>
        <w:rPr>
          <w:rFonts w:hint="eastAsia" w:ascii="宋体" w:hAnsi="宋体"/>
          <w:szCs w:val="21"/>
        </w:rPr>
        <w:t>。本协议以中国证监会注册的文本为正式文本。</w:t>
      </w:r>
    </w:p>
    <w:p w14:paraId="0FFC2DFB">
      <w:pPr>
        <w:pStyle w:val="11"/>
        <w:rPr>
          <w:rFonts w:ascii="宋体" w:hAnsi="宋体"/>
          <w:szCs w:val="21"/>
        </w:rPr>
      </w:pPr>
      <w:r>
        <w:rPr>
          <w:rFonts w:hint="eastAsia" w:ascii="宋体" w:hAnsi="宋体"/>
          <w:szCs w:val="21"/>
        </w:rPr>
        <w:t>（二）本协议自《基金合同》生效之日起生效，有效期自其生效之日起至该基金财产清算结果报中国证监会备案并公告之日止。</w:t>
      </w:r>
    </w:p>
    <w:p w14:paraId="270C84C9">
      <w:pPr>
        <w:spacing w:line="360" w:lineRule="auto"/>
        <w:ind w:firstLine="420" w:firstLineChars="200"/>
        <w:rPr>
          <w:rFonts w:ascii="宋体" w:hAnsi="宋体"/>
          <w:szCs w:val="21"/>
        </w:rPr>
      </w:pPr>
      <w:r>
        <w:rPr>
          <w:rFonts w:hint="eastAsia" w:ascii="宋体" w:hAnsi="宋体"/>
          <w:szCs w:val="21"/>
        </w:rPr>
        <w:t>（三）本协议自生效之日起对各当事人具有同等的法律约束力。</w:t>
      </w:r>
    </w:p>
    <w:p w14:paraId="64797296">
      <w:pPr>
        <w:spacing w:line="360" w:lineRule="auto"/>
        <w:ind w:firstLine="420" w:firstLineChars="200"/>
        <w:rPr>
          <w:rFonts w:ascii="宋体" w:hAnsi="宋体"/>
          <w:szCs w:val="21"/>
        </w:rPr>
      </w:pPr>
      <w:r>
        <w:rPr>
          <w:rFonts w:hint="eastAsia" w:ascii="宋体" w:hAnsi="宋体"/>
          <w:szCs w:val="21"/>
        </w:rPr>
        <w:t>（四）本协议一式三份，除上报有关监管机构一份外，基金管理人和基金托管人分别持一份，每份具有同等的法律效力。</w:t>
      </w:r>
    </w:p>
    <w:p w14:paraId="106DE7B7">
      <w:pPr>
        <w:pStyle w:val="2"/>
        <w:keepNext w:val="0"/>
        <w:keepLines w:val="0"/>
        <w:numPr>
          <w:ilvl w:val="0"/>
          <w:numId w:val="2"/>
        </w:numPr>
        <w:tabs>
          <w:tab w:val="left" w:pos="420"/>
        </w:tabs>
        <w:autoSpaceDE w:val="0"/>
        <w:autoSpaceDN w:val="0"/>
        <w:adjustRightInd w:val="0"/>
        <w:spacing w:before="360" w:after="360"/>
        <w:textAlignment w:val="baseline"/>
        <w:rPr>
          <w:rFonts w:ascii="宋体" w:hAnsi="宋体" w:eastAsia="宋体" w:cs="Arial"/>
          <w:sz w:val="21"/>
          <w:szCs w:val="21"/>
        </w:rPr>
      </w:pPr>
      <w:r>
        <w:rPr>
          <w:rFonts w:hint="eastAsia" w:ascii="宋体" w:hAnsi="宋体" w:eastAsia="宋体" w:cs="Arial"/>
          <w:sz w:val="21"/>
          <w:szCs w:val="21"/>
        </w:rPr>
        <w:t xml:space="preserve"> </w:t>
      </w:r>
      <w:bookmarkStart w:id="88" w:name="_Toc382819136"/>
      <w:r>
        <w:rPr>
          <w:rFonts w:hint="eastAsia" w:ascii="宋体" w:hAnsi="宋体" w:eastAsia="宋体" w:cs="Arial"/>
          <w:sz w:val="21"/>
          <w:szCs w:val="21"/>
        </w:rPr>
        <w:t>其他事项</w:t>
      </w:r>
      <w:bookmarkEnd w:id="88"/>
    </w:p>
    <w:p w14:paraId="17F27D17">
      <w:pPr>
        <w:pStyle w:val="11"/>
        <w:rPr>
          <w:rFonts w:ascii="宋体" w:hAnsi="宋体"/>
          <w:szCs w:val="21"/>
        </w:rPr>
      </w:pPr>
      <w:r>
        <w:rPr>
          <w:rFonts w:hint="eastAsia" w:ascii="宋体" w:hAnsi="宋体"/>
          <w:szCs w:val="21"/>
        </w:rPr>
        <w:t>（一）双方在此确认，双方均已充分了解和知悉各方反对其员工利用职务之便谋取任何形式利益之立场，并承诺将本着廉洁公平原则避免此类情形，不向对方的员工私自提供任何形式的回扣、礼金、有价证券、贵重物品、各种奖励、私人费用补偿、私人旅游、高消费娱乐等不当利益。</w:t>
      </w:r>
    </w:p>
    <w:p w14:paraId="3FD0190A">
      <w:pPr>
        <w:pStyle w:val="11"/>
        <w:rPr>
          <w:rFonts w:ascii="宋体" w:hAnsi="宋体"/>
          <w:szCs w:val="21"/>
        </w:rPr>
      </w:pPr>
      <w:r>
        <w:rPr>
          <w:rFonts w:hint="eastAsia" w:ascii="宋体" w:hAnsi="宋体"/>
          <w:szCs w:val="21"/>
        </w:rPr>
        <w:t>（二）反洗钱义务</w:t>
      </w:r>
    </w:p>
    <w:p w14:paraId="73B00B8B">
      <w:pPr>
        <w:pStyle w:val="11"/>
        <w:rPr>
          <w:rFonts w:ascii="宋体" w:hAnsi="宋体"/>
          <w:szCs w:val="21"/>
        </w:rPr>
      </w:pPr>
      <w:r>
        <w:rPr>
          <w:rFonts w:hint="eastAsia" w:ascii="宋体" w:hAnsi="宋体"/>
          <w:szCs w:val="21"/>
        </w:rPr>
        <w:t>基金管理人承诺自愿遵守反洗钱、反恐怖融资法律法规，不参与涉嫌洗钱、恐怖融资、扩散融资等违法犯罪活动；主动配合基金托管人进行客户身份识别与尽职调查，提供真实、准确、完整客户资料，遵守各方反洗钱与反恐怖融资相关管理规定。如基金管理人信息（包括但不限于名称、法定代表人、住所、经营范围等）发生变化时，应当及时告知基金托管人。基金托管人若具备合理理由怀疑基金管理人涉嫌洗钱、恐怖融资的，有权按照中国人民银行反洗钱监管规定采取必要管控措施，或单方面终止本协议且不执行基金管理人的交易指令。</w:t>
      </w:r>
    </w:p>
    <w:p w14:paraId="4662957D">
      <w:pPr>
        <w:pStyle w:val="11"/>
        <w:rPr>
          <w:rFonts w:ascii="宋体" w:hAnsi="宋体"/>
          <w:szCs w:val="21"/>
        </w:rPr>
      </w:pPr>
      <w:r>
        <w:rPr>
          <w:rFonts w:hint="eastAsia" w:ascii="宋体" w:hAnsi="宋体"/>
          <w:szCs w:val="21"/>
        </w:rPr>
        <w:t>基金管理人确认并同意，基金托管人有权根据适用的反洗钱法律法规规定对基金管理人及本协议项下合作所涉及的交易等进行洗钱风险评估，若基金管理人违反银行反洗钱管理规定，或基金托管人具备合理理由怀疑基金管理人及/或本协议项下业务涉嫌参与联合国安理会、反洗钱金融行动特别工作组、中国、美国、欧盟、英国、新加坡等国际组织或国家认定的洗钱、 制裁、恐怖融资或大规模杀伤性武器扩散融资活动、出口管制、或逃税等违法违规行为的，基金托管人有权按照中国人民银行反洗钱监管规定等采取必要的管控措施。</w:t>
      </w:r>
    </w:p>
    <w:p w14:paraId="6160D5E5">
      <w:pPr>
        <w:pStyle w:val="11"/>
        <w:rPr>
          <w:rFonts w:ascii="宋体" w:hAnsi="宋体"/>
          <w:szCs w:val="21"/>
        </w:rPr>
      </w:pPr>
      <w:r>
        <w:rPr>
          <w:rFonts w:hint="eastAsia" w:ascii="宋体" w:hAnsi="宋体"/>
          <w:szCs w:val="21"/>
        </w:rPr>
        <w:t>（三）通知</w:t>
      </w:r>
    </w:p>
    <w:p w14:paraId="56A7FDF0">
      <w:pPr>
        <w:pStyle w:val="11"/>
        <w:rPr>
          <w:rFonts w:ascii="宋体" w:hAnsi="宋体"/>
          <w:szCs w:val="21"/>
        </w:rPr>
      </w:pPr>
      <w:r>
        <w:rPr>
          <w:rFonts w:hint="eastAsia" w:ascii="宋体" w:hAnsi="宋体"/>
          <w:szCs w:val="21"/>
        </w:rPr>
        <w:t>1、除本协议另有约定外，其他与本协议有关的通知应以书面形式作出，并送达至协议约定的地址，如果相关信息发生变动，变动的一方应当在变动发生之日起五（5）日书面通知其他各方。</w:t>
      </w:r>
    </w:p>
    <w:p w14:paraId="3145DACB">
      <w:pPr>
        <w:pStyle w:val="11"/>
        <w:rPr>
          <w:rFonts w:ascii="宋体" w:hAnsi="宋体"/>
          <w:szCs w:val="21"/>
        </w:rPr>
      </w:pPr>
      <w:r>
        <w:rPr>
          <w:rFonts w:hint="eastAsia" w:ascii="宋体" w:hAnsi="宋体"/>
          <w:szCs w:val="21"/>
        </w:rPr>
        <w:t>2、由本协议一方以专人递送给另一方，或以邮递方式发出。该等通知以专人递送，于递交时视为送达；以邮递方式发出，于收件人签收时视为送达；以电子邮件方式发出，收件方服务器接收视为送达。</w:t>
      </w:r>
    </w:p>
    <w:p w14:paraId="17FB278F">
      <w:pPr>
        <w:pStyle w:val="11"/>
        <w:rPr>
          <w:rFonts w:ascii="宋体" w:hAnsi="宋体"/>
          <w:szCs w:val="21"/>
        </w:rPr>
      </w:pPr>
      <w:r>
        <w:rPr>
          <w:rFonts w:hint="eastAsia" w:ascii="宋体" w:hAnsi="宋体"/>
          <w:szCs w:val="21"/>
        </w:rPr>
        <w:t>3、任何一方在任何时间改变接收通知所用的地址都应立即将该变更通过本协议约定或各方认可的方式通知另一方，基金管理人发布公告视为已通知托管人送达地址变更事项；如果该变更通知未能送达，递交给上述收件人或地址的通知或联络应视为被正常发送和接收。</w:t>
      </w:r>
    </w:p>
    <w:p w14:paraId="7AEAC1BC">
      <w:pPr>
        <w:pStyle w:val="11"/>
        <w:rPr>
          <w:rFonts w:ascii="宋体" w:hAnsi="宋体"/>
          <w:szCs w:val="21"/>
        </w:rPr>
      </w:pPr>
      <w:r>
        <w:rPr>
          <w:rFonts w:hint="eastAsia" w:ascii="宋体" w:hAnsi="宋体"/>
          <w:szCs w:val="21"/>
        </w:rPr>
        <w:t>4、各方确认，本协议首页列明的各方地址为其有效的送达地址。对本协议项下所发生的任何诉讼（包括一审、二审和再审等任何诉讼程序和执行程序）过程中对其发出的函件、传票、通知等法律文书，只要以邮寄或本协议约定或各方认可的方式发送至本协议首页列明的送达地址即视为送达，具体送达日期适用《民事诉讼法》中关于送达日期的规定。上述邮寄送达地址的变更非经提前通知另一方，不发生法律效力，本协议中确认的送达地址仍然视为有效的送达地址。</w:t>
      </w:r>
    </w:p>
    <w:p w14:paraId="4FBABA53">
      <w:pPr>
        <w:pStyle w:val="11"/>
        <w:rPr>
          <w:rFonts w:ascii="宋体" w:hAnsi="宋体"/>
          <w:szCs w:val="21"/>
        </w:rPr>
      </w:pPr>
      <w:r>
        <w:rPr>
          <w:rFonts w:hint="eastAsia" w:ascii="宋体" w:hAnsi="宋体"/>
          <w:szCs w:val="21"/>
        </w:rPr>
        <w:t>（</w:t>
      </w:r>
      <w:r>
        <w:rPr>
          <w:rFonts w:hint="eastAsia" w:ascii="宋体" w:hAnsi="宋体"/>
          <w:szCs w:val="21"/>
          <w:lang w:val="en-US"/>
        </w:rPr>
        <w:t>四</w:t>
      </w:r>
      <w:r>
        <w:rPr>
          <w:rFonts w:hint="eastAsia" w:ascii="宋体" w:hAnsi="宋体"/>
          <w:szCs w:val="21"/>
        </w:rPr>
        <w:t>）本协议未尽事宜，当事人依据《基金合同》以及有关法律、法规和规定协商办理。</w:t>
      </w:r>
    </w:p>
    <w:p w14:paraId="1B64E343">
      <w:pPr>
        <w:pStyle w:val="11"/>
        <w:ind w:firstLine="0" w:firstLineChars="0"/>
        <w:rPr>
          <w:rFonts w:ascii="宋体" w:hAnsi="宋体"/>
          <w:szCs w:val="21"/>
        </w:rPr>
      </w:pPr>
      <w:r>
        <w:rPr>
          <w:rFonts w:hint="eastAsia" w:ascii="宋体" w:hAnsi="宋体"/>
          <w:szCs w:val="21"/>
        </w:rPr>
        <w:t>（以下无正文）</w:t>
      </w:r>
    </w:p>
    <w:p w14:paraId="18B2B0E4">
      <w:pPr>
        <w:widowControl/>
        <w:spacing w:beforeAutospacing="1" w:line="360" w:lineRule="auto"/>
        <w:jc w:val="left"/>
        <w:rPr>
          <w:rFonts w:ascii="宋体" w:hAnsi="宋体"/>
          <w:szCs w:val="21"/>
          <w:lang w:val="zh-CN"/>
        </w:rPr>
        <w:sectPr>
          <w:footerReference r:id="rId10" w:type="default"/>
          <w:pgSz w:w="11906" w:h="16838"/>
          <w:pgMar w:top="1440" w:right="1800" w:bottom="1440" w:left="1800" w:header="851" w:footer="992" w:gutter="0"/>
          <w:pgNumType w:start="1"/>
          <w:cols w:space="720" w:num="1"/>
          <w:docGrid w:type="lines" w:linePitch="312" w:charSpace="0"/>
        </w:sectPr>
      </w:pPr>
    </w:p>
    <w:p w14:paraId="0406C93F">
      <w:pPr>
        <w:spacing w:after="120" w:line="360" w:lineRule="auto"/>
        <w:ind w:firstLine="420" w:firstLineChars="200"/>
        <w:rPr>
          <w:rFonts w:ascii="宋体" w:hAnsi="宋体"/>
          <w:szCs w:val="21"/>
        </w:rPr>
      </w:pPr>
      <w:r>
        <w:rPr>
          <w:rFonts w:hint="eastAsia" w:ascii="宋体" w:hAnsi="宋体"/>
          <w:szCs w:val="21"/>
        </w:rPr>
        <w:t>（本页为《交银施罗德佳盛债券型证券投资基金托管协议》签署页，无正文）</w:t>
      </w:r>
    </w:p>
    <w:p w14:paraId="06F049DA">
      <w:pPr>
        <w:spacing w:line="360" w:lineRule="auto"/>
        <w:ind w:right="26"/>
        <w:rPr>
          <w:rFonts w:ascii="宋体" w:hAnsi="宋体"/>
          <w:b/>
          <w:bCs/>
          <w:szCs w:val="21"/>
        </w:rPr>
      </w:pPr>
    </w:p>
    <w:p w14:paraId="474E6469">
      <w:pPr>
        <w:spacing w:line="360" w:lineRule="auto"/>
        <w:ind w:right="26"/>
        <w:rPr>
          <w:rFonts w:ascii="宋体" w:hAnsi="宋体"/>
          <w:b/>
          <w:szCs w:val="21"/>
        </w:rPr>
      </w:pPr>
      <w:r>
        <w:rPr>
          <w:rFonts w:hint="eastAsia" w:ascii="宋体" w:hAnsi="宋体"/>
          <w:b/>
          <w:bCs/>
          <w:szCs w:val="21"/>
        </w:rPr>
        <w:t xml:space="preserve">    </w:t>
      </w:r>
      <w:r>
        <w:rPr>
          <w:rFonts w:hint="eastAsia" w:ascii="宋体" w:hAnsi="宋体"/>
          <w:b/>
          <w:szCs w:val="21"/>
        </w:rPr>
        <w:t>本协议由下述双方于__________年______月______日签署。双方确认，在签署本协议时，双方已就全部条款进行了详细地说明和讨论，双方对协议的全部条款均无疑义，并对本协议中当事人有关权利义务和责任限制或免除条款的法律含义有准确无误的理解。</w:t>
      </w:r>
    </w:p>
    <w:p w14:paraId="33A4ED8D">
      <w:pPr>
        <w:spacing w:line="360" w:lineRule="auto"/>
        <w:ind w:right="26"/>
        <w:rPr>
          <w:rFonts w:ascii="宋体" w:hAnsi="宋体"/>
          <w:szCs w:val="21"/>
        </w:rPr>
      </w:pPr>
    </w:p>
    <w:p w14:paraId="764210ED">
      <w:pPr>
        <w:spacing w:line="360" w:lineRule="auto"/>
        <w:ind w:right="26"/>
        <w:rPr>
          <w:rFonts w:ascii="宋体" w:hAnsi="宋体"/>
          <w:szCs w:val="21"/>
        </w:rPr>
      </w:pPr>
    </w:p>
    <w:tbl>
      <w:tblPr>
        <w:tblStyle w:val="19"/>
        <w:tblW w:w="0" w:type="auto"/>
        <w:tblInd w:w="0" w:type="dxa"/>
        <w:tblLayout w:type="autofit"/>
        <w:tblCellMar>
          <w:top w:w="0" w:type="dxa"/>
          <w:left w:w="108" w:type="dxa"/>
          <w:bottom w:w="0" w:type="dxa"/>
          <w:right w:w="108" w:type="dxa"/>
        </w:tblCellMar>
      </w:tblPr>
      <w:tblGrid>
        <w:gridCol w:w="4261"/>
        <w:gridCol w:w="4261"/>
      </w:tblGrid>
      <w:tr w14:paraId="3A0E0764">
        <w:tblPrEx>
          <w:tblCellMar>
            <w:top w:w="0" w:type="dxa"/>
            <w:left w:w="108" w:type="dxa"/>
            <w:bottom w:w="0" w:type="dxa"/>
            <w:right w:w="108" w:type="dxa"/>
          </w:tblCellMar>
        </w:tblPrEx>
        <w:tc>
          <w:tcPr>
            <w:tcW w:w="4261" w:type="dxa"/>
            <w:shd w:val="clear" w:color="auto" w:fill="auto"/>
          </w:tcPr>
          <w:p w14:paraId="1B8B6F48">
            <w:pPr>
              <w:spacing w:line="360" w:lineRule="auto"/>
              <w:ind w:right="26"/>
              <w:rPr>
                <w:rFonts w:ascii="宋体" w:hAnsi="宋体"/>
                <w:b/>
                <w:bCs/>
                <w:szCs w:val="21"/>
              </w:rPr>
            </w:pPr>
            <w:r>
              <w:rPr>
                <w:rFonts w:hint="eastAsia" w:ascii="宋体" w:hAnsi="宋体"/>
                <w:b/>
                <w:szCs w:val="21"/>
              </w:rPr>
              <w:t>基金管理人</w:t>
            </w:r>
            <w:r>
              <w:rPr>
                <w:rFonts w:hint="eastAsia" w:ascii="宋体" w:hAnsi="宋体"/>
                <w:b/>
                <w:bCs/>
                <w:szCs w:val="21"/>
              </w:rPr>
              <w:t>：</w:t>
            </w:r>
          </w:p>
          <w:p w14:paraId="44A76E93">
            <w:pPr>
              <w:spacing w:line="360" w:lineRule="auto"/>
              <w:ind w:right="26"/>
              <w:rPr>
                <w:rFonts w:ascii="宋体" w:hAnsi="宋体"/>
                <w:b/>
                <w:szCs w:val="21"/>
              </w:rPr>
            </w:pPr>
            <w:r>
              <w:rPr>
                <w:rFonts w:hint="eastAsia" w:ascii="宋体" w:hAnsi="宋体"/>
                <w:b/>
                <w:szCs w:val="21"/>
              </w:rPr>
              <w:t>交银施罗德基金管理有限公司</w:t>
            </w:r>
          </w:p>
        </w:tc>
        <w:tc>
          <w:tcPr>
            <w:tcW w:w="4261" w:type="dxa"/>
            <w:shd w:val="clear" w:color="auto" w:fill="auto"/>
          </w:tcPr>
          <w:p w14:paraId="38A03097">
            <w:pPr>
              <w:spacing w:line="360" w:lineRule="auto"/>
              <w:ind w:right="26"/>
              <w:rPr>
                <w:rFonts w:ascii="宋体" w:hAnsi="宋体"/>
                <w:b/>
                <w:szCs w:val="21"/>
              </w:rPr>
            </w:pPr>
            <w:r>
              <w:rPr>
                <w:rFonts w:hint="eastAsia" w:ascii="宋体" w:hAnsi="宋体"/>
                <w:b/>
                <w:szCs w:val="21"/>
              </w:rPr>
              <w:t>基金托管人：</w:t>
            </w:r>
          </w:p>
          <w:p w14:paraId="74341580">
            <w:pPr>
              <w:spacing w:line="360" w:lineRule="auto"/>
              <w:ind w:right="26"/>
              <w:rPr>
                <w:rFonts w:ascii="宋体" w:hAnsi="宋体"/>
                <w:szCs w:val="21"/>
              </w:rPr>
            </w:pPr>
            <w:r>
              <w:rPr>
                <w:rFonts w:hint="eastAsia" w:ascii="宋体" w:hAnsi="宋体"/>
                <w:b/>
                <w:szCs w:val="21"/>
              </w:rPr>
              <w:t>上海浦东发展银行股份有限公司</w:t>
            </w:r>
          </w:p>
        </w:tc>
      </w:tr>
      <w:tr w14:paraId="66158B89">
        <w:tblPrEx>
          <w:tblCellMar>
            <w:top w:w="0" w:type="dxa"/>
            <w:left w:w="108" w:type="dxa"/>
            <w:bottom w:w="0" w:type="dxa"/>
            <w:right w:w="108" w:type="dxa"/>
          </w:tblCellMar>
        </w:tblPrEx>
        <w:tc>
          <w:tcPr>
            <w:tcW w:w="4261" w:type="dxa"/>
            <w:shd w:val="clear" w:color="auto" w:fill="auto"/>
          </w:tcPr>
          <w:p w14:paraId="771B97BA">
            <w:pPr>
              <w:spacing w:line="360" w:lineRule="auto"/>
              <w:ind w:right="26"/>
              <w:rPr>
                <w:rFonts w:ascii="宋体" w:hAnsi="宋体"/>
                <w:b/>
                <w:szCs w:val="21"/>
              </w:rPr>
            </w:pPr>
            <w:r>
              <w:rPr>
                <w:rFonts w:hint="eastAsia" w:ascii="宋体" w:hAnsi="宋体"/>
                <w:b/>
                <w:szCs w:val="21"/>
              </w:rPr>
              <w:t>（公章或合同专用章）</w:t>
            </w:r>
          </w:p>
          <w:p w14:paraId="12CA2651">
            <w:pPr>
              <w:spacing w:line="360" w:lineRule="auto"/>
              <w:ind w:right="26"/>
              <w:rPr>
                <w:rFonts w:ascii="宋体" w:hAnsi="宋体"/>
                <w:szCs w:val="21"/>
              </w:rPr>
            </w:pPr>
          </w:p>
          <w:p w14:paraId="1C45FC9B">
            <w:pPr>
              <w:spacing w:line="360" w:lineRule="auto"/>
              <w:ind w:right="26"/>
              <w:rPr>
                <w:rFonts w:ascii="宋体" w:hAnsi="宋体"/>
                <w:szCs w:val="21"/>
              </w:rPr>
            </w:pPr>
          </w:p>
        </w:tc>
        <w:tc>
          <w:tcPr>
            <w:tcW w:w="4261" w:type="dxa"/>
            <w:shd w:val="clear" w:color="auto" w:fill="auto"/>
          </w:tcPr>
          <w:p w14:paraId="65149BE6">
            <w:pPr>
              <w:spacing w:line="360" w:lineRule="auto"/>
              <w:ind w:right="26"/>
              <w:rPr>
                <w:rFonts w:ascii="宋体" w:hAnsi="宋体"/>
                <w:b/>
                <w:szCs w:val="21"/>
              </w:rPr>
            </w:pPr>
            <w:r>
              <w:rPr>
                <w:rFonts w:hint="eastAsia" w:ascii="宋体" w:hAnsi="宋体"/>
                <w:b/>
                <w:szCs w:val="21"/>
              </w:rPr>
              <w:t>（公章或合同专用章）</w:t>
            </w:r>
          </w:p>
          <w:p w14:paraId="32DEDA8C">
            <w:pPr>
              <w:spacing w:line="360" w:lineRule="auto"/>
              <w:ind w:right="26"/>
              <w:rPr>
                <w:rFonts w:ascii="宋体" w:hAnsi="宋体"/>
                <w:szCs w:val="21"/>
              </w:rPr>
            </w:pPr>
          </w:p>
          <w:p w14:paraId="656DF95B">
            <w:pPr>
              <w:spacing w:line="360" w:lineRule="auto"/>
              <w:ind w:right="26"/>
              <w:rPr>
                <w:rFonts w:ascii="宋体" w:hAnsi="宋体"/>
                <w:szCs w:val="21"/>
              </w:rPr>
            </w:pPr>
          </w:p>
        </w:tc>
      </w:tr>
      <w:tr w14:paraId="7562E4CE">
        <w:tblPrEx>
          <w:tblCellMar>
            <w:top w:w="0" w:type="dxa"/>
            <w:left w:w="108" w:type="dxa"/>
            <w:bottom w:w="0" w:type="dxa"/>
            <w:right w:w="108" w:type="dxa"/>
          </w:tblCellMar>
        </w:tblPrEx>
        <w:tc>
          <w:tcPr>
            <w:tcW w:w="4261" w:type="dxa"/>
            <w:shd w:val="clear" w:color="auto" w:fill="auto"/>
          </w:tcPr>
          <w:p w14:paraId="455CC050">
            <w:pPr>
              <w:spacing w:line="360" w:lineRule="auto"/>
              <w:ind w:right="26"/>
              <w:rPr>
                <w:rFonts w:ascii="宋体" w:hAnsi="宋体"/>
                <w:szCs w:val="21"/>
              </w:rPr>
            </w:pPr>
            <w:r>
              <w:rPr>
                <w:rFonts w:hint="eastAsia" w:ascii="宋体" w:hAnsi="宋体"/>
                <w:b/>
                <w:szCs w:val="21"/>
              </w:rPr>
              <w:t>法定代表人或授权代表：</w:t>
            </w:r>
          </w:p>
        </w:tc>
        <w:tc>
          <w:tcPr>
            <w:tcW w:w="4261" w:type="dxa"/>
            <w:shd w:val="clear" w:color="auto" w:fill="auto"/>
          </w:tcPr>
          <w:p w14:paraId="73CADB73">
            <w:pPr>
              <w:spacing w:line="360" w:lineRule="auto"/>
              <w:ind w:right="26"/>
              <w:rPr>
                <w:rFonts w:ascii="宋体" w:hAnsi="宋体"/>
                <w:szCs w:val="21"/>
              </w:rPr>
            </w:pPr>
            <w:r>
              <w:rPr>
                <w:rFonts w:hint="eastAsia" w:ascii="宋体" w:hAnsi="宋体"/>
                <w:b/>
                <w:szCs w:val="21"/>
              </w:rPr>
              <w:t>法定代表人或授权代表：</w:t>
            </w:r>
          </w:p>
        </w:tc>
      </w:tr>
      <w:tr w14:paraId="5BF006B7">
        <w:tblPrEx>
          <w:tblCellMar>
            <w:top w:w="0" w:type="dxa"/>
            <w:left w:w="108" w:type="dxa"/>
            <w:bottom w:w="0" w:type="dxa"/>
            <w:right w:w="108" w:type="dxa"/>
          </w:tblCellMar>
        </w:tblPrEx>
        <w:tc>
          <w:tcPr>
            <w:tcW w:w="4261" w:type="dxa"/>
            <w:shd w:val="clear" w:color="auto" w:fill="auto"/>
          </w:tcPr>
          <w:p w14:paraId="21A52C79">
            <w:pPr>
              <w:spacing w:line="360" w:lineRule="auto"/>
              <w:ind w:right="26"/>
              <w:rPr>
                <w:rFonts w:ascii="宋体" w:hAnsi="宋体"/>
                <w:b/>
                <w:szCs w:val="21"/>
              </w:rPr>
            </w:pPr>
            <w:r>
              <w:rPr>
                <w:rFonts w:hint="eastAsia" w:ascii="宋体" w:hAnsi="宋体"/>
                <w:b/>
                <w:szCs w:val="21"/>
              </w:rPr>
              <w:t>（签字或盖章）</w:t>
            </w:r>
          </w:p>
          <w:p w14:paraId="58808FCD">
            <w:pPr>
              <w:spacing w:line="360" w:lineRule="auto"/>
              <w:ind w:right="26"/>
              <w:rPr>
                <w:rFonts w:ascii="宋体" w:hAnsi="宋体"/>
                <w:szCs w:val="21"/>
              </w:rPr>
            </w:pPr>
          </w:p>
        </w:tc>
        <w:tc>
          <w:tcPr>
            <w:tcW w:w="4261" w:type="dxa"/>
            <w:shd w:val="clear" w:color="auto" w:fill="auto"/>
          </w:tcPr>
          <w:p w14:paraId="6FF8F301">
            <w:pPr>
              <w:spacing w:line="360" w:lineRule="auto"/>
              <w:ind w:right="26"/>
              <w:rPr>
                <w:rFonts w:ascii="宋体" w:hAnsi="宋体"/>
                <w:b/>
                <w:szCs w:val="21"/>
              </w:rPr>
            </w:pPr>
            <w:r>
              <w:rPr>
                <w:rFonts w:hint="eastAsia" w:ascii="宋体" w:hAnsi="宋体"/>
                <w:b/>
                <w:szCs w:val="21"/>
              </w:rPr>
              <w:t>（签字或盖章）</w:t>
            </w:r>
          </w:p>
          <w:p w14:paraId="2C55CB0A">
            <w:pPr>
              <w:spacing w:line="360" w:lineRule="auto"/>
              <w:ind w:right="26"/>
              <w:rPr>
                <w:rFonts w:ascii="宋体" w:hAnsi="宋体"/>
                <w:szCs w:val="21"/>
              </w:rPr>
            </w:pPr>
          </w:p>
        </w:tc>
      </w:tr>
      <w:tr w14:paraId="4E214DD9">
        <w:tblPrEx>
          <w:tblCellMar>
            <w:top w:w="0" w:type="dxa"/>
            <w:left w:w="108" w:type="dxa"/>
            <w:bottom w:w="0" w:type="dxa"/>
            <w:right w:w="108" w:type="dxa"/>
          </w:tblCellMar>
        </w:tblPrEx>
        <w:tc>
          <w:tcPr>
            <w:tcW w:w="4261" w:type="dxa"/>
            <w:shd w:val="clear" w:color="auto" w:fill="auto"/>
          </w:tcPr>
          <w:p w14:paraId="26BE1B7B">
            <w:pPr>
              <w:spacing w:line="360" w:lineRule="auto"/>
              <w:ind w:right="26"/>
              <w:rPr>
                <w:rFonts w:ascii="宋体" w:hAnsi="宋体"/>
                <w:szCs w:val="21"/>
              </w:rPr>
            </w:pPr>
          </w:p>
        </w:tc>
        <w:tc>
          <w:tcPr>
            <w:tcW w:w="4261" w:type="dxa"/>
            <w:shd w:val="clear" w:color="auto" w:fill="auto"/>
          </w:tcPr>
          <w:p w14:paraId="516512FF">
            <w:pPr>
              <w:spacing w:line="360" w:lineRule="auto"/>
              <w:ind w:right="26"/>
              <w:rPr>
                <w:rFonts w:ascii="宋体" w:hAnsi="宋体"/>
                <w:szCs w:val="21"/>
              </w:rPr>
            </w:pPr>
          </w:p>
        </w:tc>
      </w:tr>
    </w:tbl>
    <w:p w14:paraId="18FB9A07">
      <w:pPr>
        <w:spacing w:line="360" w:lineRule="auto"/>
        <w:ind w:right="26"/>
        <w:rPr>
          <w:rFonts w:ascii="宋体" w:hAnsi="宋体"/>
          <w:szCs w:val="21"/>
        </w:rPr>
      </w:pPr>
    </w:p>
    <w:p w14:paraId="77B13402">
      <w:pPr>
        <w:spacing w:line="360" w:lineRule="auto"/>
        <w:ind w:right="26"/>
        <w:rPr>
          <w:rFonts w:ascii="宋体" w:hAnsi="宋体"/>
          <w:szCs w:val="21"/>
        </w:rPr>
      </w:pPr>
    </w:p>
    <w:p w14:paraId="5E4E6DE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13F0F">
    <w:pPr>
      <w:pStyle w:val="1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E849B">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7E5B2">
    <w:pPr>
      <w:pStyle w:val="14"/>
    </w:pPr>
  </w:p>
  <w:p w14:paraId="432F0EEF">
    <w:pPr>
      <w:pStyle w:val="14"/>
    </w:pPr>
  </w:p>
  <w:p w14:paraId="000BEFC9">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A2C28">
    <w:pPr>
      <w:pStyle w:val="14"/>
      <w:jc w:val="center"/>
    </w:pPr>
  </w:p>
  <w:p w14:paraId="5A527352">
    <w:pPr>
      <w:pStyle w:val="14"/>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6043C">
    <w:pPr>
      <w:pStyle w:val="14"/>
      <w:jc w:val="center"/>
    </w:pPr>
    <w:r>
      <w:fldChar w:fldCharType="begin"/>
    </w:r>
    <w:r>
      <w:instrText xml:space="preserve">PAGE   \* MERGEFORMAT</w:instrText>
    </w:r>
    <w:r>
      <w:fldChar w:fldCharType="separate"/>
    </w:r>
    <w:r>
      <w:rPr>
        <w:lang w:val="zh-CN"/>
      </w:rPr>
      <w:t>19</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00D02">
    <w:pPr>
      <w:pStyle w:val="15"/>
      <w:pBdr>
        <w:bottom w:val="thickThinLargeGap" w:color="auto" w:sz="24" w:space="10"/>
      </w:pBdr>
      <w:tabs>
        <w:tab w:val="right" w:pos="8280"/>
      </w:tabs>
      <w:wordWrap w:val="0"/>
      <w:adjustRightInd w:val="0"/>
      <w:jc w:val="both"/>
    </w:pPr>
    <w:r>
      <w:rPr>
        <w:rFonts w:hint="eastAsia"/>
        <w:color w:val="000000"/>
      </w:rPr>
      <w:t>远见成长</w:t>
    </w:r>
    <w:r>
      <w:rPr>
        <w:rFonts w:hint="eastAsia"/>
      </w:rPr>
      <w:t>证券投资基金                             募集申请材料－基金合同（草案）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4FBFD">
    <w:pPr>
      <w:pStyle w:val="1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D27CF">
    <w:pPr>
      <w:pStyle w:val="15"/>
      <w:jc w:val="right"/>
    </w:pPr>
    <w:r>
      <w:rPr>
        <w:rFonts w:hint="eastAsia"/>
      </w:rPr>
      <w:t>交银施罗德佳盛债券型证券投资基金托管协议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6538E2"/>
    <w:multiLevelType w:val="multilevel"/>
    <w:tmpl w:val="266538E2"/>
    <w:lvl w:ilvl="0" w:tentative="0">
      <w:start w:val="1"/>
      <w:numFmt w:val="chineseCountingThousand"/>
      <w:pStyle w:val="2"/>
      <w:lvlText w:val="第%1章  "/>
      <w:lvlJc w:val="left"/>
      <w:pPr>
        <w:tabs>
          <w:tab w:val="left" w:pos="1922"/>
        </w:tabs>
        <w:ind w:left="0" w:firstLine="482"/>
      </w:pPr>
      <w:rPr>
        <w:rFonts w:hint="eastAsia"/>
      </w:rPr>
    </w:lvl>
    <w:lvl w:ilvl="1" w:tentative="0">
      <w:start w:val="1"/>
      <w:numFmt w:val="chineseCountingThousand"/>
      <w:lvlText w:val="第%2节  "/>
      <w:lvlJc w:val="left"/>
      <w:pPr>
        <w:tabs>
          <w:tab w:val="left" w:pos="1922"/>
        </w:tabs>
        <w:ind w:left="0" w:firstLine="482"/>
      </w:pPr>
      <w:rPr>
        <w:rFonts w:hint="eastAsia"/>
      </w:rPr>
    </w:lvl>
    <w:lvl w:ilvl="2" w:tentative="0">
      <w:start w:val="1"/>
      <w:numFmt w:val="chineseCountingThousand"/>
      <w:pStyle w:val="4"/>
      <w:suff w:val="nothing"/>
      <w:lvlText w:val="%3、"/>
      <w:lvlJc w:val="left"/>
      <w:pPr>
        <w:ind w:left="0" w:firstLine="482"/>
      </w:pPr>
      <w:rPr>
        <w:rFonts w:hint="eastAsia" w:ascii="黑体" w:eastAsia="黑体"/>
        <w:b/>
        <w:i w:val="0"/>
        <w:sz w:val="24"/>
      </w:rPr>
    </w:lvl>
    <w:lvl w:ilvl="3" w:tentative="0">
      <w:start w:val="1"/>
      <w:numFmt w:val="chineseCountingThousand"/>
      <w:pStyle w:val="5"/>
      <w:suff w:val="nothing"/>
      <w:lvlText w:val="(%4)"/>
      <w:lvlJc w:val="left"/>
      <w:pPr>
        <w:ind w:left="0" w:firstLine="482"/>
      </w:pPr>
      <w:rPr>
        <w:rFonts w:hint="eastAsia" w:ascii="仿宋_GB2312" w:eastAsia="仿宋_GB2312"/>
        <w:b w:val="0"/>
        <w:i w:val="0"/>
        <w:sz w:val="24"/>
      </w:rPr>
    </w:lvl>
    <w:lvl w:ilvl="4" w:tentative="0">
      <w:start w:val="1"/>
      <w:numFmt w:val="decimal"/>
      <w:pStyle w:val="6"/>
      <w:suff w:val="nothing"/>
      <w:lvlText w:val="%5."/>
      <w:lvlJc w:val="left"/>
      <w:pPr>
        <w:ind w:left="0" w:firstLine="527"/>
      </w:pPr>
      <w:rPr>
        <w:rFonts w:hint="eastAsia" w:ascii="仿宋_GB2312" w:eastAsia="仿宋_GB2312"/>
        <w:b w:val="0"/>
        <w:i w:val="0"/>
        <w:sz w:val="24"/>
      </w:rPr>
    </w:lvl>
    <w:lvl w:ilvl="5" w:tentative="0">
      <w:start w:val="1"/>
      <w:numFmt w:val="decimal"/>
      <w:pStyle w:val="7"/>
      <w:suff w:val="nothing"/>
      <w:lvlText w:val="(%6)"/>
      <w:lvlJc w:val="left"/>
      <w:pPr>
        <w:ind w:left="0" w:firstLine="482"/>
      </w:pPr>
      <w:rPr>
        <w:rFonts w:hint="eastAsia" w:ascii="仿宋_GB2312" w:eastAsia="仿宋_GB2312"/>
        <w:b w:val="0"/>
        <w:i w:val="0"/>
        <w:sz w:val="24"/>
      </w:rPr>
    </w:lvl>
    <w:lvl w:ilvl="6" w:tentative="0">
      <w:start w:val="1"/>
      <w:numFmt w:val="bullet"/>
      <w:pStyle w:val="8"/>
      <w:lvlText w:val="①"/>
      <w:lvlJc w:val="left"/>
      <w:pPr>
        <w:tabs>
          <w:tab w:val="left" w:pos="2835"/>
        </w:tabs>
        <w:ind w:left="2835" w:hanging="426"/>
      </w:pPr>
      <w:rPr>
        <w:rFonts w:hint="eastAsia" w:ascii="宋体" w:eastAsia="宋体"/>
      </w:rPr>
    </w:lvl>
    <w:lvl w:ilvl="7" w:tentative="0">
      <w:start w:val="1"/>
      <w:numFmt w:val="lowerLetter"/>
      <w:lvlText w:val="%8."/>
      <w:lvlJc w:val="left"/>
      <w:pPr>
        <w:tabs>
          <w:tab w:val="left" w:pos="3260"/>
        </w:tabs>
        <w:ind w:left="3260" w:hanging="425"/>
      </w:pPr>
      <w:rPr>
        <w:rFonts w:hint="eastAsia"/>
      </w:rPr>
    </w:lvl>
    <w:lvl w:ilvl="8" w:tentative="0">
      <w:start w:val="1"/>
      <w:numFmt w:val="lowerRoman"/>
      <w:lvlText w:val="%9."/>
      <w:lvlJc w:val="left"/>
      <w:pPr>
        <w:tabs>
          <w:tab w:val="left" w:pos="3685"/>
        </w:tabs>
        <w:ind w:left="3685" w:hanging="425"/>
      </w:pPr>
      <w:rPr>
        <w:rFonts w:hint="eastAsia"/>
      </w:rPr>
    </w:lvl>
  </w:abstractNum>
  <w:abstractNum w:abstractNumId="1">
    <w:nsid w:val="37F54340"/>
    <w:multiLevelType w:val="multilevel"/>
    <w:tmpl w:val="37F54340"/>
    <w:lvl w:ilvl="0" w:tentative="0">
      <w:start w:val="1"/>
      <w:numFmt w:val="decimal"/>
      <w:lvlText w:val="%1."/>
      <w:lvlJc w:val="left"/>
      <w:pPr>
        <w:ind w:left="840" w:hanging="420"/>
      </w:pPr>
    </w:lvl>
    <w:lvl w:ilvl="1" w:tentative="0">
      <w:start w:val="1"/>
      <w:numFmt w:val="lowerLetter"/>
      <w:lvlText w:val="%2)"/>
      <w:lvlJc w:val="left"/>
      <w:pPr>
        <w:ind w:left="1313" w:hanging="420"/>
      </w:pPr>
    </w:lvl>
    <w:lvl w:ilvl="2" w:tentative="0">
      <w:start w:val="1"/>
      <w:numFmt w:val="lowerRoman"/>
      <w:lvlText w:val="%3."/>
      <w:lvlJc w:val="right"/>
      <w:pPr>
        <w:ind w:left="1733" w:hanging="420"/>
      </w:pPr>
    </w:lvl>
    <w:lvl w:ilvl="3" w:tentative="0">
      <w:start w:val="1"/>
      <w:numFmt w:val="decimal"/>
      <w:lvlText w:val="%4."/>
      <w:lvlJc w:val="left"/>
      <w:pPr>
        <w:ind w:left="2153" w:hanging="420"/>
      </w:pPr>
    </w:lvl>
    <w:lvl w:ilvl="4" w:tentative="0">
      <w:start w:val="1"/>
      <w:numFmt w:val="lowerLetter"/>
      <w:lvlText w:val="%5)"/>
      <w:lvlJc w:val="left"/>
      <w:pPr>
        <w:ind w:left="2573" w:hanging="420"/>
      </w:pPr>
    </w:lvl>
    <w:lvl w:ilvl="5" w:tentative="0">
      <w:start w:val="1"/>
      <w:numFmt w:val="lowerRoman"/>
      <w:lvlText w:val="%6."/>
      <w:lvlJc w:val="right"/>
      <w:pPr>
        <w:ind w:left="2993" w:hanging="420"/>
      </w:pPr>
    </w:lvl>
    <w:lvl w:ilvl="6" w:tentative="0">
      <w:start w:val="1"/>
      <w:numFmt w:val="decimal"/>
      <w:lvlText w:val="%7."/>
      <w:lvlJc w:val="left"/>
      <w:pPr>
        <w:ind w:left="3413" w:hanging="420"/>
      </w:pPr>
    </w:lvl>
    <w:lvl w:ilvl="7" w:tentative="0">
      <w:start w:val="1"/>
      <w:numFmt w:val="lowerLetter"/>
      <w:lvlText w:val="%8)"/>
      <w:lvlJc w:val="left"/>
      <w:pPr>
        <w:ind w:left="3833" w:hanging="420"/>
      </w:pPr>
    </w:lvl>
    <w:lvl w:ilvl="8" w:tentative="0">
      <w:start w:val="1"/>
      <w:numFmt w:val="lowerRoman"/>
      <w:lvlText w:val="%9."/>
      <w:lvlJc w:val="right"/>
      <w:pPr>
        <w:ind w:left="4253" w:hanging="420"/>
      </w:pPr>
    </w:lvl>
  </w:abstractNum>
  <w:abstractNum w:abstractNumId="2">
    <w:nsid w:val="5F952C2D"/>
    <w:multiLevelType w:val="multilevel"/>
    <w:tmpl w:val="5F952C2D"/>
    <w:lvl w:ilvl="0" w:tentative="0">
      <w:start w:val="1"/>
      <w:numFmt w:val="chineseCountingThousand"/>
      <w:suff w:val="nothing"/>
      <w:lvlText w:val="%1、"/>
      <w:lvlJc w:val="center"/>
      <w:pPr>
        <w:ind w:left="0" w:firstLine="288"/>
      </w:pPr>
      <w:rPr>
        <w:rFonts w:hint="eastAsia"/>
        <w:sz w:val="21"/>
        <w:szCs w:val="30"/>
        <w:lang w:val="en-US"/>
      </w:rPr>
    </w:lvl>
    <w:lvl w:ilvl="1" w:tentative="0">
      <w:start w:val="1"/>
      <w:numFmt w:val="japaneseCounting"/>
      <w:lvlText w:val="（%2）"/>
      <w:lvlJc w:val="left"/>
      <w:pPr>
        <w:tabs>
          <w:tab w:val="left" w:pos="720"/>
        </w:tabs>
        <w:ind w:left="720" w:hanging="720"/>
      </w:pPr>
      <w:rPr>
        <w:rFonts w:hint="default"/>
      </w:rPr>
    </w:lvl>
    <w:lvl w:ilvl="2" w:tentative="0">
      <w:start w:val="1"/>
      <w:numFmt w:val="decimal"/>
      <w:lvlText w:val="%3."/>
      <w:lvlJc w:val="left"/>
      <w:pPr>
        <w:tabs>
          <w:tab w:val="left" w:pos="360"/>
        </w:tabs>
        <w:ind w:left="0" w:firstLine="0"/>
      </w:pPr>
      <w:rPr>
        <w:rFonts w:hint="eastAsia"/>
      </w:rPr>
    </w:lvl>
    <w:lvl w:ilvl="3" w:tentative="0">
      <w:start w:val="1"/>
      <w:numFmt w:val="decimal"/>
      <w:lvlText w:val="（%4）"/>
      <w:lvlJc w:val="left"/>
      <w:pPr>
        <w:tabs>
          <w:tab w:val="left" w:pos="720"/>
        </w:tabs>
        <w:ind w:left="0" w:firstLine="0"/>
      </w:pPr>
      <w:rPr>
        <w:rFonts w:hint="default" w:ascii="Times New Roman" w:hAnsi="Times New Roman" w:eastAsia="宋体"/>
        <w:sz w:val="21"/>
      </w:rPr>
    </w:lvl>
    <w:lvl w:ilvl="4" w:tentative="0">
      <w:start w:val="1"/>
      <w:numFmt w:val="none"/>
      <w:lvlText w:val=""/>
      <w:lvlJc w:val="left"/>
      <w:pPr>
        <w:tabs>
          <w:tab w:val="left" w:pos="360"/>
        </w:tabs>
        <w:ind w:left="0" w:firstLine="0"/>
      </w:pPr>
      <w:rPr>
        <w:rFonts w:hint="eastAsia"/>
        <w:sz w:val="24"/>
      </w:rPr>
    </w:lvl>
    <w:lvl w:ilvl="5" w:tentative="0">
      <w:start w:val="1"/>
      <w:numFmt w:val="upperLetter"/>
      <w:lvlText w:val="%6."/>
      <w:lvlJc w:val="left"/>
      <w:pPr>
        <w:tabs>
          <w:tab w:val="left" w:pos="927"/>
        </w:tabs>
        <w:ind w:left="0" w:firstLine="567"/>
      </w:pPr>
      <w:rPr>
        <w:rFonts w:hint="eastAsia"/>
        <w:sz w:val="24"/>
      </w:rPr>
    </w:lvl>
    <w:lvl w:ilvl="6" w:tentative="0">
      <w:start w:val="1"/>
      <w:numFmt w:val="none"/>
      <w:lvlText w:val=""/>
      <w:lvlJc w:val="left"/>
      <w:pPr>
        <w:tabs>
          <w:tab w:val="left" w:pos="3827"/>
        </w:tabs>
        <w:ind w:left="3827" w:hanging="1276"/>
      </w:pPr>
      <w:rPr>
        <w:rFonts w:hint="eastAsia"/>
      </w:rPr>
    </w:lvl>
    <w:lvl w:ilvl="7" w:tentative="0">
      <w:start w:val="1"/>
      <w:numFmt w:val="none"/>
      <w:lvlText w:val=""/>
      <w:lvlJc w:val="left"/>
      <w:pPr>
        <w:tabs>
          <w:tab w:val="left" w:pos="4394"/>
        </w:tabs>
        <w:ind w:left="4394" w:hanging="1418"/>
      </w:pPr>
      <w:rPr>
        <w:rFonts w:hint="eastAsia"/>
      </w:rPr>
    </w:lvl>
    <w:lvl w:ilvl="8" w:tentative="0">
      <w:start w:val="1"/>
      <w:numFmt w:val="none"/>
      <w:lvlText w:val=""/>
      <w:lvlJc w:val="left"/>
      <w:pPr>
        <w:tabs>
          <w:tab w:val="left" w:pos="5102"/>
        </w:tabs>
        <w:ind w:left="5102" w:hanging="1700"/>
      </w:pPr>
      <w:rPr>
        <w:rFonts w:hint="eastAsia"/>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B06"/>
    <w:rsid w:val="00006183"/>
    <w:rsid w:val="00010CC9"/>
    <w:rsid w:val="00014998"/>
    <w:rsid w:val="000157A8"/>
    <w:rsid w:val="00021B4E"/>
    <w:rsid w:val="000246AC"/>
    <w:rsid w:val="00025052"/>
    <w:rsid w:val="0003144A"/>
    <w:rsid w:val="00034A0F"/>
    <w:rsid w:val="0004463F"/>
    <w:rsid w:val="00044EF4"/>
    <w:rsid w:val="00046762"/>
    <w:rsid w:val="00047276"/>
    <w:rsid w:val="00050C79"/>
    <w:rsid w:val="0005155A"/>
    <w:rsid w:val="00051815"/>
    <w:rsid w:val="00052848"/>
    <w:rsid w:val="00053197"/>
    <w:rsid w:val="0005414C"/>
    <w:rsid w:val="00054496"/>
    <w:rsid w:val="00054591"/>
    <w:rsid w:val="00056200"/>
    <w:rsid w:val="00057B6A"/>
    <w:rsid w:val="0006509E"/>
    <w:rsid w:val="00070C46"/>
    <w:rsid w:val="00080622"/>
    <w:rsid w:val="00094282"/>
    <w:rsid w:val="00097C82"/>
    <w:rsid w:val="000A2206"/>
    <w:rsid w:val="000A5A7A"/>
    <w:rsid w:val="000B4FF8"/>
    <w:rsid w:val="000B7B45"/>
    <w:rsid w:val="000C145C"/>
    <w:rsid w:val="000D109D"/>
    <w:rsid w:val="000D11A4"/>
    <w:rsid w:val="000D1C93"/>
    <w:rsid w:val="000D411C"/>
    <w:rsid w:val="000D41DC"/>
    <w:rsid w:val="000D7AB0"/>
    <w:rsid w:val="000E0D20"/>
    <w:rsid w:val="000E264D"/>
    <w:rsid w:val="000E4F5D"/>
    <w:rsid w:val="000E7AE1"/>
    <w:rsid w:val="000F1EB1"/>
    <w:rsid w:val="000F581B"/>
    <w:rsid w:val="0010311F"/>
    <w:rsid w:val="00107311"/>
    <w:rsid w:val="00110B8C"/>
    <w:rsid w:val="001142CF"/>
    <w:rsid w:val="001151AC"/>
    <w:rsid w:val="001279F8"/>
    <w:rsid w:val="00127DF0"/>
    <w:rsid w:val="00136594"/>
    <w:rsid w:val="001412F5"/>
    <w:rsid w:val="0015297C"/>
    <w:rsid w:val="0016119F"/>
    <w:rsid w:val="00161647"/>
    <w:rsid w:val="00162C4A"/>
    <w:rsid w:val="0016302A"/>
    <w:rsid w:val="0016497E"/>
    <w:rsid w:val="00170D13"/>
    <w:rsid w:val="001721C0"/>
    <w:rsid w:val="00177C69"/>
    <w:rsid w:val="001815B6"/>
    <w:rsid w:val="001820B6"/>
    <w:rsid w:val="0018526F"/>
    <w:rsid w:val="00194AC3"/>
    <w:rsid w:val="001A1969"/>
    <w:rsid w:val="001A76BE"/>
    <w:rsid w:val="001B21A0"/>
    <w:rsid w:val="001C483E"/>
    <w:rsid w:val="001C5433"/>
    <w:rsid w:val="001C5813"/>
    <w:rsid w:val="001E315F"/>
    <w:rsid w:val="00201FD4"/>
    <w:rsid w:val="00203F42"/>
    <w:rsid w:val="002060EF"/>
    <w:rsid w:val="002079A0"/>
    <w:rsid w:val="00241ABC"/>
    <w:rsid w:val="002527C3"/>
    <w:rsid w:val="00253964"/>
    <w:rsid w:val="00253A68"/>
    <w:rsid w:val="0025546F"/>
    <w:rsid w:val="002613EE"/>
    <w:rsid w:val="002614A0"/>
    <w:rsid w:val="00262FEF"/>
    <w:rsid w:val="0026380E"/>
    <w:rsid w:val="0026466E"/>
    <w:rsid w:val="00264994"/>
    <w:rsid w:val="00267EB6"/>
    <w:rsid w:val="00275457"/>
    <w:rsid w:val="002755B8"/>
    <w:rsid w:val="00276C95"/>
    <w:rsid w:val="002774B7"/>
    <w:rsid w:val="00283C66"/>
    <w:rsid w:val="0029461F"/>
    <w:rsid w:val="002A00AB"/>
    <w:rsid w:val="002A0411"/>
    <w:rsid w:val="002A152C"/>
    <w:rsid w:val="002A18AE"/>
    <w:rsid w:val="002A60AD"/>
    <w:rsid w:val="002B4412"/>
    <w:rsid w:val="002B5538"/>
    <w:rsid w:val="002C1EAB"/>
    <w:rsid w:val="002C7C71"/>
    <w:rsid w:val="002E3226"/>
    <w:rsid w:val="002E4F30"/>
    <w:rsid w:val="002E69D0"/>
    <w:rsid w:val="002E7534"/>
    <w:rsid w:val="002F6C41"/>
    <w:rsid w:val="00321C58"/>
    <w:rsid w:val="00322D2C"/>
    <w:rsid w:val="003238AE"/>
    <w:rsid w:val="00327D4B"/>
    <w:rsid w:val="00327DA9"/>
    <w:rsid w:val="00335399"/>
    <w:rsid w:val="00341323"/>
    <w:rsid w:val="00343C48"/>
    <w:rsid w:val="00350C1E"/>
    <w:rsid w:val="00356671"/>
    <w:rsid w:val="00356A82"/>
    <w:rsid w:val="00361F6D"/>
    <w:rsid w:val="00366D06"/>
    <w:rsid w:val="00367714"/>
    <w:rsid w:val="0037148E"/>
    <w:rsid w:val="00374C61"/>
    <w:rsid w:val="00382975"/>
    <w:rsid w:val="0039575B"/>
    <w:rsid w:val="00395C3C"/>
    <w:rsid w:val="0039663C"/>
    <w:rsid w:val="003979E4"/>
    <w:rsid w:val="003A2B06"/>
    <w:rsid w:val="003A3453"/>
    <w:rsid w:val="003B0C66"/>
    <w:rsid w:val="003B3DDA"/>
    <w:rsid w:val="003B40EE"/>
    <w:rsid w:val="003B69E7"/>
    <w:rsid w:val="003B7EFD"/>
    <w:rsid w:val="003C3043"/>
    <w:rsid w:val="003C61C9"/>
    <w:rsid w:val="003C6896"/>
    <w:rsid w:val="003C79A0"/>
    <w:rsid w:val="003D136C"/>
    <w:rsid w:val="003D4060"/>
    <w:rsid w:val="003E1C92"/>
    <w:rsid w:val="003E4EBA"/>
    <w:rsid w:val="004079DF"/>
    <w:rsid w:val="00411554"/>
    <w:rsid w:val="0042019F"/>
    <w:rsid w:val="00424B34"/>
    <w:rsid w:val="0043058C"/>
    <w:rsid w:val="004315E0"/>
    <w:rsid w:val="004337DA"/>
    <w:rsid w:val="00436201"/>
    <w:rsid w:val="0047059D"/>
    <w:rsid w:val="0047313B"/>
    <w:rsid w:val="00473C91"/>
    <w:rsid w:val="00482CCB"/>
    <w:rsid w:val="0048402F"/>
    <w:rsid w:val="00496FB8"/>
    <w:rsid w:val="004B0946"/>
    <w:rsid w:val="004B1591"/>
    <w:rsid w:val="004B557B"/>
    <w:rsid w:val="004B7EAD"/>
    <w:rsid w:val="004C06C6"/>
    <w:rsid w:val="004C3FC1"/>
    <w:rsid w:val="004C5AC8"/>
    <w:rsid w:val="004E2435"/>
    <w:rsid w:val="004E4CB4"/>
    <w:rsid w:val="004F0C70"/>
    <w:rsid w:val="004F25BD"/>
    <w:rsid w:val="004F2BA2"/>
    <w:rsid w:val="004F5C6C"/>
    <w:rsid w:val="00506D57"/>
    <w:rsid w:val="00511FC1"/>
    <w:rsid w:val="005134AB"/>
    <w:rsid w:val="00517911"/>
    <w:rsid w:val="00527566"/>
    <w:rsid w:val="0053788A"/>
    <w:rsid w:val="005423D2"/>
    <w:rsid w:val="00542EBE"/>
    <w:rsid w:val="0054433F"/>
    <w:rsid w:val="00553789"/>
    <w:rsid w:val="0056355B"/>
    <w:rsid w:val="00565005"/>
    <w:rsid w:val="00567AA7"/>
    <w:rsid w:val="00587F80"/>
    <w:rsid w:val="00593BD2"/>
    <w:rsid w:val="005945B3"/>
    <w:rsid w:val="005A1730"/>
    <w:rsid w:val="005A24B0"/>
    <w:rsid w:val="005A2B5B"/>
    <w:rsid w:val="005A2C89"/>
    <w:rsid w:val="005A4382"/>
    <w:rsid w:val="005B0D1C"/>
    <w:rsid w:val="005B47FC"/>
    <w:rsid w:val="005B5D51"/>
    <w:rsid w:val="005D05AF"/>
    <w:rsid w:val="005E1774"/>
    <w:rsid w:val="005E4D85"/>
    <w:rsid w:val="005E4EF4"/>
    <w:rsid w:val="005F1CBD"/>
    <w:rsid w:val="005F5071"/>
    <w:rsid w:val="00601B9E"/>
    <w:rsid w:val="00606F78"/>
    <w:rsid w:val="006140F3"/>
    <w:rsid w:val="00617BE4"/>
    <w:rsid w:val="006208B9"/>
    <w:rsid w:val="0062565D"/>
    <w:rsid w:val="0062599F"/>
    <w:rsid w:val="006270CD"/>
    <w:rsid w:val="006302ED"/>
    <w:rsid w:val="0063212C"/>
    <w:rsid w:val="00632BB1"/>
    <w:rsid w:val="006341C7"/>
    <w:rsid w:val="006442DD"/>
    <w:rsid w:val="0064794A"/>
    <w:rsid w:val="0065263F"/>
    <w:rsid w:val="006534BE"/>
    <w:rsid w:val="00675B08"/>
    <w:rsid w:val="006835B2"/>
    <w:rsid w:val="00694F09"/>
    <w:rsid w:val="0069592C"/>
    <w:rsid w:val="006B1820"/>
    <w:rsid w:val="006B632E"/>
    <w:rsid w:val="006D7AE7"/>
    <w:rsid w:val="006E1290"/>
    <w:rsid w:val="006F01E1"/>
    <w:rsid w:val="006F1B2A"/>
    <w:rsid w:val="006F35A8"/>
    <w:rsid w:val="006F510F"/>
    <w:rsid w:val="006F7236"/>
    <w:rsid w:val="006F783E"/>
    <w:rsid w:val="00701CDE"/>
    <w:rsid w:val="0070524E"/>
    <w:rsid w:val="00716876"/>
    <w:rsid w:val="00720BD2"/>
    <w:rsid w:val="007245A1"/>
    <w:rsid w:val="00725946"/>
    <w:rsid w:val="007315AE"/>
    <w:rsid w:val="00732C5F"/>
    <w:rsid w:val="00737DA9"/>
    <w:rsid w:val="0074280D"/>
    <w:rsid w:val="007524FE"/>
    <w:rsid w:val="007527AD"/>
    <w:rsid w:val="00755EAD"/>
    <w:rsid w:val="00781A9B"/>
    <w:rsid w:val="00790C10"/>
    <w:rsid w:val="007A0D38"/>
    <w:rsid w:val="007A1768"/>
    <w:rsid w:val="007A3D27"/>
    <w:rsid w:val="007B0921"/>
    <w:rsid w:val="007B0D03"/>
    <w:rsid w:val="007B4D43"/>
    <w:rsid w:val="007C735E"/>
    <w:rsid w:val="007D520B"/>
    <w:rsid w:val="007D5F9E"/>
    <w:rsid w:val="007E145C"/>
    <w:rsid w:val="007F6FAD"/>
    <w:rsid w:val="008007E7"/>
    <w:rsid w:val="00802827"/>
    <w:rsid w:val="008050F2"/>
    <w:rsid w:val="00805782"/>
    <w:rsid w:val="00812211"/>
    <w:rsid w:val="00824605"/>
    <w:rsid w:val="00826455"/>
    <w:rsid w:val="00833F4A"/>
    <w:rsid w:val="00840319"/>
    <w:rsid w:val="0084271B"/>
    <w:rsid w:val="00842931"/>
    <w:rsid w:val="008434C1"/>
    <w:rsid w:val="008450D5"/>
    <w:rsid w:val="008513E3"/>
    <w:rsid w:val="008557DF"/>
    <w:rsid w:val="00856D03"/>
    <w:rsid w:val="00856F2D"/>
    <w:rsid w:val="008639B4"/>
    <w:rsid w:val="00870130"/>
    <w:rsid w:val="00870EF8"/>
    <w:rsid w:val="0087186C"/>
    <w:rsid w:val="00882F11"/>
    <w:rsid w:val="00891412"/>
    <w:rsid w:val="008923C7"/>
    <w:rsid w:val="008A6986"/>
    <w:rsid w:val="008B4AA9"/>
    <w:rsid w:val="008B78EF"/>
    <w:rsid w:val="008C1C0E"/>
    <w:rsid w:val="008C3149"/>
    <w:rsid w:val="008C5D33"/>
    <w:rsid w:val="008D2280"/>
    <w:rsid w:val="008D4C0E"/>
    <w:rsid w:val="008E525C"/>
    <w:rsid w:val="008E53B3"/>
    <w:rsid w:val="008E5DC6"/>
    <w:rsid w:val="008F0CBE"/>
    <w:rsid w:val="008F150F"/>
    <w:rsid w:val="0090455E"/>
    <w:rsid w:val="00914AAD"/>
    <w:rsid w:val="00921B1B"/>
    <w:rsid w:val="0092747D"/>
    <w:rsid w:val="009336ED"/>
    <w:rsid w:val="009342DB"/>
    <w:rsid w:val="00951330"/>
    <w:rsid w:val="00960954"/>
    <w:rsid w:val="0096114D"/>
    <w:rsid w:val="0097751A"/>
    <w:rsid w:val="00977A77"/>
    <w:rsid w:val="00980631"/>
    <w:rsid w:val="009826C6"/>
    <w:rsid w:val="009850E8"/>
    <w:rsid w:val="00987DDD"/>
    <w:rsid w:val="0099494F"/>
    <w:rsid w:val="00995BB2"/>
    <w:rsid w:val="009A216F"/>
    <w:rsid w:val="009A7E32"/>
    <w:rsid w:val="009B6A63"/>
    <w:rsid w:val="009C08CC"/>
    <w:rsid w:val="009C1201"/>
    <w:rsid w:val="009C12A8"/>
    <w:rsid w:val="009C238F"/>
    <w:rsid w:val="009D2D46"/>
    <w:rsid w:val="009E1907"/>
    <w:rsid w:val="009E4A3B"/>
    <w:rsid w:val="009E7F25"/>
    <w:rsid w:val="009F39BB"/>
    <w:rsid w:val="009F61BD"/>
    <w:rsid w:val="00A040BD"/>
    <w:rsid w:val="00A04572"/>
    <w:rsid w:val="00A05ED3"/>
    <w:rsid w:val="00A06F16"/>
    <w:rsid w:val="00A12310"/>
    <w:rsid w:val="00A141D1"/>
    <w:rsid w:val="00A16100"/>
    <w:rsid w:val="00A16F02"/>
    <w:rsid w:val="00A25EF4"/>
    <w:rsid w:val="00A2646C"/>
    <w:rsid w:val="00A265EC"/>
    <w:rsid w:val="00A300A1"/>
    <w:rsid w:val="00A436B5"/>
    <w:rsid w:val="00A53663"/>
    <w:rsid w:val="00A5681B"/>
    <w:rsid w:val="00A5737F"/>
    <w:rsid w:val="00A6740E"/>
    <w:rsid w:val="00A862CE"/>
    <w:rsid w:val="00A90925"/>
    <w:rsid w:val="00A96B43"/>
    <w:rsid w:val="00AA13D2"/>
    <w:rsid w:val="00AA629C"/>
    <w:rsid w:val="00AB1729"/>
    <w:rsid w:val="00AB2720"/>
    <w:rsid w:val="00AB5978"/>
    <w:rsid w:val="00AB5CA0"/>
    <w:rsid w:val="00AB7F9E"/>
    <w:rsid w:val="00AC6403"/>
    <w:rsid w:val="00AD2057"/>
    <w:rsid w:val="00AE6D54"/>
    <w:rsid w:val="00AE75B2"/>
    <w:rsid w:val="00AF4107"/>
    <w:rsid w:val="00AF5BE0"/>
    <w:rsid w:val="00AF74F7"/>
    <w:rsid w:val="00B05B23"/>
    <w:rsid w:val="00B073CC"/>
    <w:rsid w:val="00B2567B"/>
    <w:rsid w:val="00B26A0A"/>
    <w:rsid w:val="00B36173"/>
    <w:rsid w:val="00B37C0C"/>
    <w:rsid w:val="00B40CF5"/>
    <w:rsid w:val="00B43288"/>
    <w:rsid w:val="00B44094"/>
    <w:rsid w:val="00B475FC"/>
    <w:rsid w:val="00B6172F"/>
    <w:rsid w:val="00B648E5"/>
    <w:rsid w:val="00B65358"/>
    <w:rsid w:val="00B77B61"/>
    <w:rsid w:val="00B834CA"/>
    <w:rsid w:val="00B90424"/>
    <w:rsid w:val="00B935B0"/>
    <w:rsid w:val="00B972AD"/>
    <w:rsid w:val="00B97DCB"/>
    <w:rsid w:val="00BA076E"/>
    <w:rsid w:val="00BA5E58"/>
    <w:rsid w:val="00BB0664"/>
    <w:rsid w:val="00BB42A9"/>
    <w:rsid w:val="00BC11DA"/>
    <w:rsid w:val="00BC3F42"/>
    <w:rsid w:val="00BD0108"/>
    <w:rsid w:val="00BE10A1"/>
    <w:rsid w:val="00BF1034"/>
    <w:rsid w:val="00BF2196"/>
    <w:rsid w:val="00BF2228"/>
    <w:rsid w:val="00BF75B2"/>
    <w:rsid w:val="00C16B60"/>
    <w:rsid w:val="00C2346D"/>
    <w:rsid w:val="00C23720"/>
    <w:rsid w:val="00C41C25"/>
    <w:rsid w:val="00C41E76"/>
    <w:rsid w:val="00C47001"/>
    <w:rsid w:val="00C60616"/>
    <w:rsid w:val="00C61BA6"/>
    <w:rsid w:val="00C62ACD"/>
    <w:rsid w:val="00C65903"/>
    <w:rsid w:val="00C65909"/>
    <w:rsid w:val="00C70DAB"/>
    <w:rsid w:val="00C81594"/>
    <w:rsid w:val="00C820A3"/>
    <w:rsid w:val="00C838D1"/>
    <w:rsid w:val="00CA221E"/>
    <w:rsid w:val="00CA6158"/>
    <w:rsid w:val="00CB57D1"/>
    <w:rsid w:val="00CC18E7"/>
    <w:rsid w:val="00CD100F"/>
    <w:rsid w:val="00CD1C39"/>
    <w:rsid w:val="00CD5705"/>
    <w:rsid w:val="00CD5D47"/>
    <w:rsid w:val="00CD77ED"/>
    <w:rsid w:val="00CD7920"/>
    <w:rsid w:val="00CE0369"/>
    <w:rsid w:val="00CE2D52"/>
    <w:rsid w:val="00CF114B"/>
    <w:rsid w:val="00CF2413"/>
    <w:rsid w:val="00CF6712"/>
    <w:rsid w:val="00D03533"/>
    <w:rsid w:val="00D045BF"/>
    <w:rsid w:val="00D048EB"/>
    <w:rsid w:val="00D131DE"/>
    <w:rsid w:val="00D16C91"/>
    <w:rsid w:val="00D2097F"/>
    <w:rsid w:val="00D2119B"/>
    <w:rsid w:val="00D2332F"/>
    <w:rsid w:val="00D30E3A"/>
    <w:rsid w:val="00D32C3A"/>
    <w:rsid w:val="00D34883"/>
    <w:rsid w:val="00D3667B"/>
    <w:rsid w:val="00D3680D"/>
    <w:rsid w:val="00D369D6"/>
    <w:rsid w:val="00D51F48"/>
    <w:rsid w:val="00D53EFD"/>
    <w:rsid w:val="00D54D38"/>
    <w:rsid w:val="00D606A2"/>
    <w:rsid w:val="00D61D60"/>
    <w:rsid w:val="00D7102A"/>
    <w:rsid w:val="00D7545E"/>
    <w:rsid w:val="00D77662"/>
    <w:rsid w:val="00D82F8A"/>
    <w:rsid w:val="00D85EAE"/>
    <w:rsid w:val="00D8649A"/>
    <w:rsid w:val="00DA1DEF"/>
    <w:rsid w:val="00DA668B"/>
    <w:rsid w:val="00DC4E34"/>
    <w:rsid w:val="00DC510C"/>
    <w:rsid w:val="00DC53E6"/>
    <w:rsid w:val="00DC5AE5"/>
    <w:rsid w:val="00DD0B0E"/>
    <w:rsid w:val="00DD2666"/>
    <w:rsid w:val="00DD3B3B"/>
    <w:rsid w:val="00DD4D55"/>
    <w:rsid w:val="00DE72A2"/>
    <w:rsid w:val="00E01C79"/>
    <w:rsid w:val="00E13468"/>
    <w:rsid w:val="00E1455B"/>
    <w:rsid w:val="00E14764"/>
    <w:rsid w:val="00E1614E"/>
    <w:rsid w:val="00E20A2F"/>
    <w:rsid w:val="00E3001C"/>
    <w:rsid w:val="00E3720B"/>
    <w:rsid w:val="00E37B8E"/>
    <w:rsid w:val="00E44CB0"/>
    <w:rsid w:val="00E47959"/>
    <w:rsid w:val="00E50A2C"/>
    <w:rsid w:val="00E6390C"/>
    <w:rsid w:val="00E65EC9"/>
    <w:rsid w:val="00E6790D"/>
    <w:rsid w:val="00E710CD"/>
    <w:rsid w:val="00E741E2"/>
    <w:rsid w:val="00E851A7"/>
    <w:rsid w:val="00E86DC0"/>
    <w:rsid w:val="00E971F6"/>
    <w:rsid w:val="00EA2610"/>
    <w:rsid w:val="00EB73FA"/>
    <w:rsid w:val="00EC18E2"/>
    <w:rsid w:val="00EC6BAB"/>
    <w:rsid w:val="00ED244A"/>
    <w:rsid w:val="00ED2841"/>
    <w:rsid w:val="00ED47D6"/>
    <w:rsid w:val="00EE70A6"/>
    <w:rsid w:val="00EF244B"/>
    <w:rsid w:val="00F10A9C"/>
    <w:rsid w:val="00F17853"/>
    <w:rsid w:val="00F33371"/>
    <w:rsid w:val="00F4405E"/>
    <w:rsid w:val="00F510D3"/>
    <w:rsid w:val="00F51164"/>
    <w:rsid w:val="00F5511B"/>
    <w:rsid w:val="00F64E86"/>
    <w:rsid w:val="00F65359"/>
    <w:rsid w:val="00F67842"/>
    <w:rsid w:val="00F714E4"/>
    <w:rsid w:val="00F728EC"/>
    <w:rsid w:val="00F80AE3"/>
    <w:rsid w:val="00F86691"/>
    <w:rsid w:val="00F86C1B"/>
    <w:rsid w:val="00F95771"/>
    <w:rsid w:val="00FA3F83"/>
    <w:rsid w:val="00FA77A2"/>
    <w:rsid w:val="00FB1113"/>
    <w:rsid w:val="00FC0797"/>
    <w:rsid w:val="00FC6CC7"/>
    <w:rsid w:val="00FD1578"/>
    <w:rsid w:val="00FD51F5"/>
    <w:rsid w:val="00FE0246"/>
    <w:rsid w:val="00FE3D58"/>
    <w:rsid w:val="00FE4EC8"/>
    <w:rsid w:val="00FF4C78"/>
    <w:rsid w:val="01EC61EC"/>
    <w:rsid w:val="02C12188"/>
    <w:rsid w:val="03BC047B"/>
    <w:rsid w:val="07551406"/>
    <w:rsid w:val="084C7436"/>
    <w:rsid w:val="089645E3"/>
    <w:rsid w:val="09A7068C"/>
    <w:rsid w:val="0B271CFF"/>
    <w:rsid w:val="0BA72079"/>
    <w:rsid w:val="0DB63570"/>
    <w:rsid w:val="10246EEB"/>
    <w:rsid w:val="14BD37D2"/>
    <w:rsid w:val="171417DB"/>
    <w:rsid w:val="17391135"/>
    <w:rsid w:val="1998191B"/>
    <w:rsid w:val="19C177C7"/>
    <w:rsid w:val="1FB56A40"/>
    <w:rsid w:val="214E3B8E"/>
    <w:rsid w:val="22407BB4"/>
    <w:rsid w:val="22C43431"/>
    <w:rsid w:val="25D548D9"/>
    <w:rsid w:val="27D45B3F"/>
    <w:rsid w:val="280E42A4"/>
    <w:rsid w:val="28A174A0"/>
    <w:rsid w:val="2A4251D5"/>
    <w:rsid w:val="2DE308C4"/>
    <w:rsid w:val="2FE42139"/>
    <w:rsid w:val="302A1F5F"/>
    <w:rsid w:val="34C128D2"/>
    <w:rsid w:val="35066EF1"/>
    <w:rsid w:val="38543B72"/>
    <w:rsid w:val="398C1DD1"/>
    <w:rsid w:val="3B4E3C3F"/>
    <w:rsid w:val="3B551934"/>
    <w:rsid w:val="407D4E4E"/>
    <w:rsid w:val="44352862"/>
    <w:rsid w:val="448E55F3"/>
    <w:rsid w:val="45BC60CC"/>
    <w:rsid w:val="462916A3"/>
    <w:rsid w:val="469C08BA"/>
    <w:rsid w:val="46DA62C3"/>
    <w:rsid w:val="48651873"/>
    <w:rsid w:val="49DA6DB1"/>
    <w:rsid w:val="4C5C3D90"/>
    <w:rsid w:val="4F0A6CD0"/>
    <w:rsid w:val="500D0E60"/>
    <w:rsid w:val="51016401"/>
    <w:rsid w:val="512858A0"/>
    <w:rsid w:val="540A5E0D"/>
    <w:rsid w:val="543A1059"/>
    <w:rsid w:val="57EC0BF7"/>
    <w:rsid w:val="58182730"/>
    <w:rsid w:val="58AB7559"/>
    <w:rsid w:val="58E80BC1"/>
    <w:rsid w:val="5A146C55"/>
    <w:rsid w:val="5B184523"/>
    <w:rsid w:val="5B413A7A"/>
    <w:rsid w:val="5C372409"/>
    <w:rsid w:val="5C6846E8"/>
    <w:rsid w:val="5D5940F3"/>
    <w:rsid w:val="5D8E0ED7"/>
    <w:rsid w:val="5EEA0AA3"/>
    <w:rsid w:val="5FE134B4"/>
    <w:rsid w:val="60C07C62"/>
    <w:rsid w:val="60D11AA8"/>
    <w:rsid w:val="61214489"/>
    <w:rsid w:val="62A72D5C"/>
    <w:rsid w:val="638D24E1"/>
    <w:rsid w:val="65E8113B"/>
    <w:rsid w:val="66804266"/>
    <w:rsid w:val="672727D5"/>
    <w:rsid w:val="687D3BC2"/>
    <w:rsid w:val="69F37401"/>
    <w:rsid w:val="6A331C23"/>
    <w:rsid w:val="6A806127"/>
    <w:rsid w:val="6BF97ACE"/>
    <w:rsid w:val="6D810144"/>
    <w:rsid w:val="6E3D7B6E"/>
    <w:rsid w:val="6F423A58"/>
    <w:rsid w:val="6F706FED"/>
    <w:rsid w:val="70684AFE"/>
    <w:rsid w:val="713654EF"/>
    <w:rsid w:val="71D13952"/>
    <w:rsid w:val="72DC75C6"/>
    <w:rsid w:val="751B3BD6"/>
    <w:rsid w:val="75C77401"/>
    <w:rsid w:val="763B18E2"/>
    <w:rsid w:val="794E2422"/>
    <w:rsid w:val="7C2A0A63"/>
    <w:rsid w:val="7C3D50C6"/>
    <w:rsid w:val="7D5527B7"/>
    <w:rsid w:val="7E6B261C"/>
    <w:rsid w:val="CD7F48E0"/>
    <w:rsid w:val="FFFCDE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numPr>
        <w:ilvl w:val="0"/>
        <w:numId w:val="1"/>
      </w:numPr>
      <w:spacing w:before="120" w:after="120" w:line="360" w:lineRule="auto"/>
      <w:jc w:val="center"/>
      <w:outlineLvl w:val="0"/>
    </w:pPr>
    <w:rPr>
      <w:rFonts w:ascii="黑体" w:eastAsia="黑体"/>
      <w:b/>
      <w:kern w:val="44"/>
      <w:sz w:val="28"/>
      <w:szCs w:val="20"/>
      <w:lang w:val="zh-CN"/>
    </w:rPr>
  </w:style>
  <w:style w:type="paragraph" w:styleId="3">
    <w:name w:val="heading 2"/>
    <w:basedOn w:val="1"/>
    <w:next w:val="1"/>
    <w:link w:val="2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7"/>
    <w:qFormat/>
    <w:uiPriority w:val="0"/>
    <w:pPr>
      <w:numPr>
        <w:ilvl w:val="2"/>
        <w:numId w:val="1"/>
      </w:numPr>
      <w:spacing w:line="300" w:lineRule="auto"/>
      <w:outlineLvl w:val="2"/>
    </w:pPr>
    <w:rPr>
      <w:rFonts w:ascii="Arial" w:hAnsi="Arial" w:eastAsia="仿宋_GB2312"/>
      <w:b/>
      <w:sz w:val="24"/>
      <w:szCs w:val="20"/>
      <w:lang w:val="zh-CN"/>
    </w:rPr>
  </w:style>
  <w:style w:type="paragraph" w:styleId="5">
    <w:name w:val="heading 4"/>
    <w:basedOn w:val="1"/>
    <w:next w:val="1"/>
    <w:link w:val="28"/>
    <w:qFormat/>
    <w:uiPriority w:val="0"/>
    <w:pPr>
      <w:keepNext/>
      <w:keepLines/>
      <w:numPr>
        <w:ilvl w:val="3"/>
        <w:numId w:val="1"/>
      </w:numPr>
      <w:spacing w:line="360" w:lineRule="auto"/>
      <w:outlineLvl w:val="3"/>
    </w:pPr>
    <w:rPr>
      <w:rFonts w:ascii="Arial" w:hAnsi="Arial" w:eastAsia="仿宋_GB2312"/>
      <w:sz w:val="24"/>
      <w:szCs w:val="20"/>
      <w:lang w:val="zh-CN"/>
    </w:rPr>
  </w:style>
  <w:style w:type="paragraph" w:styleId="6">
    <w:name w:val="heading 5"/>
    <w:basedOn w:val="1"/>
    <w:next w:val="1"/>
    <w:link w:val="29"/>
    <w:qFormat/>
    <w:uiPriority w:val="0"/>
    <w:pPr>
      <w:numPr>
        <w:ilvl w:val="4"/>
        <w:numId w:val="1"/>
      </w:numPr>
      <w:spacing w:line="360" w:lineRule="auto"/>
      <w:outlineLvl w:val="4"/>
    </w:pPr>
    <w:rPr>
      <w:rFonts w:ascii="Arial" w:hAnsi="Arial" w:eastAsia="仿宋_GB2312"/>
      <w:sz w:val="24"/>
      <w:szCs w:val="20"/>
      <w:lang w:val="zh-CN"/>
    </w:rPr>
  </w:style>
  <w:style w:type="paragraph" w:styleId="7">
    <w:name w:val="heading 6"/>
    <w:basedOn w:val="1"/>
    <w:next w:val="1"/>
    <w:link w:val="30"/>
    <w:qFormat/>
    <w:uiPriority w:val="0"/>
    <w:pPr>
      <w:numPr>
        <w:ilvl w:val="5"/>
        <w:numId w:val="1"/>
      </w:numPr>
      <w:spacing w:line="300" w:lineRule="auto"/>
      <w:outlineLvl w:val="5"/>
    </w:pPr>
    <w:rPr>
      <w:rFonts w:ascii="Arial" w:hAnsi="Arial" w:eastAsia="仿宋_GB2312"/>
      <w:sz w:val="24"/>
      <w:szCs w:val="20"/>
      <w:lang w:val="zh-CN"/>
    </w:rPr>
  </w:style>
  <w:style w:type="paragraph" w:styleId="8">
    <w:name w:val="heading 7"/>
    <w:basedOn w:val="1"/>
    <w:next w:val="9"/>
    <w:link w:val="31"/>
    <w:qFormat/>
    <w:uiPriority w:val="0"/>
    <w:pPr>
      <w:keepNext/>
      <w:keepLines/>
      <w:numPr>
        <w:ilvl w:val="6"/>
        <w:numId w:val="1"/>
      </w:numPr>
      <w:spacing w:line="360" w:lineRule="auto"/>
      <w:outlineLvl w:val="6"/>
    </w:pPr>
    <w:rPr>
      <w:rFonts w:ascii="仿宋_GB2312" w:eastAsia="仿宋_GB2312"/>
      <w:sz w:val="24"/>
      <w:szCs w:val="20"/>
      <w:lang w:val="zh-CN"/>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9">
    <w:name w:val="Normal Indent"/>
    <w:basedOn w:val="1"/>
    <w:link w:val="34"/>
    <w:qFormat/>
    <w:uiPriority w:val="99"/>
    <w:pPr>
      <w:ind w:firstLine="420" w:firstLineChars="200"/>
    </w:pPr>
    <w:rPr>
      <w:rFonts w:ascii="Calibri" w:hAnsi="Calibri"/>
    </w:rPr>
  </w:style>
  <w:style w:type="paragraph" w:styleId="10">
    <w:name w:val="annotation text"/>
    <w:basedOn w:val="1"/>
    <w:link w:val="40"/>
    <w:unhideWhenUsed/>
    <w:qFormat/>
    <w:uiPriority w:val="99"/>
    <w:pPr>
      <w:jc w:val="left"/>
    </w:pPr>
  </w:style>
  <w:style w:type="paragraph" w:styleId="11">
    <w:name w:val="Body Text Indent"/>
    <w:basedOn w:val="1"/>
    <w:link w:val="33"/>
    <w:qFormat/>
    <w:uiPriority w:val="0"/>
    <w:pPr>
      <w:spacing w:line="360" w:lineRule="auto"/>
      <w:ind w:firstLine="359" w:firstLineChars="171"/>
    </w:pPr>
    <w:rPr>
      <w:lang w:val="zh-CN"/>
    </w:rPr>
  </w:style>
  <w:style w:type="paragraph" w:styleId="12">
    <w:name w:val="Body Text Indent 2"/>
    <w:basedOn w:val="1"/>
    <w:link w:val="32"/>
    <w:qFormat/>
    <w:uiPriority w:val="0"/>
    <w:pPr>
      <w:spacing w:line="360" w:lineRule="auto"/>
      <w:ind w:firstLine="480"/>
      <w:outlineLvl w:val="0"/>
    </w:pPr>
    <w:rPr>
      <w:rFonts w:ascii="仿宋_GB2312" w:hAnsi="Calibri" w:eastAsia="仿宋_GB2312"/>
      <w:sz w:val="24"/>
      <w:szCs w:val="20"/>
    </w:rPr>
  </w:style>
  <w:style w:type="paragraph" w:styleId="13">
    <w:name w:val="Balloon Text"/>
    <w:basedOn w:val="1"/>
    <w:link w:val="36"/>
    <w:semiHidden/>
    <w:unhideWhenUsed/>
    <w:qFormat/>
    <w:uiPriority w:val="99"/>
    <w:rPr>
      <w:sz w:val="18"/>
      <w:szCs w:val="18"/>
    </w:rPr>
  </w:style>
  <w:style w:type="paragraph" w:styleId="14">
    <w:name w:val="footer"/>
    <w:basedOn w:val="1"/>
    <w:link w:val="24"/>
    <w:unhideWhenUsed/>
    <w:qFormat/>
    <w:uiPriority w:val="99"/>
    <w:pPr>
      <w:tabs>
        <w:tab w:val="center" w:pos="4153"/>
        <w:tab w:val="right" w:pos="8306"/>
      </w:tabs>
      <w:snapToGrid w:val="0"/>
      <w:jc w:val="left"/>
    </w:pPr>
    <w:rPr>
      <w:sz w:val="18"/>
      <w:szCs w:val="18"/>
    </w:rPr>
  </w:style>
  <w:style w:type="paragraph" w:styleId="15">
    <w:name w:val="header"/>
    <w:basedOn w:val="1"/>
    <w:link w:val="23"/>
    <w:unhideWhenUsed/>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style>
  <w:style w:type="paragraph" w:styleId="1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8">
    <w:name w:val="annotation subject"/>
    <w:basedOn w:val="10"/>
    <w:next w:val="10"/>
    <w:link w:val="38"/>
    <w:semiHidden/>
    <w:unhideWhenUsed/>
    <w:qFormat/>
    <w:uiPriority w:val="99"/>
    <w:rPr>
      <w:b/>
      <w:bCs/>
    </w:rPr>
  </w:style>
  <w:style w:type="character" w:styleId="21">
    <w:name w:val="Hyperlink"/>
    <w:qFormat/>
    <w:uiPriority w:val="99"/>
    <w:rPr>
      <w:color w:val="0000FF"/>
      <w:u w:val="single"/>
    </w:rPr>
  </w:style>
  <w:style w:type="character" w:styleId="22">
    <w:name w:val="annotation reference"/>
    <w:basedOn w:val="20"/>
    <w:semiHidden/>
    <w:unhideWhenUsed/>
    <w:qFormat/>
    <w:uiPriority w:val="99"/>
    <w:rPr>
      <w:sz w:val="21"/>
      <w:szCs w:val="21"/>
    </w:rPr>
  </w:style>
  <w:style w:type="character" w:customStyle="1" w:styleId="23">
    <w:name w:val="页眉 字符"/>
    <w:basedOn w:val="20"/>
    <w:link w:val="15"/>
    <w:qFormat/>
    <w:uiPriority w:val="0"/>
    <w:rPr>
      <w:sz w:val="18"/>
      <w:szCs w:val="18"/>
    </w:rPr>
  </w:style>
  <w:style w:type="character" w:customStyle="1" w:styleId="24">
    <w:name w:val="页脚 字符"/>
    <w:basedOn w:val="20"/>
    <w:link w:val="14"/>
    <w:qFormat/>
    <w:uiPriority w:val="99"/>
    <w:rPr>
      <w:sz w:val="18"/>
      <w:szCs w:val="18"/>
    </w:rPr>
  </w:style>
  <w:style w:type="character" w:customStyle="1" w:styleId="25">
    <w:name w:val="标题 1 字符"/>
    <w:basedOn w:val="20"/>
    <w:link w:val="2"/>
    <w:qFormat/>
    <w:uiPriority w:val="0"/>
    <w:rPr>
      <w:rFonts w:ascii="黑体" w:eastAsia="黑体"/>
      <w:b/>
      <w:kern w:val="44"/>
      <w:sz w:val="28"/>
      <w:lang w:val="zh-CN"/>
    </w:rPr>
  </w:style>
  <w:style w:type="character" w:customStyle="1" w:styleId="26">
    <w:name w:val="标题 2 字符"/>
    <w:basedOn w:val="20"/>
    <w:link w:val="3"/>
    <w:qFormat/>
    <w:uiPriority w:val="0"/>
    <w:rPr>
      <w:rFonts w:ascii="Arial" w:hAnsi="Arial" w:eastAsia="黑体" w:cs="Times New Roman"/>
      <w:b/>
      <w:bCs/>
      <w:sz w:val="32"/>
      <w:szCs w:val="32"/>
    </w:rPr>
  </w:style>
  <w:style w:type="character" w:customStyle="1" w:styleId="27">
    <w:name w:val="标题 3 字符"/>
    <w:basedOn w:val="20"/>
    <w:link w:val="4"/>
    <w:qFormat/>
    <w:uiPriority w:val="0"/>
    <w:rPr>
      <w:rFonts w:ascii="Arial" w:hAnsi="Arial" w:eastAsia="仿宋_GB2312" w:cs="Times New Roman"/>
      <w:b/>
      <w:sz w:val="24"/>
      <w:szCs w:val="20"/>
      <w:lang w:val="zh-CN" w:eastAsia="zh-CN"/>
    </w:rPr>
  </w:style>
  <w:style w:type="character" w:customStyle="1" w:styleId="28">
    <w:name w:val="标题 4 字符"/>
    <w:basedOn w:val="20"/>
    <w:link w:val="5"/>
    <w:qFormat/>
    <w:uiPriority w:val="0"/>
    <w:rPr>
      <w:rFonts w:ascii="Arial" w:hAnsi="Arial" w:eastAsia="仿宋_GB2312" w:cs="Times New Roman"/>
      <w:sz w:val="24"/>
      <w:szCs w:val="20"/>
      <w:lang w:val="zh-CN" w:eastAsia="zh-CN"/>
    </w:rPr>
  </w:style>
  <w:style w:type="character" w:customStyle="1" w:styleId="29">
    <w:name w:val="标题 5 字符"/>
    <w:basedOn w:val="20"/>
    <w:link w:val="6"/>
    <w:qFormat/>
    <w:uiPriority w:val="0"/>
    <w:rPr>
      <w:rFonts w:ascii="Arial" w:hAnsi="Arial" w:eastAsia="仿宋_GB2312" w:cs="Times New Roman"/>
      <w:sz w:val="24"/>
      <w:szCs w:val="20"/>
      <w:lang w:val="zh-CN" w:eastAsia="zh-CN"/>
    </w:rPr>
  </w:style>
  <w:style w:type="character" w:customStyle="1" w:styleId="30">
    <w:name w:val="标题 6 字符"/>
    <w:basedOn w:val="20"/>
    <w:link w:val="7"/>
    <w:qFormat/>
    <w:uiPriority w:val="0"/>
    <w:rPr>
      <w:rFonts w:ascii="Arial" w:hAnsi="Arial" w:eastAsia="仿宋_GB2312" w:cs="Times New Roman"/>
      <w:sz w:val="24"/>
      <w:szCs w:val="20"/>
      <w:lang w:val="zh-CN" w:eastAsia="zh-CN"/>
    </w:rPr>
  </w:style>
  <w:style w:type="character" w:customStyle="1" w:styleId="31">
    <w:name w:val="标题 7 字符"/>
    <w:basedOn w:val="20"/>
    <w:link w:val="8"/>
    <w:qFormat/>
    <w:uiPriority w:val="0"/>
    <w:rPr>
      <w:rFonts w:ascii="仿宋_GB2312" w:hAnsi="Times New Roman" w:eastAsia="仿宋_GB2312" w:cs="Times New Roman"/>
      <w:sz w:val="24"/>
      <w:szCs w:val="20"/>
      <w:lang w:val="zh-CN" w:eastAsia="zh-CN"/>
    </w:rPr>
  </w:style>
  <w:style w:type="character" w:customStyle="1" w:styleId="32">
    <w:name w:val="正文文本缩进 2 字符"/>
    <w:basedOn w:val="20"/>
    <w:link w:val="12"/>
    <w:qFormat/>
    <w:uiPriority w:val="0"/>
    <w:rPr>
      <w:rFonts w:ascii="仿宋_GB2312" w:hAnsi="Calibri" w:eastAsia="仿宋_GB2312" w:cs="Times New Roman"/>
      <w:sz w:val="24"/>
      <w:szCs w:val="20"/>
    </w:rPr>
  </w:style>
  <w:style w:type="character" w:customStyle="1" w:styleId="33">
    <w:name w:val="正文文本缩进 字符"/>
    <w:basedOn w:val="20"/>
    <w:link w:val="11"/>
    <w:qFormat/>
    <w:uiPriority w:val="0"/>
    <w:rPr>
      <w:rFonts w:ascii="Times New Roman" w:hAnsi="Times New Roman" w:eastAsia="宋体" w:cs="Times New Roman"/>
      <w:szCs w:val="24"/>
      <w:lang w:val="zh-CN" w:eastAsia="zh-CN"/>
    </w:rPr>
  </w:style>
  <w:style w:type="character" w:customStyle="1" w:styleId="34">
    <w:name w:val="正文缩进 字符"/>
    <w:link w:val="9"/>
    <w:qFormat/>
    <w:uiPriority w:val="99"/>
    <w:rPr>
      <w:rFonts w:ascii="Calibri" w:hAnsi="Calibri" w:eastAsia="宋体" w:cs="Times New Roman"/>
      <w:szCs w:val="24"/>
    </w:rPr>
  </w:style>
  <w:style w:type="paragraph" w:customStyle="1" w:styleId="35">
    <w:name w:val="正文正文"/>
    <w:basedOn w:val="1"/>
    <w:qFormat/>
    <w:uiPriority w:val="99"/>
    <w:pPr>
      <w:spacing w:after="25" w:afterLines="25" w:line="360" w:lineRule="auto"/>
      <w:ind w:firstLine="200" w:firstLineChars="200"/>
    </w:pPr>
    <w:rPr>
      <w:sz w:val="24"/>
    </w:rPr>
  </w:style>
  <w:style w:type="character" w:customStyle="1" w:styleId="36">
    <w:name w:val="批注框文本 字符"/>
    <w:basedOn w:val="20"/>
    <w:link w:val="13"/>
    <w:semiHidden/>
    <w:qFormat/>
    <w:uiPriority w:val="99"/>
    <w:rPr>
      <w:rFonts w:ascii="Times New Roman" w:hAnsi="Times New Roman" w:eastAsia="宋体" w:cs="Times New Roman"/>
      <w:sz w:val="18"/>
      <w:szCs w:val="18"/>
    </w:rPr>
  </w:style>
  <w:style w:type="character" w:customStyle="1" w:styleId="37">
    <w:name w:val="批注文字 字符"/>
    <w:basedOn w:val="20"/>
    <w:semiHidden/>
    <w:qFormat/>
    <w:uiPriority w:val="99"/>
    <w:rPr>
      <w:rFonts w:ascii="Times New Roman" w:hAnsi="Times New Roman" w:eastAsia="宋体" w:cs="Times New Roman"/>
      <w:szCs w:val="24"/>
    </w:rPr>
  </w:style>
  <w:style w:type="character" w:customStyle="1" w:styleId="38">
    <w:name w:val="批注主题 字符"/>
    <w:basedOn w:val="37"/>
    <w:link w:val="18"/>
    <w:semiHidden/>
    <w:qFormat/>
    <w:uiPriority w:val="99"/>
    <w:rPr>
      <w:rFonts w:ascii="Times New Roman" w:hAnsi="Times New Roman" w:eastAsia="宋体" w:cs="Times New Roman"/>
      <w:b/>
      <w:bCs/>
      <w:szCs w:val="24"/>
    </w:rPr>
  </w:style>
  <w:style w:type="paragraph" w:customStyle="1" w:styleId="39">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40">
    <w:name w:val="批注文字 字符1"/>
    <w:basedOn w:val="20"/>
    <w:link w:val="10"/>
    <w:qFormat/>
    <w:uiPriority w:val="0"/>
    <w:rPr>
      <w:rFonts w:hint="default" w:ascii="Times New Roman" w:hAnsi="Times New Roman" w:cs="Times New Roman"/>
      <w:kern w:val="2"/>
      <w:sz w:val="21"/>
      <w:szCs w:val="24"/>
    </w:rPr>
  </w:style>
  <w:style w:type="paragraph" w:customStyle="1" w:styleId="41">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42">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43">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44">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45">
    <w:name w:val="修订6"/>
    <w:hidden/>
    <w:unhideWhenUsed/>
    <w:qFormat/>
    <w:uiPriority w:val="99"/>
    <w:rPr>
      <w:rFonts w:ascii="Times New Roman" w:hAnsi="Times New Roman" w:eastAsia="宋体" w:cs="Times New Roman"/>
      <w:kern w:val="2"/>
      <w:sz w:val="21"/>
      <w:szCs w:val="24"/>
      <w:lang w:val="en-US" w:eastAsia="zh-CN" w:bidi="ar-SA"/>
    </w:rPr>
  </w:style>
  <w:style w:type="paragraph" w:styleId="4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41</Pages>
  <Words>5272</Words>
  <Characters>30051</Characters>
  <Lines>250</Lines>
  <Paragraphs>70</Paragraphs>
  <TotalTime>0</TotalTime>
  <ScaleCrop>false</ScaleCrop>
  <LinksUpToDate>false</LinksUpToDate>
  <CharactersWithSpaces>35253</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2026-07-17T12:06:00Z</dcterms:created>
  <dc:creator>Administrator</dc:creator>
  <cp:lastModifiedBy>zhangjing1</cp:lastModifiedBy>
  <dcterms:modified xsi:type="dcterms:W3CDTF">2026-10-27T02:16:55Z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A0C9BCE50C5945D888BDE858C45DDF70_13</vt:lpwstr>
  </property>
  <property fmtid="{D5CDD505-2E9C-101B-9397-08002B2CF9AE}" pid="4" name="KSOTemplateDocerSaveRecord">
    <vt:lpwstr>eyJoZGlkIjoiYmJlMTM1OTQzNjc4MDU2M2Q4N2QwZWU0ZjYyZTMyZmIiLCJ1c2VySWQiOiI2NTE1MDQyNjQifQ==</vt:lpwstr>
  </property>
</Properties>
</file>