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F38D7">
      <w:pPr>
        <w:rPr>
          <w:sz w:val="32"/>
        </w:rPr>
      </w:pPr>
    </w:p>
    <w:p w:rsidR="00C92FC0" w:rsidRPr="00EB07BC" w:rsidRDefault="00DF38D7">
      <w:pPr>
        <w:rPr>
          <w:sz w:val="32"/>
        </w:rPr>
      </w:pPr>
    </w:p>
    <w:p w:rsidR="00C92FC0" w:rsidRPr="00EB07BC" w:rsidRDefault="00DF38D7">
      <w:pPr>
        <w:rPr>
          <w:sz w:val="32"/>
        </w:rPr>
      </w:pPr>
    </w:p>
    <w:p w:rsidR="0039616E" w:rsidRDefault="0039616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616E" w:rsidRDefault="0039616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616E" w:rsidRDefault="0039616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616E" w:rsidRDefault="000E508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交银施罗德强化回报债券型证券投资基金</w:t>
      </w:r>
    </w:p>
    <w:p w:rsidR="0039616E" w:rsidRDefault="000E508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9616E" w:rsidRDefault="0039616E">
      <w:pPr>
        <w:snapToGrid w:val="0"/>
        <w:spacing w:line="360" w:lineRule="auto"/>
        <w:jc w:val="center"/>
        <w:rPr>
          <w:rFonts w:ascii="宋体" w:hAnsi="宋体"/>
          <w:b/>
          <w:sz w:val="30"/>
          <w:szCs w:val="30"/>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0E508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9616E" w:rsidRDefault="000E508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39616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616E" w:rsidRDefault="000E508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39616E" w:rsidRDefault="0039616E">
      <w:pPr>
        <w:autoSpaceDE w:val="0"/>
        <w:autoSpaceDN w:val="0"/>
        <w:adjustRightInd w:val="0"/>
        <w:snapToGrid w:val="0"/>
        <w:spacing w:line="360" w:lineRule="auto"/>
        <w:ind w:left="1347" w:rightChars="6" w:right="13"/>
        <w:rPr>
          <w:rFonts w:ascii="宋体" w:hAnsi="宋体"/>
          <w:kern w:val="0"/>
          <w:sz w:val="32"/>
          <w:szCs w:val="32"/>
        </w:rPr>
        <w:sectPr w:rsidR="0039616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9616E" w:rsidRDefault="000E5081">
      <w:pPr>
        <w:pStyle w:val="1"/>
        <w:snapToGrid w:val="0"/>
        <w:spacing w:beforeLines="0" w:before="240" w:after="240"/>
        <w:rPr>
          <w:rFonts w:ascii="宋体" w:hAnsi="宋体"/>
          <w:kern w:val="0"/>
        </w:rPr>
      </w:pPr>
      <w:bookmarkStart w:id="0" w:name="_Toc324920538"/>
      <w:bookmarkStart w:id="1" w:name="_Toc496884613"/>
      <w:bookmarkStart w:id="2" w:name="_Toc243639053"/>
      <w:r>
        <w:rPr>
          <w:rFonts w:ascii="Times New Roman" w:hAnsi="Times New Roman"/>
          <w:kern w:val="0"/>
        </w:rPr>
        <w:lastRenderedPageBreak/>
        <w:t>重要提示</w:t>
      </w:r>
      <w:bookmarkEnd w:id="0"/>
      <w:bookmarkEnd w:id="1"/>
      <w:bookmarkEnd w:id="2"/>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交银施罗德强化回报债券型证券投资基金（以下简称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 xml:space="preserve"> </w:t>
      </w:r>
      <w:r>
        <w:rPr>
          <w:rFonts w:ascii="Times New Roman" w:hAnsi="Times New Roman"/>
          <w:kern w:val="0"/>
          <w:sz w:val="24"/>
        </w:rPr>
        <w:t>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1443</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科创板股票的特定风险；投资本基金特有的其他风险等等。本基金是一只债券型基金，其风险与预期收益高于货币市场基金，低于混合型基金和股票型基金，属于证券投资基金中中等风险的品种。</w:t>
      </w:r>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9616E" w:rsidRDefault="000E508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日，对本基金调整业绩比较基准的相关信息进行更新的更新截止日为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w:t>
      </w:r>
      <w:r>
        <w:rPr>
          <w:rFonts w:ascii="Times New Roman" w:hAnsi="Times New Roman"/>
          <w:kern w:val="0"/>
          <w:sz w:val="24"/>
        </w:rPr>
        <w:lastRenderedPageBreak/>
        <w:t>明书所载的财务数据未经审计。</w:t>
      </w:r>
    </w:p>
    <w:p w:rsidR="0039616E" w:rsidRDefault="0039616E">
      <w:pPr>
        <w:autoSpaceDE w:val="0"/>
        <w:autoSpaceDN w:val="0"/>
        <w:adjustRightInd w:val="0"/>
        <w:snapToGrid w:val="0"/>
        <w:spacing w:before="51" w:line="360" w:lineRule="auto"/>
        <w:ind w:left="120" w:rightChars="6" w:right="13" w:firstLine="480"/>
        <w:rPr>
          <w:rFonts w:ascii="宋体" w:hAnsi="宋体"/>
          <w:kern w:val="0"/>
          <w:szCs w:val="24"/>
        </w:rPr>
        <w:sectPr w:rsidR="0039616E">
          <w:headerReference w:type="default" r:id="rId14"/>
          <w:pgSz w:w="11920" w:h="16840"/>
          <w:pgMar w:top="1440" w:right="1680" w:bottom="280" w:left="1680" w:header="0" w:footer="1073" w:gutter="0"/>
          <w:pgNumType w:start="1"/>
          <w:cols w:space="720"/>
        </w:sectPr>
      </w:pPr>
    </w:p>
    <w:p w:rsidR="00DF38D7" w:rsidRPr="00DF38D7" w:rsidRDefault="000E5081" w:rsidP="00DF38D7">
      <w:pPr>
        <w:pStyle w:val="ad"/>
        <w:snapToGrid w:val="0"/>
        <w:spacing w:after="240" w:line="360" w:lineRule="auto"/>
        <w:jc w:val="center"/>
        <w:rPr>
          <w:rFonts w:ascii="宋体" w:hAnsi="宋体"/>
          <w:noProof/>
          <w:sz w:val="24"/>
        </w:rPr>
      </w:pPr>
      <w:r w:rsidRPr="00DF38D7">
        <w:rPr>
          <w:rFonts w:ascii="宋体" w:hAnsi="宋体"/>
          <w:color w:val="000000"/>
          <w:position w:val="-4"/>
          <w:sz w:val="24"/>
          <w:szCs w:val="30"/>
        </w:rPr>
        <w:lastRenderedPageBreak/>
        <w:t>目</w:t>
      </w:r>
      <w:r w:rsidRPr="00DF38D7">
        <w:rPr>
          <w:rFonts w:ascii="宋体" w:hAnsi="宋体"/>
          <w:color w:val="000000"/>
          <w:position w:val="-4"/>
          <w:sz w:val="24"/>
          <w:szCs w:val="30"/>
        </w:rPr>
        <w:tab/>
        <w:t>录</w:t>
      </w:r>
      <w:r w:rsidR="00DF38D7" w:rsidRPr="00DF38D7">
        <w:rPr>
          <w:rFonts w:ascii="宋体" w:hAnsi="宋体"/>
          <w:color w:val="000000"/>
          <w:position w:val="-4"/>
          <w:sz w:val="24"/>
          <w:szCs w:val="30"/>
        </w:rPr>
        <w:fldChar w:fldCharType="begin"/>
      </w:r>
      <w:r w:rsidR="00DF38D7" w:rsidRPr="00DF38D7">
        <w:rPr>
          <w:rFonts w:ascii="宋体" w:hAnsi="宋体"/>
          <w:color w:val="000000"/>
          <w:position w:val="-4"/>
          <w:sz w:val="24"/>
          <w:szCs w:val="30"/>
        </w:rPr>
        <w:instrText xml:space="preserve"> TOC \o "1-3" \f - \h \t "-1" </w:instrText>
      </w:r>
      <w:r w:rsidR="00DF38D7" w:rsidRPr="00DF38D7">
        <w:rPr>
          <w:rFonts w:ascii="宋体" w:hAnsi="宋体"/>
          <w:color w:val="000000"/>
          <w:position w:val="-4"/>
          <w:sz w:val="24"/>
          <w:szCs w:val="30"/>
        </w:rPr>
        <w:fldChar w:fldCharType="separate"/>
      </w:r>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3" w:history="1">
        <w:r w:rsidRPr="00DF38D7">
          <w:rPr>
            <w:rStyle w:val="aa"/>
            <w:rFonts w:ascii="宋体" w:hAnsi="宋体" w:hint="eastAsia"/>
            <w:noProof/>
            <w:kern w:val="0"/>
            <w:sz w:val="24"/>
          </w:rPr>
          <w:t>重要提示</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_Toc243639053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4" w:history="1">
        <w:r w:rsidRPr="00DF38D7">
          <w:rPr>
            <w:rStyle w:val="aa"/>
            <w:rFonts w:ascii="宋体" w:hAnsi="宋体" w:hint="eastAsia"/>
            <w:noProof/>
            <w:sz w:val="24"/>
          </w:rPr>
          <w:t>一、绪言</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_Toc243639054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4</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5" w:history="1">
        <w:r w:rsidRPr="00DF38D7">
          <w:rPr>
            <w:rStyle w:val="aa"/>
            <w:rFonts w:ascii="宋体" w:hAnsi="宋体" w:hint="eastAsia"/>
            <w:noProof/>
            <w:sz w:val="24"/>
          </w:rPr>
          <w:t>二、释义</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_Toc243639055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5</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6" w:history="1">
        <w:r w:rsidRPr="00DF38D7">
          <w:rPr>
            <w:rStyle w:val="aa"/>
            <w:rFonts w:ascii="宋体" w:hAnsi="宋体" w:hint="eastAsia"/>
            <w:noProof/>
            <w:sz w:val="24"/>
          </w:rPr>
          <w:t>三、基金管理人</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_Toc243639056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11</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7" w:history="1">
        <w:r w:rsidRPr="00DF38D7">
          <w:rPr>
            <w:rStyle w:val="aa"/>
            <w:rFonts w:ascii="宋体" w:hAnsi="宋体" w:hint="eastAsia"/>
            <w:noProof/>
            <w:sz w:val="24"/>
          </w:rPr>
          <w:t>四、基金托管人</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_Toc243639057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19</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8" w:history="1">
        <w:r w:rsidRPr="00DF38D7">
          <w:rPr>
            <w:rStyle w:val="aa"/>
            <w:rFonts w:ascii="宋体" w:hAnsi="宋体" w:hint="eastAsia"/>
            <w:noProof/>
            <w:sz w:val="24"/>
          </w:rPr>
          <w:t>五、相关服务机构</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_Toc243639058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23</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59" w:history="1">
        <w:r w:rsidRPr="00DF38D7">
          <w:rPr>
            <w:rStyle w:val="aa"/>
            <w:rFonts w:ascii="宋体" w:hAnsi="宋体" w:hint="eastAsia"/>
            <w:noProof/>
            <w:sz w:val="24"/>
          </w:rPr>
          <w:t>六、基金的募集</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_Toc243639059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50</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0" w:history="1">
        <w:r w:rsidRPr="00DF38D7">
          <w:rPr>
            <w:rStyle w:val="aa"/>
            <w:rFonts w:ascii="宋体" w:hAnsi="宋体" w:hint="eastAsia"/>
            <w:noProof/>
            <w:sz w:val="24"/>
          </w:rPr>
          <w:t>七、基金合同的生效</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_Toc243639060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51</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1" w:history="1">
        <w:r w:rsidRPr="00DF38D7">
          <w:rPr>
            <w:rStyle w:val="aa"/>
            <w:rFonts w:ascii="宋体" w:hAnsi="宋体" w:hint="eastAsia"/>
            <w:noProof/>
            <w:sz w:val="24"/>
          </w:rPr>
          <w:t>八、基金份额的申购与赎回</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_Toc243639061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52</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2" w:history="1">
        <w:r w:rsidRPr="00DF38D7">
          <w:rPr>
            <w:rStyle w:val="aa"/>
            <w:rFonts w:ascii="宋体" w:hAnsi="宋体" w:hint="eastAsia"/>
            <w:noProof/>
            <w:sz w:val="24"/>
          </w:rPr>
          <w:t>九、基金的转换</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_Toc243639062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66</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3" w:history="1">
        <w:r w:rsidRPr="00DF38D7">
          <w:rPr>
            <w:rStyle w:val="aa"/>
            <w:rFonts w:ascii="宋体" w:hAnsi="宋体" w:hint="eastAsia"/>
            <w:noProof/>
            <w:sz w:val="24"/>
          </w:rPr>
          <w:t>十、基金的投资</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_Toc243639063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73</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4" w:history="1">
        <w:r w:rsidRPr="00DF38D7">
          <w:rPr>
            <w:rStyle w:val="aa"/>
            <w:rFonts w:ascii="宋体" w:hAnsi="宋体" w:hint="eastAsia"/>
            <w:noProof/>
            <w:sz w:val="24"/>
          </w:rPr>
          <w:t>十一、基金的业绩</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_Toc243639064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88</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5" w:history="1">
        <w:r w:rsidRPr="00DF38D7">
          <w:rPr>
            <w:rStyle w:val="aa"/>
            <w:rFonts w:ascii="宋体" w:hAnsi="宋体" w:hint="eastAsia"/>
            <w:noProof/>
            <w:sz w:val="24"/>
          </w:rPr>
          <w:t>十二、基金的财产</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_Toc243639065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91</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6" w:history="1">
        <w:r w:rsidRPr="00DF38D7">
          <w:rPr>
            <w:rStyle w:val="aa"/>
            <w:rFonts w:ascii="宋体" w:hAnsi="宋体" w:hint="eastAsia"/>
            <w:noProof/>
            <w:sz w:val="24"/>
          </w:rPr>
          <w:t>十三、基金资产的估值</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_Toc243639066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92</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7" w:history="1">
        <w:r w:rsidRPr="00DF38D7">
          <w:rPr>
            <w:rStyle w:val="aa"/>
            <w:rFonts w:ascii="宋体" w:hAnsi="宋体" w:hint="eastAsia"/>
            <w:noProof/>
            <w:sz w:val="24"/>
          </w:rPr>
          <w:t>十四、基金收益与分配</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_Toc243639067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97</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8" w:history="1">
        <w:r w:rsidRPr="00DF38D7">
          <w:rPr>
            <w:rStyle w:val="aa"/>
            <w:rFonts w:ascii="宋体" w:hAnsi="宋体" w:hint="eastAsia"/>
            <w:noProof/>
            <w:sz w:val="24"/>
          </w:rPr>
          <w:t>十五、基金的费用与税收</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_Toc243639068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99</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69" w:history="1">
        <w:r w:rsidRPr="00DF38D7">
          <w:rPr>
            <w:rStyle w:val="aa"/>
            <w:rFonts w:ascii="宋体" w:hAnsi="宋体" w:hint="eastAsia"/>
            <w:noProof/>
            <w:sz w:val="24"/>
          </w:rPr>
          <w:t>十六、基金的会计与审计</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_Toc243639069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102</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0" w:history="1">
        <w:r w:rsidRPr="00DF38D7">
          <w:rPr>
            <w:rStyle w:val="aa"/>
            <w:rFonts w:ascii="宋体" w:hAnsi="宋体" w:hint="eastAsia"/>
            <w:noProof/>
            <w:sz w:val="24"/>
          </w:rPr>
          <w:t>十七、基金的信息披露</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_Toc243639070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103</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1" w:history="1">
        <w:r w:rsidRPr="00DF38D7">
          <w:rPr>
            <w:rStyle w:val="aa"/>
            <w:rFonts w:ascii="宋体" w:hAnsi="宋体" w:hint="eastAsia"/>
            <w:noProof/>
            <w:sz w:val="24"/>
          </w:rPr>
          <w:t>十八、侧袋机制</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_Toc243639071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109</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2" w:history="1">
        <w:r w:rsidRPr="00DF38D7">
          <w:rPr>
            <w:rStyle w:val="aa"/>
            <w:rFonts w:ascii="宋体" w:hAnsi="宋体" w:hint="eastAsia"/>
            <w:noProof/>
            <w:sz w:val="24"/>
          </w:rPr>
          <w:t>十九、风险揭示</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_Toc243639072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112</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3" w:history="1">
        <w:r w:rsidRPr="00DF38D7">
          <w:rPr>
            <w:rStyle w:val="aa"/>
            <w:rFonts w:ascii="宋体" w:hAnsi="宋体" w:hint="eastAsia"/>
            <w:noProof/>
            <w:sz w:val="24"/>
          </w:rPr>
          <w:t>二十、基金合同的变更、终止与基金财产的清算</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_Toc243639073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119</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4" w:history="1">
        <w:r w:rsidRPr="00DF38D7">
          <w:rPr>
            <w:rStyle w:val="aa"/>
            <w:rFonts w:ascii="宋体" w:hAnsi="宋体" w:hint="eastAsia"/>
            <w:noProof/>
            <w:sz w:val="24"/>
          </w:rPr>
          <w:t>二十一、基金合同内容摘要</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_Toc243639074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121</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5" w:history="1">
        <w:r w:rsidRPr="00DF38D7">
          <w:rPr>
            <w:rStyle w:val="aa"/>
            <w:rFonts w:ascii="宋体" w:hAnsi="宋体" w:hint="eastAsia"/>
            <w:noProof/>
            <w:sz w:val="24"/>
          </w:rPr>
          <w:t>二十二、托管协议的内容摘要</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_Toc243639075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137</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6" w:history="1">
        <w:r w:rsidRPr="00DF38D7">
          <w:rPr>
            <w:rStyle w:val="aa"/>
            <w:rFonts w:ascii="宋体" w:hAnsi="宋体" w:hint="eastAsia"/>
            <w:noProof/>
            <w:sz w:val="24"/>
          </w:rPr>
          <w:t>二十三、对基金份额持有人的服务</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_Toc243639076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150</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7" w:history="1">
        <w:r w:rsidRPr="00DF38D7">
          <w:rPr>
            <w:rStyle w:val="aa"/>
            <w:rFonts w:ascii="宋体" w:hAnsi="宋体" w:hint="eastAsia"/>
            <w:noProof/>
            <w:sz w:val="24"/>
          </w:rPr>
          <w:t>二十四、其他应披露事项</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_Toc243639077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152</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8" w:history="1">
        <w:r w:rsidRPr="00DF38D7">
          <w:rPr>
            <w:rStyle w:val="aa"/>
            <w:rFonts w:ascii="宋体" w:hAnsi="宋体" w:hint="eastAsia"/>
            <w:noProof/>
            <w:sz w:val="24"/>
          </w:rPr>
          <w:t>二十五、招募说明书的存放及查阅方式</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_Toc243639078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154</w:t>
        </w:r>
        <w:r w:rsidRPr="00DF38D7">
          <w:rPr>
            <w:rFonts w:ascii="宋体" w:hAnsi="宋体"/>
            <w:noProof/>
            <w:sz w:val="24"/>
          </w:rPr>
          <w:fldChar w:fldCharType="end"/>
        </w:r>
      </w:hyperlink>
    </w:p>
    <w:p w:rsidR="00DF38D7" w:rsidRPr="00DF38D7" w:rsidRDefault="00DF38D7" w:rsidP="00DF38D7">
      <w:pPr>
        <w:pStyle w:val="10"/>
        <w:tabs>
          <w:tab w:val="right" w:leader="dot" w:pos="8550"/>
        </w:tabs>
        <w:spacing w:line="360" w:lineRule="auto"/>
        <w:rPr>
          <w:rFonts w:ascii="宋体" w:hAnsi="宋体" w:cstheme="minorBidi"/>
          <w:noProof/>
          <w:sz w:val="24"/>
        </w:rPr>
      </w:pPr>
      <w:hyperlink w:anchor="_Toc243639079" w:history="1">
        <w:r w:rsidRPr="00DF38D7">
          <w:rPr>
            <w:rStyle w:val="aa"/>
            <w:rFonts w:ascii="宋体" w:hAnsi="宋体" w:hint="eastAsia"/>
            <w:noProof/>
            <w:sz w:val="24"/>
          </w:rPr>
          <w:t>二十六、备查文件</w:t>
        </w:r>
        <w:r w:rsidRPr="00DF38D7">
          <w:rPr>
            <w:rFonts w:ascii="宋体" w:hAnsi="宋体"/>
            <w:noProof/>
            <w:sz w:val="24"/>
          </w:rPr>
          <w:tab/>
        </w:r>
        <w:r w:rsidRPr="00DF38D7">
          <w:rPr>
            <w:rFonts w:ascii="宋体" w:hAnsi="宋体"/>
            <w:noProof/>
            <w:sz w:val="24"/>
          </w:rPr>
          <w:fldChar w:fldCharType="begin"/>
        </w:r>
        <w:r w:rsidRPr="00DF38D7">
          <w:rPr>
            <w:rFonts w:ascii="宋体" w:hAnsi="宋体"/>
            <w:noProof/>
            <w:sz w:val="24"/>
          </w:rPr>
          <w:instrText xml:space="preserve"> PAGEREF _Toc243639079 \h </w:instrText>
        </w:r>
        <w:r w:rsidRPr="00DF38D7">
          <w:rPr>
            <w:rFonts w:ascii="宋体" w:hAnsi="宋体"/>
            <w:noProof/>
            <w:sz w:val="24"/>
          </w:rPr>
        </w:r>
        <w:r w:rsidRPr="00DF38D7">
          <w:rPr>
            <w:rFonts w:ascii="宋体" w:hAnsi="宋体"/>
            <w:noProof/>
            <w:sz w:val="24"/>
          </w:rPr>
          <w:fldChar w:fldCharType="separate"/>
        </w:r>
        <w:r w:rsidRPr="00DF38D7">
          <w:rPr>
            <w:rFonts w:ascii="宋体" w:hAnsi="宋体"/>
            <w:noProof/>
            <w:sz w:val="24"/>
          </w:rPr>
          <w:t>155</w:t>
        </w:r>
        <w:r w:rsidRPr="00DF38D7">
          <w:rPr>
            <w:rFonts w:ascii="宋体" w:hAnsi="宋体"/>
            <w:noProof/>
            <w:sz w:val="24"/>
          </w:rPr>
          <w:fldChar w:fldCharType="end"/>
        </w:r>
      </w:hyperlink>
    </w:p>
    <w:p w:rsidR="0039616E" w:rsidRPr="00DF38D7" w:rsidRDefault="00DF38D7" w:rsidP="00DF38D7">
      <w:pPr>
        <w:pStyle w:val="ad"/>
        <w:snapToGrid w:val="0"/>
        <w:spacing w:after="240" w:line="360" w:lineRule="auto"/>
        <w:jc w:val="center"/>
        <w:rPr>
          <w:rFonts w:ascii="宋体" w:hAnsi="宋体"/>
          <w:color w:val="000000"/>
          <w:sz w:val="24"/>
        </w:rPr>
      </w:pPr>
      <w:r w:rsidRPr="00DF38D7">
        <w:rPr>
          <w:rFonts w:ascii="宋体" w:hAnsi="宋体"/>
          <w:color w:val="000000"/>
          <w:position w:val="-4"/>
          <w:sz w:val="24"/>
          <w:szCs w:val="30"/>
        </w:rPr>
        <w:fldChar w:fldCharType="end"/>
      </w:r>
      <w:bookmarkStart w:id="3" w:name="_GoBack"/>
      <w:bookmarkEnd w:id="3"/>
    </w:p>
    <w:p w:rsidR="0039616E" w:rsidRDefault="0039616E">
      <w:pPr>
        <w:autoSpaceDE w:val="0"/>
        <w:autoSpaceDN w:val="0"/>
        <w:adjustRightInd w:val="0"/>
        <w:snapToGrid w:val="0"/>
        <w:spacing w:line="360" w:lineRule="auto"/>
        <w:ind w:left="120" w:rightChars="6" w:right="13"/>
        <w:rPr>
          <w:rFonts w:ascii="宋体" w:hAnsi="宋体"/>
          <w:kern w:val="0"/>
          <w:szCs w:val="24"/>
        </w:rPr>
        <w:sectPr w:rsidR="0039616E">
          <w:pgSz w:w="11920" w:h="16840"/>
          <w:pgMar w:top="1480" w:right="1680" w:bottom="280" w:left="1680" w:header="0" w:footer="1073" w:gutter="0"/>
          <w:cols w:space="720"/>
        </w:sectPr>
      </w:pPr>
    </w:p>
    <w:p w:rsidR="0039616E" w:rsidRDefault="000E5081">
      <w:pPr>
        <w:pStyle w:val="1"/>
        <w:snapToGrid w:val="0"/>
        <w:spacing w:beforeLines="0" w:before="240" w:after="240"/>
        <w:rPr>
          <w:rFonts w:ascii="宋体" w:hAnsi="宋体"/>
          <w:szCs w:val="30"/>
        </w:rPr>
      </w:pPr>
      <w:bookmarkStart w:id="4" w:name="_Toc243639054"/>
      <w:r>
        <w:rPr>
          <w:rFonts w:ascii="Times New Roman" w:hAnsi="Times New Roman"/>
          <w:sz w:val="30"/>
        </w:rPr>
        <w:lastRenderedPageBreak/>
        <w:t>一、绪言</w:t>
      </w:r>
      <w:bookmarkEnd w:id="4"/>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强化回报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强化回报债券型证券投资基金基金合同》（以下简称“基金合同”）编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5" w:name="_Toc243639055"/>
      <w:r>
        <w:rPr>
          <w:rFonts w:ascii="Times New Roman" w:hAnsi="Times New Roman"/>
          <w:sz w:val="30"/>
        </w:rPr>
        <w:lastRenderedPageBreak/>
        <w:t>二、释义</w:t>
      </w:r>
      <w:bookmarkEnd w:id="5"/>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1、基金或本基金：指交银施罗德强化回报债券型证券投资基金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4、基金合同、《基金合同》或本基金合同：指《交银施罗德强化回报债券型证券投资基金基金合同》及对本基金合同的任何有效修订和补充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5、托管协议：指基金管理人与基金托管人就本基金签订之《交银施罗德强化回报债券型证券投资基金托管协议》及对该托管协议的任何有效修订和补充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6、招募说明书或《招募说明书》或本招募说明书：指《交银施罗德强化回报债券型证券投资基金招募说明书》及其更新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7、基金份额发售公告：指《交银施罗德强化回报债券型证券投资基金基金份额发售公告》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8、基金产品资料概要：指《交银施罗德强化回报债券型证券投资基金基金产品资料概要》及其更新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24、直销机构：指交银施罗德基金管理有限公司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代销机构：指符合《销售办法》和中国证监会规定的其他条件，取得基金销售业务资格并接受基金管理人委托，代为办理基金销售业务的机构以及可通过上海证券交易所开放式基金销售系统办理基金销售业务的会员单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具有开放式基金销售业务资格，经上海证券交易所和中国证券登记结算有限责任公司认可的、可通过上海证券交易所开放式基金销售系统办理开放式基金的认购、申购、赎回和转托管等业务的上海证券交易所会员单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30、基金账户：指登记机构为投资人开立的、记录其持有的、基金管理人所管理的基金份额余额及其变动情况的账户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或证券投资基金账户，投资人通过上海证券交易所开放式基金销售系统办理申购、赎回等业务时需持有上海证券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w:t>
      </w:r>
      <w:r>
        <w:rPr>
          <w:rFonts w:ascii="宋体" w:hAnsi="宋体"/>
          <w:sz w:val="24"/>
        </w:rPr>
        <w:lastRenderedPageBreak/>
        <w:t>国证券登记结算有限责任公司场内业务有关规则及其不时做出的修订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44、认购：指在基金募集期内，投资人根据基金合同和招募说明书的规定申请购买基金份额的行为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51、销售服务费：指从基金资产中计提的，用于本基金市场推广、销售以及基金份额持有人服务的费用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且从本类别基金资产中计提销售服务费的，称为C类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53、基金转换：指基金份额持有人按照本基金合同和基金管理人届时有效公告规定的条件，申请将其持有基金管理人管理的、某一基金的基金份额转换为基金管理人管理的其他基金基金份额的行为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w:t>
      </w:r>
      <w:r>
        <w:rPr>
          <w:rFonts w:ascii="宋体" w:hAnsi="宋体"/>
          <w:sz w:val="24"/>
        </w:rPr>
        <w:lastRenderedPageBreak/>
        <w:t>款并于每期约定的申购日受理基金申购申请的一种投资方式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59、基金资产总值：指基金拥有的各类有价证券、银行存款本息、基金应收申购款及其他资产的价值总和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61、基金份额净值：指计算日基金资产净值除以计算日基金份额总数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67、不可抗力：指本基金合同当事人不能预见、不能避免且不能克服的客观事</w:t>
      </w:r>
      <w:r>
        <w:rPr>
          <w:rFonts w:ascii="宋体" w:hAnsi="宋体"/>
          <w:sz w:val="24"/>
        </w:rPr>
        <w:lastRenderedPageBreak/>
        <w:t>件</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6" w:name="_Toc243639056"/>
      <w:r>
        <w:rPr>
          <w:rFonts w:ascii="Times New Roman" w:hAnsi="Times New Roman"/>
          <w:sz w:val="30"/>
        </w:rPr>
        <w:lastRenderedPageBreak/>
        <w:t>三、基金管理人</w:t>
      </w:r>
      <w:bookmarkEnd w:id="6"/>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增利债券证券投资基金(2026年10月21日至今)、交银施罗德中高等级信用债</w:t>
      </w:r>
      <w:r>
        <w:rPr>
          <w:rFonts w:ascii="宋体" w:hAnsi="宋体"/>
          <w:sz w:val="24"/>
        </w:rPr>
        <w:lastRenderedPageBreak/>
        <w:t>债券型证券投资基金(2026年10月21日至今)、交银施罗德信用添利债券证券投资基金（LOF）(2026年10月21日至今)、交银施罗德强化回报债券型证券投资基金(2026年10月21日至今)、交银施罗德鸿宁三个月持有期债券型证券投资基金(2026年10月21日至今)、交银施罗德双利债券证券投资基金(2026年10月21日至今)的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赵凌琦女士(2014年01月28日至2015年08月14日)；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李德亮先生(2014年01月28日至2015年08月28日)；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孙超先生(2014年08月26日至2017年06月21日)；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于海颖女士(2017年06月10日至2019年03月14日)；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凌超先生(2018年02月13日至2020年07月22日)；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唐赟先生(2020年07月14日至2023年05月06日)。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8、办理与基金财产管理业务活动有关的信息披露事项；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7" w:name="_Toc243639057"/>
      <w:r>
        <w:rPr>
          <w:rFonts w:ascii="Times New Roman" w:hAnsi="Times New Roman"/>
          <w:sz w:val="30"/>
        </w:rPr>
        <w:lastRenderedPageBreak/>
        <w:t>四、基金托管人</w:t>
      </w:r>
      <w:bookmarkEnd w:id="7"/>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8" w:name="_Toc243639058"/>
      <w:r>
        <w:rPr>
          <w:rFonts w:ascii="Times New Roman" w:hAnsi="Times New Roman"/>
          <w:sz w:val="30"/>
        </w:rPr>
        <w:lastRenderedPageBreak/>
        <w:t>五、相关服务机构</w:t>
      </w:r>
      <w:bookmarkEnd w:id="8"/>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具有基金销售资格的上海证券交易所场内会员单位（具体名单见上海证券交易所网站）。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（2）名称：杭州银行股份有限公司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传真：010-68121816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（12）名称：瑞银证券有限责任公司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住所：北京市西城区金融大街7号英蓝国际金融中心12层、15层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（13）名称：光大证券股份有限公司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（16）名称：兴业证券股份有限公司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（17）名称：华龙证券股份有限公司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（18）名称：长城国瑞证券有限公司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（19）名称：长江证券股份有限公司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（20）名称：华西证券股份有限公司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（21）名称：粤开证券股份有限公司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（22）名称：西南证券股份有限公司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（23）名称：信达证券股份有限公司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（24）名称：渤海证券股份有限公司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（25）名称：国金证券股份有限公司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（26）名称：长城证券有限责任公司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（28）名称：江海证券有限公司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办公地址：北京市东城区东直门南大街3号国华投资大厦9层10层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（38）名称：国泰海通证券股份有限公司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（39）名称：华泰证券股份有限公司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（40）名称：北京广源达信基金销售有限公司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电话：400-616-7531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（41）名称：济安财富（北京）基金销售有限公司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（42）名称：大连网金基金销售有限公司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（43）名称：阳光人寿保险股份有限公司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（44）名称：玄元保险代理有限公司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（45）名称：上海大智慧基金销售有限公司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（47）名称：珠海盈米基金销售有限公司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住所：珠海市横琴新区宝华路6号105室-3491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（48）名称：上海华夏财富投资管理有限公司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（49）名称：北京度小满基金销售有限公司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（50）名称：南京苏宁基金销售有限公司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电话：025-66996699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（51）名称：嘉实财富管理有限公司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（52）名称：北京汇成基金销售有限公司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（53）名称：上海利得基金销售有限公司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客服电话：400-032-5885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（54）名称：北京虹点基金销售有限公司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（55）名称：上海挖财基金销售有限公司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（56）名称：万家财富基金销售（天津）有限公司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（57）名称：上海万得基金销售有限公司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（58）名称：格上富信投资顾问有限公司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（59）名称：深圳市金斧子基金销售有限公司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（62）名称：上海证达通基金销售有限公司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（64）名称：奕丰基金销售有限公司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（65）名称：上海天天基金销售有限公司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（66）名称：和讯信息科技有限公司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（67）名称：诺亚正行基金销售有限公司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（68）名称：上海好买基金销售有限公司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（69）名称：上海长量基金销售有限公司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（71）名称：深圳市新兰德证券投资咨询有限公司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（73）名称：泛华普益基金销售有限公司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（74）名称：上海联泰基金销售有限公司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网址：https://fund.10jqka.com.cn/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（77）名称：上海基煜基金销售有限公司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（78）名称：天相投资顾问有限公司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（80）名称：博时财富基金销售有限公司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（81）名称：蚂蚁（杭州）基金销售有限公司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（82）名称：京东肯特瑞基金销售有限公司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（83）名称：上海陆金所基金销售有限公司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基金管理人可根据有关法律法规的要求，选择其它符合要求的机构代理销售本基金，并及时公告。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办公地址：北京市东城区东长安街1号东方广场安永大楼17层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9" w:name="_Toc243639059"/>
      <w:r>
        <w:rPr>
          <w:rFonts w:ascii="Times New Roman" w:hAnsi="Times New Roman"/>
          <w:sz w:val="30"/>
        </w:rPr>
        <w:lastRenderedPageBreak/>
        <w:t>六、基金的募集</w:t>
      </w:r>
      <w:bookmarkEnd w:id="9"/>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本基金由基金管理人依照《基金法》、《运作办法》、基金合同及其他有关规定，并经中国证监会证监许可【2013】1443号文准予募集注册。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本基金自2014年1月6日至2014年1月23日进行发售。本基金设立募集期共募集255,571,553.76份基金份额，有效认购户数为1535户。</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0" w:name="_Toc243639060"/>
      <w:r>
        <w:rPr>
          <w:rFonts w:ascii="Times New Roman" w:hAnsi="Times New Roman"/>
          <w:sz w:val="30"/>
        </w:rPr>
        <w:lastRenderedPageBreak/>
        <w:t>七、基金合同的生效</w:t>
      </w:r>
      <w:bookmarkEnd w:id="10"/>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根据有关规定，本基金满足基金合同生效条件，基金合同已于2014年1月28日正式生效。自基金合同生效之日起，本基金管理人正式开始管理本基金。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1" w:name="_Toc243639061"/>
      <w:r>
        <w:rPr>
          <w:rFonts w:ascii="Times New Roman" w:hAnsi="Times New Roman"/>
          <w:sz w:val="30"/>
        </w:rPr>
        <w:lastRenderedPageBreak/>
        <w:t>八、基金份额的申购与赎回</w:t>
      </w:r>
      <w:bookmarkEnd w:id="11"/>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本基金的场外代销机构参见本招募说明书“五、相关服务机构”章节或拨打基金管理人客户服务电话进行咨询。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（二）申购和赎回的开放日及时间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本基金已于2014年2月28日起开放场外申购业务，2014年3月3日起开放场内申购业务。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本基金已于2014年2月28日起开放场外赎回业务，2014年3月3日起开放场内赎回业务。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5、投资人通过上海证券交易所开放式基金销售系统办理本基金的场内申购、赎回业务时，需遵守上海证券交易所和中国证券登记结算有限责任公司的相关业务</w:t>
      </w:r>
      <w:r>
        <w:rPr>
          <w:rFonts w:ascii="宋体" w:hAnsi="宋体"/>
          <w:sz w:val="24"/>
        </w:rPr>
        <w:lastRenderedPageBreak/>
        <w:t>规则。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场外申购时，场外代销机构每个账户单笔申购的最低金额为单笔1元，如果代销机构业务规则规定的最低单笔申购金额高于1元，以代销机构的规定为准。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（五）申购和赎回的程序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本基金合同有关条款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w:t>
      </w:r>
      <w:r>
        <w:rPr>
          <w:rFonts w:ascii="宋体" w:hAnsi="宋体"/>
          <w:sz w:val="24"/>
        </w:rPr>
        <w:lastRenderedPageBreak/>
        <w:t>除权益并办理相应的登记手续。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时支付申购费用，申购B类基金份额在赎回时才支付相应的申购费用，申购C类基金份额不支付申购费用，而是从该类别基金资产中计提销售服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本基金自2014年2月28日起，对通过基金管理人直销柜台申购A类基金份额的养</w:t>
      </w:r>
      <w:r>
        <w:rPr>
          <w:rFonts w:ascii="宋体" w:hAnsi="宋体"/>
          <w:sz w:val="24"/>
        </w:rPr>
        <w:lastRenderedPageBreak/>
        <w:t>老金客户实施特定申购费率。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基金份额赎回人承担，赎回费总额的25%应归基金财产，其余用于支付登记费和其他必要的手续费。其中，对持续持有期少于7日的投资者收取不低于1.5%的赎回费并全额计入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9616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9616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9616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616E" w:rsidRDefault="0039616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场外申购份额计算结果按四舍五入方法，保留到小数点后2位，由此产生的收益或损失由基金财产承担，场内申购份额计算结果按舍去尾数的方法，保留到整数位，剩余部分折回金额返回投资人，折回金额的计算保留到小数点后2位，小数点2位以后的部分四舍五入，由此产生的收益或损失由基金财产承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（注：对于适用固定金额申购费用的申购，申购费用＝固定申购费用金额）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DF38D7">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5pt;height:32.25pt">
            <v:imagedata r:id="rId15" o:title="1521256610242020828"/>
          </v:shape>
        </w:pic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如果该投资者是场内申购，则其可得到的申购份额为95,390份，其余0.72份对应金额返回给投资者。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即：该养老金客户资100,000元通过基金管理人的直销柜台申购本基金的A类基金份额，假设申购当日A/B类基金份额净值为1.0400元，则其可得到95,847.13份A类基金份额。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DF38D7">
        <w:rPr>
          <w:rFonts w:ascii="宋体" w:hAnsi="宋体"/>
          <w:kern w:val="0"/>
          <w:sz w:val="24"/>
        </w:rPr>
        <w:pict>
          <v:shape id="_x0000_i1026" type="#_x0000_t75" style="width:161.25pt;height:39.75pt">
            <v:imagedata r:id="rId16" o:title="1521256610242020828"/>
          </v:shape>
        </w:pic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w:t>
      </w:r>
      <w:r>
        <w:rPr>
          <w:rFonts w:ascii="宋体" w:hAnsi="宋体"/>
          <w:sz w:val="24"/>
        </w:rPr>
        <w:lastRenderedPageBreak/>
        <w:t>类基金份额净值为1.0400元，则其可得到的申购份额为：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赎回费用＝赎回总额×赎回费率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 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w:t>
      </w:r>
      <w:r>
        <w:rPr>
          <w:rFonts w:ascii="宋体" w:hAnsi="宋体"/>
          <w:sz w:val="24"/>
        </w:rPr>
        <w:lastRenderedPageBreak/>
        <w:t>位四舍五入，由此误差产生的收益或损失由基金财产承担。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w:t>
      </w:r>
      <w:r>
        <w:rPr>
          <w:rFonts w:ascii="宋体" w:hAnsi="宋体"/>
          <w:sz w:val="24"/>
        </w:rPr>
        <w:lastRenderedPageBreak/>
        <w:t>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当发生上述延期赎回并延期办理时，基金管理人应当通过邮寄、传真、刊登公告或者通知代销机构代为告知等方式在3个交易日内通知基金份额持有人，说明有关处理方法，并在2日内在在指定媒介上刊登公告。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w:t>
      </w:r>
      <w:r>
        <w:rPr>
          <w:rFonts w:ascii="宋体" w:hAnsi="宋体"/>
          <w:sz w:val="24"/>
        </w:rPr>
        <w:lastRenderedPageBreak/>
        <w:t>述何种情况下，接受划转的主体必须是依法可以持有本基金基金份额的投资人。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2月25日刊登公告自2014年2月28日起开通定期定额投资计划业务，具体开通销售机构名单和业务规则参见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（十六）其他业务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2" w:name="_Toc243639062"/>
      <w:r>
        <w:rPr>
          <w:rFonts w:ascii="Times New Roman" w:hAnsi="Times New Roman"/>
          <w:sz w:val="30"/>
        </w:rPr>
        <w:lastRenderedPageBreak/>
        <w:t>九、基金的转换</w:t>
      </w:r>
      <w:bookmarkEnd w:id="12"/>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本基金2014年3月5日刊登公告自2014年3月10日起开放日常转换业务。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3" w:name="_Toc243639063"/>
      <w:r>
        <w:rPr>
          <w:rFonts w:ascii="Times New Roman" w:hAnsi="Times New Roman"/>
          <w:sz w:val="30"/>
        </w:rPr>
        <w:lastRenderedPageBreak/>
        <w:t>十、基金的投资</w:t>
      </w:r>
      <w:bookmarkEnd w:id="13"/>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本基金在严格控制风险和保持资产流动性的前提下，重点投资于债券资产，力争实现基金资产的长期稳定增值。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w:t>
      </w:r>
      <w:r>
        <w:rPr>
          <w:rFonts w:ascii="宋体" w:hAnsi="宋体"/>
          <w:sz w:val="24"/>
        </w:rPr>
        <w:lastRenderedPageBreak/>
        <w:t>产、权益类资产和现金类资产的配置比例，并根据市场运行状况以及各类资产预期表现的相对变化，动态调整大类资产的配置比例，有效控制基金资产运作风险，提高基金资产风险调整后收益。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（3）债券的类属配置策略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w:t>
      </w:r>
      <w:r>
        <w:rPr>
          <w:rFonts w:ascii="宋体" w:hAnsi="宋体"/>
          <w:sz w:val="24"/>
        </w:rPr>
        <w:lastRenderedPageBreak/>
        <w:t>债券池；然后基于既定的目标久期、信用利差精选个券进行投资。具体而言，本基金信用债券的投资遵循以下流程：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3、股票投资策略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（1）债券的投资比例不低于基金资产的80%，股票、权证等权益类资产的投资比例不高于基金资产净值的20%；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（14）本基金进入全国银行间同业市场进行债券回购的资金余额不得超过基金资产净值的40%；本基金进入全国银行间同业市场进行债券回购的最长期限为1年，债券回购到期后不得展期；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为维护基金份额持有人的合法权益，基金财产不得用于下列投资或者活动：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本基金业绩比较基准：中债-综合全价（1-3年）指数收益率×60%+中证可转换债券指数收益率×35%+活期存款基准利率×5%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资产，相应选取与之匹配的债券指数作为基准要素。同时基于基金投资于债券资产的比例不低于基金资产的80%等投资比例限制，以及预期的资产配置比例，本基金将除可转换债券外的债券资产、可转换债券资产、现金类资产所对应的基准要素权重设置为60%、35%、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除可转换债券外的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除可转换债券外的债券部分的业绩比较基准要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 1-3 年（含 1 年），适合作为本基金除可转换债券外的债券部分的业绩比较基准要素。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适度投资于可转换债券，通过对债券市场、股票市场及对具体个券的股性、债性的比较分析，优选最合适的券种进入组合，以获取超额收益。综合考虑基准指数与产品定位和投资风格的</w:t>
      </w:r>
      <w:r>
        <w:rPr>
          <w:rFonts w:ascii="宋体" w:hAnsi="宋体"/>
          <w:sz w:val="24"/>
        </w:rPr>
        <w:lastRenderedPageBreak/>
        <w:t>匹配度，同时兼顾考虑基准指数的表征性、认可度，以及样本覆盖、收益特征等，本基金选取中证可转换债券指数作为可转换债券部分的业绩比较基准要素。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中证可转换债券指数的样本由在沪深证券交易所上市的可转换债券组成，以反映国内市场可转换债券的总体表现，适合作为本基金可转换债券部分的业绩比较基准要素。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（4）基于基金投资目标、投资范围和投资策略，本基金可持有一定比例现金类资产，以匹配流动性管理需求。活期存款基准利率具有较强的权威性和市场影响力，适合作为本基金现金类资产的业绩比较基准。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中证可转换债券指数由中证指数有限公司编制发布，指数代码为000832，指数具体信息详见中证指数有限公司网站，网址：www.csindex.com.cn。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综合全价（1-3年）指数、中证可转换债券指数和活期存款基准利率的每日收益率，再按照预设权重比例计算当日组合要素基准的日收益率，并连乘每日收益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w:t>
      </w:r>
      <w:r>
        <w:rPr>
          <w:rFonts w:ascii="宋体" w:hAnsi="宋体"/>
          <w:sz w:val="24"/>
        </w:rPr>
        <w:lastRenderedPageBreak/>
        <w:t>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（八）基金管理人代表基金行使股东及债权人权利的处理原则及方法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28,000,000.00</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18,406,100.07</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2,173,879,547.43</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140,850,490.41</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6.85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413,990,306.86</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20.14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40,876,969.87</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662,302,483.85</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32.21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603,696,015.90</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29.36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90.56</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70,665,671.23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3.44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70,184,819.18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62,313,945.21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61,839,830.14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3.01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461,840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2025年11月25日,央行广东省分行公示广东银罚决字[2025]44号行政处罚决定书,给予东莞银行股份有限公司罚没共计387.0396万元人民币的行政处罚。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w:t>
      </w:r>
      <w:r>
        <w:rPr>
          <w:rFonts w:ascii="宋体" w:hAnsi="宋体"/>
          <w:sz w:val="24"/>
        </w:rPr>
        <w:lastRenderedPageBreak/>
        <w:t>生银行股份有限公司5865万元人民币的行政处罚。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2025年04月17日,国家金融监督管理总局东莞监管分局公示东金罚决字[2025]7号行政处罚决定书,给予东莞银行股份有限公司25万元人民币的行政处罚。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106,085.13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14,925,234.15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250,725,861.19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25,618,721.16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23,991,035.80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23,267,916.80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21,604,589.43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21,325,836.33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19,993,307.95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19,906,192.97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18,784,902.56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18,725,419.48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17,477,885.97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15,412,109.15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15,331,176.75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15,106,365.74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15,017,325.74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14,486,001.00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13,798,509.74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13,659,323.48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13,134,622.28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12,818,694.75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12,296,974.29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10,186,506.75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9,983,184.64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9,139,907.15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8,323,424.23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7,955,987.04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7,245,313.72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6,613,092.10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6,551,453.75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5,733,828.55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5,656,206.44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5,559,515.99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福莱转债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5,259,937.71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4,626,342.95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4,622,496.57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4,359,982.31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4,309,882.84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4,261,719.37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3,964,850.83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3,924,405.21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神马转债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3,754,339.80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科利转债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3,227,742.38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3,223,701.13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3,174,096.71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3,038,176.72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2,672,497.32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2,660,492.36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2,629,636.77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2,576,511.32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2,394,285.91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2,385,908.13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113067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燃</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2,376,142.59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2,344,687.47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2,028,688.94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1,895,707.97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1,824,224.67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立高转债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1,765,371.72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亚科转债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1,764,799.06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1,754,218.49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1,715,795.13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1,702,402.01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1,626,110.21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爱迪转债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1,613,162.26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1,440,753.65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1,261,064.64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1,240,186.42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超声转债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1,078,647.67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国投转债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1,071,702.74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919,876.58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847,536.43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南航转债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806,393.77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761,661.89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719,569.08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658,889.47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627,387.97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550,457.48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538,613.72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123090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三诺转债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498,576.05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368,698.19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367,355.28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326,610.41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236,021.99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4" w:name="_Toc243639064"/>
      <w:r>
        <w:rPr>
          <w:rFonts w:ascii="Times New Roman" w:hAnsi="Times New Roman"/>
          <w:sz w:val="30"/>
        </w:rPr>
        <w:lastRenderedPageBreak/>
        <w:t>十一、基金的业绩</w:t>
      </w:r>
      <w:bookmarkEnd w:id="14"/>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15.13%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-13.99%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6.48%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9.55%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8.24%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21.02%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16.84%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-14.33%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-14.84%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6.64%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5.97%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6.04%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-6.49%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16.40%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39616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1.86%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bl>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9616E" w:rsidRDefault="000E508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交银施罗德强化回报债券型证券投资基金</w:t>
      </w:r>
    </w:p>
    <w:p w:rsidR="0039616E" w:rsidRDefault="000E508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39616E" w:rsidRDefault="000E508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（2014年1月28日至2026年03月31日）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p w:rsidR="0039616E" w:rsidRDefault="00DF38D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p w:rsidR="0039616E" w:rsidRDefault="00DF38D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5" w:name="_Toc243639065"/>
      <w:r>
        <w:rPr>
          <w:rFonts w:ascii="Times New Roman" w:hAnsi="Times New Roman"/>
          <w:sz w:val="30"/>
        </w:rPr>
        <w:lastRenderedPageBreak/>
        <w:t>十二、基金的财产</w:t>
      </w:r>
      <w:bookmarkEnd w:id="15"/>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6" w:name="_Toc243639066"/>
      <w:r>
        <w:rPr>
          <w:rFonts w:ascii="Times New Roman" w:hAnsi="Times New Roman"/>
          <w:sz w:val="30"/>
        </w:rPr>
        <w:lastRenderedPageBreak/>
        <w:t>十三、基金资产的估值</w:t>
      </w:r>
      <w:bookmarkEnd w:id="16"/>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w:t>
      </w:r>
      <w:r>
        <w:rPr>
          <w:rFonts w:ascii="宋体" w:hAnsi="宋体"/>
          <w:sz w:val="24"/>
        </w:rPr>
        <w:lastRenderedPageBreak/>
        <w:t>准确性、及时性。当基金份额净值小数点后第4位以内（含第4位) 发生估值错误时，视为基金份额净值错误。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（1）查明估值错误发生的原因，列明所有的当事人，并根据估值错误发生的原因确定估值错误的责任方；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w:t>
      </w:r>
      <w:r>
        <w:rPr>
          <w:rFonts w:ascii="宋体" w:hAnsi="宋体"/>
          <w:sz w:val="24"/>
        </w:rPr>
        <w:lastRenderedPageBreak/>
        <w:t>作为基金资产估值错误处理。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7" w:name="_Toc243639067"/>
      <w:r>
        <w:rPr>
          <w:rFonts w:ascii="Times New Roman" w:hAnsi="Times New Roman"/>
          <w:sz w:val="30"/>
        </w:rPr>
        <w:lastRenderedPageBreak/>
        <w:t>十四、基金收益与分配</w:t>
      </w:r>
      <w:bookmarkEnd w:id="17"/>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90%，若《基金合同》生效不满3个月可不进行收益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投资人同一日多次申报分红方式变更的，按照《业务规则》执行，最终确认的分红方式以登记机构记录为准。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8" w:name="_Toc243639068"/>
      <w:r>
        <w:rPr>
          <w:rFonts w:ascii="Times New Roman" w:hAnsi="Times New Roman"/>
          <w:sz w:val="30"/>
        </w:rPr>
        <w:lastRenderedPageBreak/>
        <w:t>十五、基金的费用与税收</w:t>
      </w:r>
      <w:bookmarkEnd w:id="18"/>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19" w:name="_Toc243639069"/>
      <w:r>
        <w:rPr>
          <w:rFonts w:ascii="Times New Roman" w:hAnsi="Times New Roman"/>
          <w:sz w:val="30"/>
        </w:rPr>
        <w:lastRenderedPageBreak/>
        <w:t>十六、基金的会计与审计</w:t>
      </w:r>
      <w:bookmarkEnd w:id="19"/>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0" w:name="_Toc243639070"/>
      <w:r>
        <w:rPr>
          <w:rFonts w:ascii="Times New Roman" w:hAnsi="Times New Roman"/>
          <w:sz w:val="30"/>
        </w:rPr>
        <w:lastRenderedPageBreak/>
        <w:t>十七、基金的信息披露</w:t>
      </w:r>
      <w:bookmarkEnd w:id="20"/>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次日，通过指定网站、基金销售机构网站或者营业网点披露开放日的A/B类基金份额和C类基金份额所对应的基金份额净值和基金份额累计净值。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1" w:name="_Toc243639071"/>
      <w:r>
        <w:rPr>
          <w:rFonts w:ascii="Times New Roman" w:hAnsi="Times New Roman"/>
          <w:sz w:val="30"/>
        </w:rPr>
        <w:lastRenderedPageBreak/>
        <w:t>十八、侧袋机制</w:t>
      </w:r>
      <w:bookmarkEnd w:id="21"/>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9616E" w:rsidRDefault="000E5081">
      <w:pPr>
        <w:pStyle w:val="1"/>
        <w:snapToGrid w:val="0"/>
        <w:spacing w:beforeLines="0" w:before="240" w:after="240"/>
        <w:rPr>
          <w:rFonts w:ascii="宋体" w:hAnsi="宋体"/>
          <w:szCs w:val="30"/>
        </w:rPr>
      </w:pPr>
      <w:bookmarkStart w:id="22" w:name="_Toc243639072"/>
      <w:r>
        <w:rPr>
          <w:rFonts w:ascii="Times New Roman" w:hAnsi="Times New Roman"/>
          <w:sz w:val="30"/>
        </w:rPr>
        <w:lastRenderedPageBreak/>
        <w:t>十九、风险揭示</w:t>
      </w:r>
      <w:bookmarkEnd w:id="22"/>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化。如果基金所投资的上市公司经营不善，其股票价格可能下跌，或者能够用于分配的利润减少，使基金投资收益下降。虽然基金可以通过投资多样化来分散这种非系统风险，但不能完全规避。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w:t>
      </w:r>
      <w:r>
        <w:rPr>
          <w:rFonts w:ascii="宋体" w:hAnsi="宋体"/>
          <w:sz w:val="24"/>
        </w:rPr>
        <w:lastRenderedPageBreak/>
        <w:t>时基金管理人应时刻防范可能产生的流动性风险，对流动性风险进行日常监控，保护持有人的利益。当实施备用的流动性风险管理工具时，有可能无法按合同约定的时限支付赎回款项。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3、本基金在主要投资于固定收益类资产的同时也积极关注股票、权证市场的投资机会，会因投资权益类资产而面临的权益类资产市场的系统性风险和个券风</w:t>
      </w:r>
      <w:r>
        <w:rPr>
          <w:rFonts w:ascii="宋体" w:hAnsi="宋体"/>
          <w:sz w:val="24"/>
        </w:rPr>
        <w:lastRenderedPageBreak/>
        <w:t>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（六）投资科创板股票的特定风险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国家对高新技术产业扶持力度及重视程度的变化会对科创板企业带来较大影响，国际经济形势变化对战略新兴产业及科创板个股也会带来政策影响。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（八）其他风险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3" w:name="_Toc243639073"/>
      <w:r>
        <w:rPr>
          <w:rFonts w:ascii="Times New Roman" w:hAnsi="Times New Roman"/>
          <w:sz w:val="30"/>
        </w:rPr>
        <w:lastRenderedPageBreak/>
        <w:t>二十、基金合同的变更、终止与基金财产的清算</w:t>
      </w:r>
      <w:bookmarkEnd w:id="23"/>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4" w:name="_Toc243639074"/>
      <w:r>
        <w:rPr>
          <w:rFonts w:ascii="Times New Roman" w:hAnsi="Times New Roman"/>
          <w:sz w:val="30"/>
        </w:rPr>
        <w:lastRenderedPageBreak/>
        <w:t>二十一、基金合同内容摘要</w:t>
      </w:r>
      <w:bookmarkEnd w:id="24"/>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回、转换和非交易过户等的业务规则；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1）终止《基金合同》；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7）在法律法规和基金合同规定的范围内调整本基金份额类别的设置；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w:t>
      </w:r>
      <w:r>
        <w:rPr>
          <w:rFonts w:ascii="宋体" w:hAnsi="宋体"/>
          <w:sz w:val="24"/>
        </w:rPr>
        <w:lastRenderedPageBreak/>
        <w:t>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3）有权出席基金份额持有人大会的基金份额持有人的权益登记日；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w:t>
      </w:r>
      <w:r>
        <w:rPr>
          <w:rFonts w:ascii="宋体" w:hAnsi="宋体"/>
          <w:sz w:val="24"/>
        </w:rPr>
        <w:lastRenderedPageBreak/>
        <w:t>人大会到会者在权益登记日代表的有效基金份额应不少于在权益登记日基金总份额的三分之一（含三分之一）。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（1）议事内容及提案权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w:t>
      </w:r>
      <w:r>
        <w:rPr>
          <w:rFonts w:ascii="宋体" w:hAnsi="宋体"/>
          <w:sz w:val="24"/>
        </w:rPr>
        <w:lastRenderedPageBreak/>
        <w:t>以特别决议通过事项以外的其他事项均以一般决议的方式通过。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w:t>
      </w:r>
      <w:r>
        <w:rPr>
          <w:rFonts w:ascii="宋体" w:hAnsi="宋体"/>
          <w:sz w:val="24"/>
        </w:rPr>
        <w:lastRenderedPageBreak/>
        <w:t>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基金份额持有人大会的决议自完成备案手续之日起生效。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w:t>
      </w:r>
      <w:r>
        <w:rPr>
          <w:rFonts w:ascii="宋体" w:hAnsi="宋体"/>
          <w:sz w:val="24"/>
        </w:rPr>
        <w:lastRenderedPageBreak/>
        <w:t>金清算。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基金财产清算账册及有关文件由基金托管人保存15年以上。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5" w:name="_Toc243639075"/>
      <w:r>
        <w:rPr>
          <w:rFonts w:ascii="Times New Roman" w:hAnsi="Times New Roman"/>
          <w:sz w:val="30"/>
        </w:rPr>
        <w:lastRenderedPageBreak/>
        <w:t>二十二、托管协议的内容摘要</w:t>
      </w:r>
      <w:bookmarkEnd w:id="25"/>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包括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1）本基金持有的债券的比例不低于基金资产的80%；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2）本基金投资于股票、权证等权益类资产的投资比例不高于基金资产净值的20%；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4）本基金持有一家上市公司的股票，其市值不超过基金资产净值的10%；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基金管理人管理的全部基金持有同一权证的比例不超过该权证的10%。本基金在任何交易日买入权证的总金额，不得超过上一交易日基金资产净值的0.5%；</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6）本基金进入全国银行间同业市场进行债券回购的资金余额不得超过基金资</w:t>
      </w:r>
      <w:r>
        <w:rPr>
          <w:rFonts w:ascii="宋体" w:hAnsi="宋体"/>
          <w:sz w:val="24"/>
        </w:rPr>
        <w:lastRenderedPageBreak/>
        <w:t>产净值的40%；本基金进入全国银行间同业市场进行债券回购的最长期限为1年,债券回购到期后不得展期；</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8）本基金应投资于信用级别评级为BBB以上（含BBB）的资产支持证券。基金持有资产支持证券期间，如果其信用等级下降、不再符合投资标准，应在评级报告发布之日起3个月内予以全部卖出；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10）本基金保持不低于基金资产净值5％的现金或者到期日在一年以内的政府债券，其中现金不包括结算备付金、存出保证金、应收申购款等；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11）本基金资产配置比例需满足基金合同中投资范围的约定；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除上述第8）、10）、13）、14）项外，因证券市场波动、上市公司合并、基金规</w:t>
      </w:r>
      <w:r>
        <w:rPr>
          <w:rFonts w:ascii="宋体" w:hAnsi="宋体"/>
          <w:sz w:val="24"/>
        </w:rPr>
        <w:lastRenderedPageBreak/>
        <w:t>模变动、股权分置改革中支付对价等基金管理人之外的因素致使基金投资比例不符合上述规定投资比例的，基金管理人应当在10个交易日内进行调整，以达到规定的投资比例限制要求。法律法规另有规定的，从其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基金管理人应当自基金合同生效之日起6个月内使基金的投资组合比例符合基金合同的有关约定。基金托管人对基金投资的监督与检查自基金合同生效之日起开始。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若基金托管人发现基金管理人与关联方进行违反法律法规规定的关联交易时，基金托管人应及时提醒并协助基金管理人采取必要措施阻止该交易的发生，若基金</w:t>
      </w:r>
      <w:r>
        <w:rPr>
          <w:rFonts w:ascii="宋体" w:hAnsi="宋体"/>
          <w:sz w:val="24"/>
        </w:rPr>
        <w:lastRenderedPageBreak/>
        <w:t>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w:t>
      </w:r>
      <w:r>
        <w:rPr>
          <w:rFonts w:ascii="宋体" w:hAnsi="宋体"/>
          <w:sz w:val="24"/>
        </w:rPr>
        <w:lastRenderedPageBreak/>
        <w:t>基金投资非公开发行股票，基金管理人还应提供基金管理人董事会批准的流动性风险处置预案。上述资料应包括但不限于基金投资流通受限证券的投资额度和投资比例控制情况。</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w:t>
      </w:r>
      <w:r>
        <w:rPr>
          <w:rFonts w:ascii="宋体" w:hAnsi="宋体"/>
          <w:sz w:val="24"/>
        </w:rPr>
        <w:lastRenderedPageBreak/>
        <w:t>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w:t>
      </w:r>
      <w:r>
        <w:rPr>
          <w:rFonts w:ascii="宋体" w:hAnsi="宋体"/>
          <w:sz w:val="24"/>
        </w:rPr>
        <w:lastRenderedPageBreak/>
        <w:t>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w:t>
      </w:r>
      <w:r>
        <w:rPr>
          <w:rFonts w:ascii="宋体" w:hAnsi="宋体"/>
          <w:sz w:val="24"/>
        </w:rPr>
        <w:lastRenderedPageBreak/>
        <w:t>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6、其他账户的开设和管理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（五）基金资产净值的计算</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每个工作日闭市后，该类基金份额的基金资产净值除以当日该类基金份额的数值。基金份额净值的计算保留到小数点后3位，小数点后第4位四舍五入，由此产生的误差计入基金财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基金管理人应每工作日对基金资产估值，但基金管理人根据法律法规或本基金合同的规定暂停估值时除外。估值原则应符合基金合同及相关法律、法规的规定。</w:t>
      </w:r>
      <w:r>
        <w:rPr>
          <w:rFonts w:ascii="宋体" w:hAnsi="宋体"/>
          <w:sz w:val="24"/>
        </w:rPr>
        <w:lastRenderedPageBreak/>
        <w:t>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本协议受中国法律管辖。</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本协议双方当事人经协商一致，可以对协议的内容进行变更。变更后的托管协议，其内容不得与基金合同的规定有任何冲突。本托管协议的变更报中国证监会备案后生效。</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6" w:name="_Toc243639076"/>
      <w:r>
        <w:rPr>
          <w:rFonts w:ascii="Times New Roman" w:hAnsi="Times New Roman"/>
          <w:sz w:val="30"/>
        </w:rPr>
        <w:lastRenderedPageBreak/>
        <w:t>二十三、对基金份额持有人的服务</w:t>
      </w:r>
      <w:bookmarkEnd w:id="26"/>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每次交易结束后，投资者可在T+2个工作日后到交易网点进行确认单的查询和打印，或通过交易网点提供的自助、电话、网上服务手段查询。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w:t>
      </w:r>
      <w:r>
        <w:rPr>
          <w:rFonts w:ascii="宋体" w:hAnsi="宋体"/>
          <w:sz w:val="24"/>
        </w:rPr>
        <w:lastRenderedPageBreak/>
        <w:t>账号后，及时拨打本基金管理人客户服务电话修改基金查询密码。</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7" w:name="_Toc243639077"/>
      <w:r>
        <w:rPr>
          <w:rFonts w:ascii="Times New Roman" w:hAnsi="Times New Roman"/>
          <w:sz w:val="30"/>
        </w:rPr>
        <w:lastRenderedPageBreak/>
        <w:t>二十四、其他应披露事项</w:t>
      </w:r>
      <w:bookmarkEnd w:id="27"/>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交银施罗德基金管理有限公司关于交银施罗德强化回报债券型证券投资基金暂停大额申购（转换转入、定期定额投资）业务的公告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39616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616E" w:rsidRDefault="000E508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8" w:name="_Toc243639078"/>
      <w:r>
        <w:rPr>
          <w:rFonts w:ascii="Times New Roman" w:hAnsi="Times New Roman"/>
          <w:sz w:val="30"/>
        </w:rPr>
        <w:lastRenderedPageBreak/>
        <w:t>二十五、招募说明书的存放及查阅方式</w:t>
      </w:r>
      <w:bookmarkEnd w:id="28"/>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E508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616E" w:rsidRDefault="000E5081">
      <w:pPr>
        <w:pStyle w:val="1"/>
        <w:snapToGrid w:val="0"/>
        <w:spacing w:beforeLines="0" w:before="240" w:after="240"/>
        <w:rPr>
          <w:rFonts w:ascii="宋体" w:hAnsi="宋体"/>
          <w:szCs w:val="30"/>
        </w:rPr>
      </w:pPr>
      <w:bookmarkStart w:id="29" w:name="_Toc243639079"/>
      <w:r>
        <w:rPr>
          <w:rFonts w:ascii="Times New Roman" w:hAnsi="Times New Roman"/>
          <w:sz w:val="30"/>
        </w:rPr>
        <w:lastRenderedPageBreak/>
        <w:t>二十六、备查文件</w:t>
      </w:r>
      <w:bookmarkEnd w:id="29"/>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（一）中国证监会准予交银施罗德强化回报债券型证券投资基金募集注册的文件</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（二）《交银施罗德强化回报债券型证券投资基金基金合同》</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（三）《交银施罗德强化回报债券型证券投资基金托管协议》</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9616E" w:rsidRDefault="000E508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（六）关于申请募集注册交银施罗德强化回报债券型证券投资基金之法律意见书</w:t>
      </w:r>
    </w:p>
    <w:sectPr w:rsidR="0039616E">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79B" w:rsidRDefault="000E5081">
      <w:r>
        <w:separator/>
      </w:r>
    </w:p>
  </w:endnote>
  <w:endnote w:type="continuationSeparator" w:id="0">
    <w:p w:rsidR="00AC579B" w:rsidRDefault="000E5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39616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DF38D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9616E" w:rsidRDefault="000E508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F38D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39616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DF38D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9616E" w:rsidRDefault="000E508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F38D7">
                  <w:rPr>
                    <w:rFonts w:ascii="Times New Roman" w:hAnsi="Times New Roman"/>
                    <w:noProof/>
                    <w:kern w:val="0"/>
                    <w:sz w:val="18"/>
                    <w:szCs w:val="18"/>
                  </w:rPr>
                  <w:t>155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79B" w:rsidRDefault="000E5081">
      <w:r>
        <w:separator/>
      </w:r>
    </w:p>
  </w:footnote>
  <w:footnote w:type="continuationSeparator" w:id="0">
    <w:p w:rsidR="00AC579B" w:rsidRDefault="000E5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39616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0E5081">
    <w:pPr>
      <w:pStyle w:val="a3"/>
      <w:jc w:val="right"/>
      <w:rPr>
        <w:rFonts w:ascii="宋体" w:hAnsi="宋体"/>
      </w:rPr>
    </w:pPr>
    <w:r>
      <w:rPr>
        <w:rFonts w:ascii="宋体" w:hAnsi="宋体" w:hint="eastAsia"/>
      </w:rPr>
      <w:t>交银施罗德强化回报债券型证券投资基金招募说明书更新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39616E">
    <w:pPr>
      <w:pStyle w:val="10"/>
      <w:jc w:val="right"/>
    </w:pPr>
  </w:p>
  <w:p w:rsidR="0039616E" w:rsidRDefault="0039616E">
    <w:pPr>
      <w:pStyle w:val="10"/>
      <w:jc w:val="right"/>
    </w:pPr>
  </w:p>
  <w:p w:rsidR="0039616E" w:rsidRDefault="0039616E">
    <w:pPr>
      <w:pStyle w:val="a3"/>
      <w:jc w:val="right"/>
    </w:pPr>
  </w:p>
  <w:p w:rsidR="0039616E" w:rsidRDefault="000E5081">
    <w:pPr>
      <w:pStyle w:val="a3"/>
      <w:jc w:val="right"/>
      <w:rPr>
        <w:rFonts w:ascii="宋体" w:hAnsi="宋体"/>
      </w:rPr>
    </w:pPr>
    <w:r>
      <w:rPr>
        <w:rFonts w:ascii="宋体" w:hAnsi="宋体" w:hint="eastAsia"/>
      </w:rPr>
      <w:t>交银施罗德强化回报债券型证券投资基金招募说明书更新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6E" w:rsidRDefault="0039616E">
    <w:pPr>
      <w:pStyle w:val="a3"/>
      <w:jc w:val="right"/>
    </w:pPr>
  </w:p>
  <w:p w:rsidR="0039616E" w:rsidRDefault="0039616E">
    <w:pPr>
      <w:pStyle w:val="a3"/>
      <w:jc w:val="right"/>
    </w:pPr>
  </w:p>
  <w:p w:rsidR="0039616E" w:rsidRDefault="0039616E">
    <w:pPr>
      <w:pStyle w:val="a3"/>
      <w:jc w:val="right"/>
    </w:pPr>
  </w:p>
  <w:p w:rsidR="0039616E" w:rsidRDefault="000E5081">
    <w:pPr>
      <w:pStyle w:val="a3"/>
      <w:jc w:val="right"/>
      <w:rPr>
        <w:rFonts w:ascii="宋体" w:hAnsi="宋体"/>
      </w:rPr>
    </w:pPr>
    <w:r>
      <w:rPr>
        <w:rFonts w:ascii="宋体" w:hAnsi="宋体" w:hint="eastAsia"/>
      </w:rPr>
      <w:t>交银施罗德强化回报债券型证券投资基金招募说明书更新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5081"/>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16E"/>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579B"/>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38D7"/>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BA9A3226-BA0D-4786-A029-467AAB9E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156</Pages>
  <Words>16309</Words>
  <Characters>92965</Characters>
  <Application>Microsoft Office Word</Application>
  <DocSecurity>0</DocSecurity>
  <Lines>774</Lines>
  <Paragraphs>218</Paragraphs>
  <ScaleCrop>false</ScaleCrop>
  <Company>Microsoft</Company>
  <LinksUpToDate>false</LinksUpToDate>
  <CharactersWithSpaces>109056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2026-10-23T01:10:00Z</dcterms:created>
  <dcterms:modified xsi:type="dcterms:W3CDTF">2026-10-23T01:10:00Z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