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交银施罗德中高等级信用债债券型证券投资基金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交银中高等级信用债债券</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2020-07-28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连端清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2022-07-06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中高等级信用债债券型证券投资基金由交银施罗德理财21天债券型证券投资基金转型而来，上述基金转型于2020年7月28日正式实施，自基金转型实施日起，《交银施罗德理财21天债券型证券投资基金基金合同》失效且《交银施罗德中高等级信用债债券型证券投资基金基金合同》同时生效，交银施罗德理财21天债券型证券投资基金正式变更为交银施罗德中高等级信用债债券型证券投资基金。</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本基金主要投资于中高等级信用债，力争持续稳定地实现超越业绩比较基准的投资回报。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中高等级信用债的比例不低于非现金基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中高等级信用债为信用评级在AA+级（含）以上的信用债，包括金融债（不包含政策性金融债）、地方政府债、政府支持债、政府支持机构债、企业债、公司债、可分离交易可转债的纯债部分、公开发行的次级债、短期融资券、超短期融资券、中期票据等非国家信用的债券资产。本基金对中高等级信用债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对于债项评级和主体评级均没有的信用债，基金管理人需结合自身的内部信用评级进行独立判断与认定，以基金管理人的判断结果为准。</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中债高信用等级债券财富指数收益率×95%＋人民币银行活期存款利率（税后）×5%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详见《交银施罗德中高等级信用债债券型证券投资基金招募说明书》“基金的投资”。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2、本基金于2020年7月28日转型，转型当年净值增长率按实际存续期计算。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其中投资于中高等级信用债的比例不低于非现金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（4）基金合同提前终止风险。连续五十个工作日出现基金份额持有人数量不满200人或者基金资产净值低于5000万元情形的，基金管理人提前终止基金合同，不需召开基金份额持有人大会。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●《交银施罗德中高等级信用债债券型证券投资基金基金合同》、</w:t>
      </w:r>
    </w:p>
    <w:p>
      <w:pPr>
        <w:ind w:firstLine="420"/>
        <w:jc w:val="left"/>
        <w:rPr>
          <w:rFonts w:ascii="仿宋_GB2312" w:eastAsia="仿宋_GB2312"/>
          <w:szCs w:val="21"/>
        </w:rPr>
      </w:pPr>
      <w:r>
        <w:rPr>
          <w:rFonts w:hint="eastAsia" w:ascii="仿宋_GB2312" w:eastAsia="仿宋_GB2312"/>
          <w:szCs w:val="21"/>
        </w:rPr>
        <w:t>《交银施罗德中高等级信用债债券型证券投资基金托管协议》、</w:t>
      </w:r>
    </w:p>
    <w:p>
      <w:pPr>
        <w:ind w:firstLine="420"/>
        <w:jc w:val="left"/>
        <w:rPr>
          <w:rFonts w:ascii="仿宋_GB2312" w:eastAsia="仿宋_GB2312"/>
          <w:szCs w:val="21"/>
        </w:rPr>
      </w:pPr>
      <w:r>
        <w:rPr>
          <w:rFonts w:hint="eastAsia" w:ascii="仿宋_GB2312" w:eastAsia="仿宋_GB2312"/>
          <w:szCs w:val="21"/>
        </w:rPr>
        <w:t>《交银施罗德中高等级信用债债券型证券投资基金招募说明书》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D3C6E"/>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9E07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694</Words>
  <Characters>3959</Characters>
  <Lines>32</Lines>
  <Paragraphs>9</Paragraphs>
  <TotalTime>0</TotalTime>
  <ScaleCrop>false</ScaleCrop>
  <LinksUpToDate>false</LinksUpToDate>
  <CharactersWithSpaces>4644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2026-10-23T01:10:00Z</dcterms:created>
  <dc:creator>Cc</dc:creator>
  <cp:lastModifiedBy>haotingting</cp:lastModifiedBy>
  <dcterms:modified xsi:type="dcterms:W3CDTF">2026-10-23T07:19:38Z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9272870B34F64C8CB09655BB6955DE3A</vt:lpwstr>
  </property>
</Properties>
</file>