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交银施罗德鸿宁三个月持有期债券型证券投资基金（C类份额）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34"/>
        <w:gridCol w:w="1484"/>
        <w:gridCol w:w="3327"/>
        <w:gridCol w:w="192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交银鸿宁三个月持有期债券C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026519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本基金为二级债基，在通常情况下，本基金的预期风险水平及净值波动水平高于纯债基金。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经中国证监会依法核准或注册的公开募集证券投资基金（仅包含全市场的境内股票型ETF及本基金管理人管理的股票型基金、计入权益类资产的混合型基金，不含香港互认基金、QDII基金、基金中基金、其他投资范围包含基金的基金、货币市场基金）、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投资于股票（含存托凭证）、股票型基金、计入权益类资产的混合型基金、可转换债券（可分离交易可转换债券的纯债部分除外）、可交换债券的比例占基金资产的5%-20%（其中投资于境内股票资产（含股票型 ETF）不低于基金资产的 5%，投资于港股通标的股票的比例占股票资产的0%-50%）；上述应计入权益类资产的混合型基金需符合下列两个条件之一：①基金合同中约定股票（含存托凭证）投资占基金资产的比例不低于60%的混合型基金；②最近四个季度披露的股票（含存托凭证）投资占基金资产的比例均不低于60%的混合型基金。本基金投资于经中国证监会依法核准或注册的公开募集的基金份额的比例不超过基金资产净值的10%。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等权益类资产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本基金采用的主要策略包括：1、大类资产配置；2、股票投资策略；3、基金投资策略；4、债券投资策略；5、国债期货投资策略；6、信用衍生品投资策略。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沪深300指数收益率×10%+恒生指数收益率×2%+中债综合全价指数收益率×88%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详见《交银施罗德鸿宁三个月持有期债券型证券投资基金招募说明书》“基金的投资”。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基金份额持有人持有的每份基金份额最短持有期限为三个月，最短持有期限届满后，本基金不收取赎回费。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66"/>
        <w:gridCol w:w="4163"/>
        <w:gridCol w:w="217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通过直销机构认购/申购的C类基金份额，计提的销售服务费将在投资人赎回相应基金份额或基金合同终止时随赎回款或清算款一并返还给投资人；通过其他销售机构认购/申购的C类基金份额，持续持有超过一年后计提的销售服务费将在投资人赎回相应基金份额或基金合同终止时随赎回款或清算款一并返还给投资人。3、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（3）本基金在主要投资于债券类资产的同时也积极关注股票市场的投资机会，会因投资权益类资产而面临权益类资产市场的系统性风险和个券风险；</w:t>
      </w:r>
    </w:p>
    <w:p>
      <w:pPr>
        <w:ind w:firstLine="420"/>
        <w:jc w:val="left"/>
        <w:rPr>
          <w:rFonts w:ascii="仿宋_GB2312" w:eastAsia="仿宋_GB2312"/>
          <w:szCs w:val="21"/>
        </w:rPr>
      </w:pPr>
      <w:r>
        <w:rPr>
          <w:rFonts w:hint="eastAsia" w:ascii="仿宋_GB2312" w:eastAsia="仿宋_GB2312"/>
          <w:szCs w:val="21"/>
        </w:rPr>
        <w:t>（4）最短持有期内不能赎回基金份额的风险</w:t>
      </w:r>
    </w:p>
    <w:p>
      <w:pPr>
        <w:ind w:firstLine="420"/>
        <w:jc w:val="left"/>
        <w:rPr>
          <w:rFonts w:ascii="仿宋_GB2312" w:eastAsia="仿宋_GB2312"/>
          <w:szCs w:val="21"/>
        </w:rPr>
      </w:pPr>
      <w:r>
        <w:rPr>
          <w:rFonts w:hint="eastAsia" w:ascii="仿宋_GB2312" w:eastAsia="仿宋_GB2312"/>
          <w:szCs w:val="21"/>
        </w:rPr>
        <w:t>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jc w:val="left"/>
        <w:rPr>
          <w:rFonts w:ascii="仿宋_GB2312" w:eastAsia="仿宋_GB2312"/>
          <w:szCs w:val="21"/>
        </w:rPr>
      </w:pPr>
      <w:r>
        <w:rPr>
          <w:rFonts w:hint="eastAsia" w:ascii="仿宋_GB2312" w:eastAsia="仿宋_GB2312"/>
          <w:szCs w:val="21"/>
        </w:rPr>
        <w:t>（5）投资其他基金的特定风险</w:t>
      </w:r>
    </w:p>
    <w:p>
      <w:pPr>
        <w:ind w:firstLine="420"/>
        <w:jc w:val="left"/>
        <w:rPr>
          <w:rFonts w:ascii="仿宋_GB2312" w:eastAsia="仿宋_GB2312"/>
          <w:szCs w:val="21"/>
        </w:rPr>
      </w:pPr>
      <w:r>
        <w:rPr>
          <w:rFonts w:hint="eastAsia" w:ascii="仿宋_GB2312" w:eastAsia="仿宋_GB2312"/>
          <w:szCs w:val="21"/>
        </w:rPr>
        <w:t>本基金可投资于全市场的境内股票型ETF及本基金管理人管理的股票型基金、计入权益类资产的混合型基金。本基金对被投资基金的评估具有一定的主观性，将在基金投资决策中给基金带来一定的不确定性的风险。被投资基金的波动会受到宏观经济环境、行业周期、基金经理管理能力和基金管理人自身经营状况等因素的影响。因此，本基金整体表现可能受所投资基金的影响。</w:t>
      </w:r>
    </w:p>
    <w:p>
      <w:pPr>
        <w:ind w:firstLine="420"/>
        <w:jc w:val="left"/>
        <w:rPr>
          <w:rFonts w:ascii="仿宋_GB2312" w:eastAsia="仿宋_GB2312"/>
          <w:szCs w:val="21"/>
        </w:rPr>
      </w:pPr>
      <w:r>
        <w:rPr>
          <w:rFonts w:hint="eastAsia" w:ascii="仿宋_GB2312" w:eastAsia="仿宋_GB2312"/>
          <w:szCs w:val="21"/>
        </w:rPr>
        <w:t>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（6）投资可上市交易基金的二级市场风险</w:t>
      </w:r>
    </w:p>
    <w:p>
      <w:pPr>
        <w:ind w:firstLine="420"/>
        <w:jc w:val="left"/>
        <w:rPr>
          <w:rFonts w:ascii="仿宋_GB2312" w:eastAsia="仿宋_GB2312"/>
          <w:szCs w:val="21"/>
        </w:rPr>
      </w:pPr>
      <w:r>
        <w:rPr>
          <w:rFonts w:hint="eastAsia" w:ascii="仿宋_GB2312" w:eastAsia="仿宋_GB2312"/>
          <w:szCs w:val="21"/>
        </w:rPr>
        <w:t>本基金可通过二级市场进行ETF的买卖交易，由此可能面临交易量不足所引起的流动性风险、交易价格与基金份额净值之间的折溢价风险以及被投资基金暂停交易或退市的风险等。</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（8）投资资产支持证券的特定风险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（9）投资流通受限证券的特定风险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（13）投资国债期货的特定风险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（14）信用衍生品投资风险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●《交银施罗德鸿宁三个月持有期债券型证券投资基金基金合同》、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《交银施罗德鸿宁三个月持有期债券型证券投资基金托管协议》、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《交银施罗德鸿宁三个月持有期债券型证券投资基金招募说明书》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06847"/>
    <w:rsid w:val="00D373CC"/>
    <w:rsid w:val="00DB319C"/>
    <w:rsid w:val="00E51B6D"/>
    <w:rsid w:val="00F75715"/>
    <w:rsid w:val="00F811C4"/>
    <w:rsid w:val="00FC2918"/>
    <w:rsid w:val="6C960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981</Words>
  <Characters>5595</Characters>
  <Lines>46</Lines>
  <Paragraphs>13</Paragraphs>
  <TotalTime>0</TotalTime>
  <ScaleCrop>false</ScaleCrop>
  <LinksUpToDate>false</LinksUpToDate>
  <CharactersWithSpaces>6563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2026-10-23T05:56:00Z</dcterms:created>
  <dc:creator>Cc</dc:creator>
  <cp:lastModifiedBy>haotingting</cp:lastModifiedBy>
  <dcterms:modified xsi:type="dcterms:W3CDTF">2026-10-23T05:58:04Z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C1DEE9CBDDB347DA8AC3D96254DE5C02</vt:lpwstr>
  </property>
</Properties>
</file>