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32FB7">
      <w:pPr>
        <w:rPr>
          <w:sz w:val="32"/>
        </w:rPr>
      </w:pPr>
    </w:p>
    <w:p w:rsidR="00C92FC0" w:rsidRPr="00EB07BC" w:rsidRDefault="00532FB7">
      <w:pPr>
        <w:rPr>
          <w:sz w:val="32"/>
        </w:rPr>
      </w:pPr>
    </w:p>
    <w:p w:rsidR="00C92FC0" w:rsidRPr="00EB07BC" w:rsidRDefault="00532FB7">
      <w:pPr>
        <w:rPr>
          <w:sz w:val="32"/>
        </w:rPr>
      </w:pPr>
    </w:p>
    <w:p w:rsidR="00B6164F" w:rsidRDefault="00B6164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6164F" w:rsidRDefault="00B6164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6164F" w:rsidRDefault="00B6164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6164F" w:rsidRDefault="00512F7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交银施罗德中高等级信用债债券型证券投资基金</w:t>
      </w:r>
    </w:p>
    <w:p w:rsidR="00B6164F" w:rsidRDefault="00512F7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6164F" w:rsidRDefault="00B6164F">
      <w:pPr>
        <w:snapToGrid w:val="0"/>
        <w:spacing w:line="360" w:lineRule="auto"/>
        <w:jc w:val="center"/>
        <w:rPr>
          <w:rFonts w:ascii="宋体" w:hAnsi="宋体"/>
          <w:b/>
          <w:sz w:val="30"/>
          <w:szCs w:val="30"/>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512F7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6164F" w:rsidRDefault="00512F7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B6164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6164F" w:rsidRDefault="00512F7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二〇二六年十月</w:t>
      </w:r>
    </w:p>
    <w:p w:rsidR="00B6164F" w:rsidRDefault="00B6164F">
      <w:pPr>
        <w:autoSpaceDE w:val="0"/>
        <w:autoSpaceDN w:val="0"/>
        <w:adjustRightInd w:val="0"/>
        <w:snapToGrid w:val="0"/>
        <w:spacing w:line="360" w:lineRule="auto"/>
        <w:ind w:left="1347" w:rightChars="6" w:right="13"/>
        <w:rPr>
          <w:rFonts w:ascii="宋体" w:hAnsi="宋体"/>
          <w:kern w:val="0"/>
          <w:sz w:val="32"/>
          <w:szCs w:val="32"/>
        </w:rPr>
        <w:sectPr w:rsidR="00B6164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6164F" w:rsidRDefault="00512F71">
      <w:pPr>
        <w:pStyle w:val="1"/>
        <w:snapToGrid w:val="0"/>
        <w:spacing w:beforeLines="0" w:before="240" w:after="240"/>
        <w:rPr>
          <w:rFonts w:ascii="宋体" w:hAnsi="宋体"/>
          <w:kern w:val="0"/>
        </w:rPr>
      </w:pPr>
      <w:bookmarkStart w:id="0" w:name="_Toc324920538"/>
      <w:bookmarkStart w:id="1" w:name="_Toc496884613"/>
      <w:bookmarkStart w:id="2" w:name="_Toc243639056"/>
      <w:r>
        <w:rPr>
          <w:rFonts w:ascii="Times New Roman" w:hAnsi="Times New Roman"/>
          <w:kern w:val="0"/>
        </w:rPr>
        <w:lastRenderedPageBreak/>
        <w:t>重要提示</w:t>
      </w:r>
      <w:bookmarkEnd w:id="0"/>
      <w:bookmarkEnd w:id="1"/>
      <w:bookmarkEnd w:id="2"/>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交银施罗德中高等级信用债债券型证券投资基金（以下简称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）由交银施罗德理财</w:t>
      </w:r>
      <w:r>
        <w:rPr>
          <w:rFonts w:ascii="Times New Roman" w:hAnsi="Times New Roman"/>
          <w:kern w:val="0"/>
          <w:sz w:val="24"/>
        </w:rPr>
        <w:t>21</w:t>
      </w:r>
      <w:r>
        <w:rPr>
          <w:rFonts w:ascii="Times New Roman" w:hAnsi="Times New Roman"/>
          <w:kern w:val="0"/>
          <w:sz w:val="24"/>
        </w:rPr>
        <w:t>天债券型证券投资基金变更注册而来。</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595</w:t>
      </w:r>
      <w:r>
        <w:rPr>
          <w:rFonts w:ascii="Times New Roman" w:hAnsi="Times New Roman"/>
          <w:kern w:val="0"/>
          <w:sz w:val="24"/>
        </w:rPr>
        <w:t>号文准予交银施罗德理财</w:t>
      </w:r>
      <w:r>
        <w:rPr>
          <w:rFonts w:ascii="Times New Roman" w:hAnsi="Times New Roman"/>
          <w:kern w:val="0"/>
          <w:sz w:val="24"/>
        </w:rPr>
        <w:t>21</w:t>
      </w:r>
      <w:r>
        <w:rPr>
          <w:rFonts w:ascii="Times New Roman" w:hAnsi="Times New Roman"/>
          <w:kern w:val="0"/>
          <w:sz w:val="24"/>
        </w:rPr>
        <w:t>天债券型证券投资基金变更注册。自</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日起，由《交银施罗德理财</w:t>
      </w:r>
      <w:r>
        <w:rPr>
          <w:rFonts w:ascii="Times New Roman" w:hAnsi="Times New Roman"/>
          <w:kern w:val="0"/>
          <w:sz w:val="24"/>
        </w:rPr>
        <w:t>21</w:t>
      </w:r>
      <w:r>
        <w:rPr>
          <w:rFonts w:ascii="Times New Roman" w:hAnsi="Times New Roman"/>
          <w:kern w:val="0"/>
          <w:sz w:val="24"/>
        </w:rPr>
        <w:t>天债券型证券投资基金基金合同》修订而成的《交银施罗德中高等级信用债债券型证券投资基金基金合同》生效。</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基金管理人保证招募说明书的内容真实、准确、完整。本招募说明书经中国证监会注册，但中国证监会对交银施罗德理财</w:t>
      </w:r>
      <w:r>
        <w:rPr>
          <w:rFonts w:ascii="Times New Roman" w:hAnsi="Times New Roman"/>
          <w:kern w:val="0"/>
          <w:sz w:val="24"/>
        </w:rPr>
        <w:t>21</w:t>
      </w:r>
      <w:r>
        <w:rPr>
          <w:rFonts w:ascii="Times New Roman" w:hAnsi="Times New Roman"/>
          <w:kern w:val="0"/>
          <w:sz w:val="24"/>
        </w:rPr>
        <w:t>天债券型证券投资基金的核准以及变更注册，并不表明其对本基金的投资价值和市场前景作出实质性判断或保证，也不表明投资于本基金没有风险。中国证监会不对基金的投资价值及市场前景等作出实质性判断或者保证。</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五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万元情形时基金管理人提前终止基金合同的风险；投资本基金特有的其他风险等等。</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本基金是一只债券型基金，其预期风险与预期收益高于货币市场基金，低于混合型基金和股票型基金。</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B6164F" w:rsidRDefault="00512F7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B6164F" w:rsidRDefault="00B6164F">
      <w:pPr>
        <w:autoSpaceDE w:val="0"/>
        <w:autoSpaceDN w:val="0"/>
        <w:adjustRightInd w:val="0"/>
        <w:snapToGrid w:val="0"/>
        <w:spacing w:before="51" w:line="360" w:lineRule="auto"/>
        <w:ind w:left="120" w:rightChars="6" w:right="13" w:firstLine="480"/>
        <w:rPr>
          <w:rFonts w:ascii="宋体" w:hAnsi="宋体"/>
          <w:kern w:val="0"/>
          <w:szCs w:val="24"/>
        </w:rPr>
        <w:sectPr w:rsidR="00B6164F">
          <w:headerReference w:type="default" r:id="rId14"/>
          <w:pgSz w:w="11920" w:h="16840"/>
          <w:pgMar w:top="1440" w:right="1680" w:bottom="280" w:left="1680" w:header="0" w:footer="1073" w:gutter="0"/>
          <w:pgNumType w:start="1"/>
          <w:cols w:space="720"/>
        </w:sectPr>
      </w:pPr>
    </w:p>
    <w:p w:rsidR="00532FB7" w:rsidRPr="00532FB7" w:rsidRDefault="00512F71" w:rsidP="00532FB7">
      <w:pPr>
        <w:pStyle w:val="ad"/>
        <w:snapToGrid w:val="0"/>
        <w:spacing w:after="240" w:line="360" w:lineRule="auto"/>
        <w:jc w:val="center"/>
        <w:rPr>
          <w:rFonts w:ascii="宋体" w:hAnsi="宋体"/>
          <w:noProof/>
          <w:sz w:val="24"/>
        </w:rPr>
      </w:pPr>
      <w:r w:rsidRPr="00532FB7">
        <w:rPr>
          <w:rFonts w:ascii="宋体" w:hAnsi="宋体"/>
          <w:color w:val="000000"/>
          <w:position w:val="-4"/>
          <w:sz w:val="24"/>
          <w:szCs w:val="30"/>
        </w:rPr>
        <w:lastRenderedPageBreak/>
        <w:t>目</w:t>
      </w:r>
      <w:r w:rsidRPr="00532FB7">
        <w:rPr>
          <w:rFonts w:ascii="宋体" w:hAnsi="宋体"/>
          <w:color w:val="000000"/>
          <w:position w:val="-4"/>
          <w:sz w:val="24"/>
          <w:szCs w:val="30"/>
        </w:rPr>
        <w:tab/>
        <w:t>录</w:t>
      </w:r>
      <w:r w:rsidR="00532FB7" w:rsidRPr="00532FB7">
        <w:rPr>
          <w:rFonts w:ascii="宋体" w:hAnsi="宋体"/>
          <w:color w:val="000000"/>
          <w:position w:val="-4"/>
          <w:sz w:val="24"/>
          <w:szCs w:val="30"/>
        </w:rPr>
        <w:fldChar w:fldCharType="begin"/>
      </w:r>
      <w:r w:rsidR="00532FB7" w:rsidRPr="00532FB7">
        <w:rPr>
          <w:rFonts w:ascii="宋体" w:hAnsi="宋体"/>
          <w:color w:val="000000"/>
          <w:position w:val="-4"/>
          <w:sz w:val="24"/>
          <w:szCs w:val="30"/>
        </w:rPr>
        <w:instrText xml:space="preserve"> TOC \o "1-3" \f - \h \t "-1" </w:instrText>
      </w:r>
      <w:r w:rsidR="00532FB7" w:rsidRPr="00532FB7">
        <w:rPr>
          <w:rFonts w:ascii="宋体" w:hAnsi="宋体"/>
          <w:color w:val="000000"/>
          <w:position w:val="-4"/>
          <w:sz w:val="24"/>
          <w:szCs w:val="30"/>
        </w:rPr>
        <w:fldChar w:fldCharType="separate"/>
      </w:r>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56" w:history="1">
        <w:r w:rsidRPr="00532FB7">
          <w:rPr>
            <w:rStyle w:val="aa"/>
            <w:rFonts w:ascii="宋体" w:hAnsi="宋体" w:hint="eastAsia"/>
            <w:noProof/>
            <w:kern w:val="0"/>
            <w:sz w:val="24"/>
          </w:rPr>
          <w:t>重要提示</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_Toc243639056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57" w:history="1">
        <w:r w:rsidRPr="00532FB7">
          <w:rPr>
            <w:rStyle w:val="aa"/>
            <w:rFonts w:ascii="宋体" w:hAnsi="宋体" w:hint="eastAsia"/>
            <w:noProof/>
            <w:sz w:val="24"/>
          </w:rPr>
          <w:t>一、绪言</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_Toc243639057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58" w:history="1">
        <w:r w:rsidRPr="00532FB7">
          <w:rPr>
            <w:rStyle w:val="aa"/>
            <w:rFonts w:ascii="宋体" w:hAnsi="宋体" w:hint="eastAsia"/>
            <w:noProof/>
            <w:sz w:val="24"/>
          </w:rPr>
          <w:t>二、释义</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_Toc243639058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5</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59" w:history="1">
        <w:r w:rsidRPr="00532FB7">
          <w:rPr>
            <w:rStyle w:val="aa"/>
            <w:rFonts w:ascii="宋体" w:hAnsi="宋体" w:hint="eastAsia"/>
            <w:noProof/>
            <w:sz w:val="24"/>
          </w:rPr>
          <w:t>三、基金管理人</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_Toc243639059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10</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0" w:history="1">
        <w:r w:rsidRPr="00532FB7">
          <w:rPr>
            <w:rStyle w:val="aa"/>
            <w:rFonts w:ascii="宋体" w:hAnsi="宋体" w:hint="eastAsia"/>
            <w:noProof/>
            <w:sz w:val="24"/>
          </w:rPr>
          <w:t>四、基金托管人</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_Toc243639060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18</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1" w:history="1">
        <w:r w:rsidRPr="00532FB7">
          <w:rPr>
            <w:rStyle w:val="aa"/>
            <w:rFonts w:ascii="宋体" w:hAnsi="宋体" w:hint="eastAsia"/>
            <w:noProof/>
            <w:sz w:val="24"/>
          </w:rPr>
          <w:t>五、相关服务机构</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_Toc243639061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21</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2" w:history="1">
        <w:r w:rsidRPr="00532FB7">
          <w:rPr>
            <w:rStyle w:val="aa"/>
            <w:rFonts w:ascii="宋体" w:hAnsi="宋体" w:hint="eastAsia"/>
            <w:noProof/>
            <w:sz w:val="24"/>
          </w:rPr>
          <w:t>六、基金的历史沿革</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_Toc243639062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33</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3" w:history="1">
        <w:r w:rsidRPr="00532FB7">
          <w:rPr>
            <w:rStyle w:val="aa"/>
            <w:rFonts w:ascii="宋体" w:hAnsi="宋体" w:hint="eastAsia"/>
            <w:noProof/>
            <w:sz w:val="24"/>
          </w:rPr>
          <w:t>七、基金的存续</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_Toc243639063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34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4" w:history="1">
        <w:r w:rsidRPr="00532FB7">
          <w:rPr>
            <w:rStyle w:val="aa"/>
            <w:rFonts w:ascii="宋体" w:hAnsi="宋体" w:hint="eastAsia"/>
            <w:noProof/>
            <w:sz w:val="24"/>
          </w:rPr>
          <w:t>八、基金份额的申购与赎回</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_Toc243639064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35</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5" w:history="1">
        <w:r w:rsidRPr="00532FB7">
          <w:rPr>
            <w:rStyle w:val="aa"/>
            <w:rFonts w:ascii="宋体" w:hAnsi="宋体" w:hint="eastAsia"/>
            <w:noProof/>
            <w:sz w:val="24"/>
          </w:rPr>
          <w:t>九、基金的转换</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_Toc243639065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47</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6" w:history="1">
        <w:r w:rsidRPr="00532FB7">
          <w:rPr>
            <w:rStyle w:val="aa"/>
            <w:rFonts w:ascii="宋体" w:hAnsi="宋体" w:hint="eastAsia"/>
            <w:noProof/>
            <w:sz w:val="24"/>
          </w:rPr>
          <w:t>十、基金的投资</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_Toc243639066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54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7" w:history="1">
        <w:r w:rsidRPr="00532FB7">
          <w:rPr>
            <w:rStyle w:val="aa"/>
            <w:rFonts w:ascii="宋体" w:hAnsi="宋体" w:hint="eastAsia"/>
            <w:noProof/>
            <w:sz w:val="24"/>
          </w:rPr>
          <w:t>十一、基金的业绩</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_Toc243639067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64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8" w:history="1">
        <w:r w:rsidRPr="00532FB7">
          <w:rPr>
            <w:rStyle w:val="aa"/>
            <w:rFonts w:ascii="宋体" w:hAnsi="宋体" w:hint="eastAsia"/>
            <w:noProof/>
            <w:sz w:val="24"/>
          </w:rPr>
          <w:t>十二、基金的财产</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_Toc243639068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66</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69" w:history="1">
        <w:r w:rsidRPr="00532FB7">
          <w:rPr>
            <w:rStyle w:val="aa"/>
            <w:rFonts w:ascii="宋体" w:hAnsi="宋体" w:hint="eastAsia"/>
            <w:noProof/>
            <w:sz w:val="24"/>
          </w:rPr>
          <w:t>十三、基金资产的估值</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_Toc243639069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67</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0" w:history="1">
        <w:r w:rsidRPr="00532FB7">
          <w:rPr>
            <w:rStyle w:val="aa"/>
            <w:rFonts w:ascii="宋体" w:hAnsi="宋体" w:hint="eastAsia"/>
            <w:noProof/>
            <w:sz w:val="24"/>
          </w:rPr>
          <w:t>十四、基金收益与分配</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_Toc243639070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72</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1" w:history="1">
        <w:r w:rsidRPr="00532FB7">
          <w:rPr>
            <w:rStyle w:val="aa"/>
            <w:rFonts w:ascii="宋体" w:hAnsi="宋体" w:hint="eastAsia"/>
            <w:noProof/>
            <w:sz w:val="24"/>
          </w:rPr>
          <w:t>十五、基金的费用与税收</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_Toc243639071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74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2" w:history="1">
        <w:r w:rsidRPr="00532FB7">
          <w:rPr>
            <w:rStyle w:val="aa"/>
            <w:rFonts w:ascii="宋体" w:hAnsi="宋体" w:hint="eastAsia"/>
            <w:noProof/>
            <w:sz w:val="24"/>
          </w:rPr>
          <w:t>十六、基金的会计与审计</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_Toc243639072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77</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3" w:history="1">
        <w:r w:rsidRPr="00532FB7">
          <w:rPr>
            <w:rStyle w:val="aa"/>
            <w:rFonts w:ascii="宋体" w:hAnsi="宋体" w:hint="eastAsia"/>
            <w:noProof/>
            <w:sz w:val="24"/>
          </w:rPr>
          <w:t>十七、基金的信息披露</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_Toc243639073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78</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4" w:history="1">
        <w:r w:rsidRPr="00532FB7">
          <w:rPr>
            <w:rStyle w:val="aa"/>
            <w:rFonts w:ascii="宋体" w:hAnsi="宋体" w:hint="eastAsia"/>
            <w:noProof/>
            <w:sz w:val="24"/>
          </w:rPr>
          <w:t>十八、侧袋机制</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_Toc243639074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84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5" w:history="1">
        <w:r w:rsidRPr="00532FB7">
          <w:rPr>
            <w:rStyle w:val="aa"/>
            <w:rFonts w:ascii="宋体" w:hAnsi="宋体" w:hint="eastAsia"/>
            <w:noProof/>
            <w:sz w:val="24"/>
          </w:rPr>
          <w:t>十九、风险揭示</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_Toc243639075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87</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6" w:history="1">
        <w:r w:rsidRPr="00532FB7">
          <w:rPr>
            <w:rStyle w:val="aa"/>
            <w:rFonts w:ascii="宋体" w:hAnsi="宋体" w:hint="eastAsia"/>
            <w:noProof/>
            <w:sz w:val="24"/>
          </w:rPr>
          <w:t>二十、基金合同的变更、终止与基金财产的清算</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_Toc243639076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94</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7" w:history="1">
        <w:r w:rsidRPr="00532FB7">
          <w:rPr>
            <w:rStyle w:val="aa"/>
            <w:rFonts w:ascii="宋体" w:hAnsi="宋体" w:hint="eastAsia"/>
            <w:noProof/>
            <w:sz w:val="24"/>
          </w:rPr>
          <w:t>二十一、基金合同内容摘要</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_Toc243639077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96</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8" w:history="1">
        <w:r w:rsidRPr="00532FB7">
          <w:rPr>
            <w:rStyle w:val="aa"/>
            <w:rFonts w:ascii="宋体" w:hAnsi="宋体" w:hint="eastAsia"/>
            <w:noProof/>
            <w:sz w:val="24"/>
          </w:rPr>
          <w:t>二十二、托管协议的内容摘要</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_Toc243639078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113</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79" w:history="1">
        <w:r w:rsidRPr="00532FB7">
          <w:rPr>
            <w:rStyle w:val="aa"/>
            <w:rFonts w:ascii="宋体" w:hAnsi="宋体" w:hint="eastAsia"/>
            <w:noProof/>
            <w:sz w:val="24"/>
          </w:rPr>
          <w:t>二十三、对基金份额持有人的服务</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_Toc243639079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131</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80" w:history="1">
        <w:r w:rsidRPr="00532FB7">
          <w:rPr>
            <w:rStyle w:val="aa"/>
            <w:rFonts w:ascii="宋体" w:hAnsi="宋体" w:hint="eastAsia"/>
            <w:noProof/>
            <w:sz w:val="24"/>
          </w:rPr>
          <w:t>二十四、其他应披露事项</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_Toc243639080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133</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81" w:history="1">
        <w:r w:rsidRPr="00532FB7">
          <w:rPr>
            <w:rStyle w:val="aa"/>
            <w:rFonts w:ascii="宋体" w:hAnsi="宋体" w:hint="eastAsia"/>
            <w:noProof/>
            <w:sz w:val="24"/>
          </w:rPr>
          <w:t>二十五、招募说明书的存放及查阅方式</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_Toc243639081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135</w:t>
        </w:r>
        <w:r w:rsidRPr="00532FB7">
          <w:rPr>
            <w:rFonts w:ascii="宋体" w:hAnsi="宋体"/>
            <w:noProof/>
            <w:sz w:val="24"/>
          </w:rPr>
          <w:fldChar w:fldCharType="end"/>
        </w:r>
      </w:hyperlink>
    </w:p>
    <w:p w:rsidR="00532FB7" w:rsidRPr="00532FB7" w:rsidRDefault="00532FB7" w:rsidP="00532FB7">
      <w:pPr>
        <w:pStyle w:val="10"/>
        <w:tabs>
          <w:tab w:val="right" w:leader="dot" w:pos="8550"/>
        </w:tabs>
        <w:spacing w:line="360" w:lineRule="auto"/>
        <w:rPr>
          <w:rFonts w:ascii="宋体" w:hAnsi="宋体" w:cstheme="minorBidi"/>
          <w:noProof/>
          <w:sz w:val="24"/>
        </w:rPr>
      </w:pPr>
      <w:hyperlink w:anchor="_Toc243639082" w:history="1">
        <w:r w:rsidRPr="00532FB7">
          <w:rPr>
            <w:rStyle w:val="aa"/>
            <w:rFonts w:ascii="宋体" w:hAnsi="宋体" w:hint="eastAsia"/>
            <w:noProof/>
            <w:sz w:val="24"/>
          </w:rPr>
          <w:t>二十六、备查文件</w:t>
        </w:r>
        <w:r w:rsidRPr="00532FB7">
          <w:rPr>
            <w:rFonts w:ascii="宋体" w:hAnsi="宋体"/>
            <w:noProof/>
            <w:sz w:val="24"/>
          </w:rPr>
          <w:tab/>
        </w:r>
        <w:r w:rsidRPr="00532FB7">
          <w:rPr>
            <w:rFonts w:ascii="宋体" w:hAnsi="宋体"/>
            <w:noProof/>
            <w:sz w:val="24"/>
          </w:rPr>
          <w:fldChar w:fldCharType="begin"/>
        </w:r>
        <w:r w:rsidRPr="00532FB7">
          <w:rPr>
            <w:rFonts w:ascii="宋体" w:hAnsi="宋体"/>
            <w:noProof/>
            <w:sz w:val="24"/>
          </w:rPr>
          <w:instrText xml:space="preserve"> PAGEREF _Toc243639082 \h </w:instrText>
        </w:r>
        <w:r w:rsidRPr="00532FB7">
          <w:rPr>
            <w:rFonts w:ascii="宋体" w:hAnsi="宋体"/>
            <w:noProof/>
            <w:sz w:val="24"/>
          </w:rPr>
        </w:r>
        <w:r w:rsidRPr="00532FB7">
          <w:rPr>
            <w:rFonts w:ascii="宋体" w:hAnsi="宋体"/>
            <w:noProof/>
            <w:sz w:val="24"/>
          </w:rPr>
          <w:fldChar w:fldCharType="separate"/>
        </w:r>
        <w:r w:rsidRPr="00532FB7">
          <w:rPr>
            <w:rFonts w:ascii="宋体" w:hAnsi="宋体"/>
            <w:noProof/>
            <w:sz w:val="24"/>
          </w:rPr>
          <w:t>136</w:t>
        </w:r>
        <w:r w:rsidRPr="00532FB7">
          <w:rPr>
            <w:rFonts w:ascii="宋体" w:hAnsi="宋体"/>
            <w:noProof/>
            <w:sz w:val="24"/>
          </w:rPr>
          <w:fldChar w:fldCharType="end"/>
        </w:r>
      </w:hyperlink>
    </w:p>
    <w:p w:rsidR="00B6164F" w:rsidRPr="00532FB7" w:rsidRDefault="00532FB7" w:rsidP="00532FB7">
      <w:pPr>
        <w:pStyle w:val="ad"/>
        <w:snapToGrid w:val="0"/>
        <w:spacing w:after="240" w:line="360" w:lineRule="auto"/>
        <w:jc w:val="center"/>
        <w:rPr>
          <w:rFonts w:ascii="宋体" w:hAnsi="宋体"/>
          <w:color w:val="000000"/>
          <w:sz w:val="24"/>
        </w:rPr>
      </w:pPr>
      <w:r w:rsidRPr="00532FB7">
        <w:rPr>
          <w:rFonts w:ascii="宋体" w:hAnsi="宋体"/>
          <w:color w:val="000000"/>
          <w:position w:val="-4"/>
          <w:sz w:val="24"/>
          <w:szCs w:val="30"/>
        </w:rPr>
        <w:fldChar w:fldCharType="end"/>
      </w:r>
      <w:bookmarkStart w:id="3" w:name="_GoBack"/>
      <w:bookmarkEnd w:id="3"/>
    </w:p>
    <w:p w:rsidR="00B6164F" w:rsidRDefault="00B6164F">
      <w:pPr>
        <w:autoSpaceDE w:val="0"/>
        <w:autoSpaceDN w:val="0"/>
        <w:adjustRightInd w:val="0"/>
        <w:snapToGrid w:val="0"/>
        <w:spacing w:line="360" w:lineRule="auto"/>
        <w:ind w:left="120" w:rightChars="6" w:right="13"/>
        <w:rPr>
          <w:rFonts w:ascii="宋体" w:hAnsi="宋体"/>
          <w:kern w:val="0"/>
          <w:szCs w:val="24"/>
        </w:rPr>
        <w:sectPr w:rsidR="00B6164F">
          <w:pgSz w:w="11920" w:h="16840"/>
          <w:pgMar w:top="1480" w:right="1680" w:bottom="280" w:left="1680" w:header="0" w:footer="1073" w:gutter="0"/>
          <w:cols w:space="720"/>
        </w:sectPr>
      </w:pPr>
    </w:p>
    <w:p w:rsidR="00B6164F" w:rsidRDefault="00512F71">
      <w:pPr>
        <w:pStyle w:val="1"/>
        <w:snapToGrid w:val="0"/>
        <w:spacing w:beforeLines="0" w:before="240" w:after="240"/>
        <w:rPr>
          <w:rFonts w:ascii="宋体" w:hAnsi="宋体"/>
          <w:szCs w:val="30"/>
        </w:rPr>
      </w:pPr>
      <w:bookmarkStart w:id="4" w:name="_Toc243639057"/>
      <w:r>
        <w:rPr>
          <w:rFonts w:ascii="Times New Roman" w:hAnsi="Times New Roman"/>
          <w:sz w:val="30"/>
        </w:rPr>
        <w:lastRenderedPageBreak/>
        <w:t>一、绪言</w:t>
      </w:r>
      <w:bookmarkEnd w:id="4"/>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高等级信用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中高等级信用债债券型证券投资基金基金合同》（以下简称“基金合同”）编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5" w:name="_Toc243639058"/>
      <w:r>
        <w:rPr>
          <w:rFonts w:ascii="Times New Roman" w:hAnsi="Times New Roman"/>
          <w:sz w:val="30"/>
        </w:rPr>
        <w:lastRenderedPageBreak/>
        <w:t>二、释义</w:t>
      </w:r>
      <w:bookmarkEnd w:id="5"/>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1、基金或本基金：指交银施罗德中高等级信用债债券型证券投资基金，由交银施罗德理财21天债券型证券投资基金转型而来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4、基金合同：指《交银施罗德中高等级信用债债券型证券投资基金基金合同》及对基金合同的任何有效修订和补充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5、托管协议：指基金管理人与基金托管人就本基金签订之《交银施罗德中高等级信用债债券型证券投资基金托管协议》及对该托管协议的任何有效修订和补充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6、招募说明书或本招募说明书：指《交银施罗德中高等级信用债债券型证券投资基金招募说明书》及其更新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7、基金产品资料概要：指《交银施罗德中高等级信用债债券型证券投资基金基金产品资料概要》及其更新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8、法律法规：指中国现行有效并公布实施的法律、行政法规、规范性文件、司法解释、行政规章以及其他对基金合同当事人有约束力的决定、决议、通知等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9、《基金法》：指《中华人民共和国证券投资基金法》及颁布机关对其不时做出的修订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10、《销售办法》：指《证券投资基金销售管理办法》及颁布机关对其不时做出的修订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11、《信息披露办法》：指《公开募集证券投资基金信息披露管理办法》及颁布机关对其不时做出的修订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12、《运作办法》：指《公开募集证券投资基金运作管理办法》及颁布机关对其不时做出的修订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13、《流动性风险管理规定》：指《公开募集开放式证券投资基金流动性风险管理规定》及颁布机关对其不时做出的修订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14、中国证监会：指中国证券监督管理委员会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15、银行业监督管理机构：指中国人民银行和/或国家金融监督管理总局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16、基金合同当事人：指受基金合同约束，根据基金合同享有权利并承担义务</w:t>
      </w:r>
      <w:r>
        <w:rPr>
          <w:rFonts w:ascii="宋体" w:hAnsi="宋体"/>
          <w:sz w:val="24"/>
        </w:rPr>
        <w:lastRenderedPageBreak/>
        <w:t>的法律主体，包括基金管理人、基金托管人和基金份额持有人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17、个人投资者：指依据有关法律法规规定可投资于证券投资基金的自然人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18、机构投资者：指依法可以投资证券投资基金的、在中华人民共和国境内合法登记并存续或经有关政府部门批准设立并存续的企业法人、事业法人、社会团体或其他组织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19、合格境外机构投资者：指符合《合格境外机构投资者境内证券投资管理办法》及相关法律法规规定可以投资于在中国境内依法募集的证券投资基金的中国境外的机构投资者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20、人民币合格境外机构投资者：指按照《人民币合格境外机构投资者境内证券投资试点办法》及相关法律法规规定，运用来自境外的人民币资金进行境内证券投资的境外法人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21、投资人、投资者：指个人投资者、机构投资者、合格境外机构投资者和人民币合格境外机构投资者以及法律法规或中国证监会允许购买证券投资基金的其他投资人的合称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29、基金合同生效日：指《交银施罗德中高等级信用债债券型证券投资基金基金合同》生效日，原《交银施罗德理财21天债券型证券投资基金基金合同》自同一日起失效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30、基金转型实施日：指基金管理人公告的交银施罗德理财21天债券型证券投资基金转型为交银施罗德中高等级信用债债券型证券投资基金的实施日期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32、存续期：指《交银施罗德理财21天债券型证券投资基金基金合同》生效至《交银施罗德中高等级信用债债券型证券投资基金基金合同》终止之间的不定期期限</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39、申购：指基金合同生效后，投资人根据基金合同和招募说明书的规定申请购买基金份额的行为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40、赎回：指基金合同生效后，基金份额持有人按基金合同和招募说明书规定的条件要求将基金份额兑换为现金的行为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41、基金转换：指基金份额持有人按照基金合同和基金管理人届时有效公告规定的条件，申请将其持有基金管理人管理的、某一基金的基金份额转换为基金管理人管理的其他基金基金份额的行为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42、转托管：指基金份额持有人在本基金的不同销售机构之间实施的变更所持基金份额销售机构的操作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45、元：指人民币元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46、基金收益：指基金投资所得债券利息、买卖证券价差、银行存款利息、已实现的其他合法收入及因运用基金财产带来的成本和费用的节约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47、基金资产总值：指基金拥有的各类有价证券、银行存款本息、基金应收申购款及其他资产的价值总和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48、基金资产净值：指基金资产总值减去基金负债后的价值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49、基金份额净值：指计算日基金资产净值除以计算日基金份额总数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50、基金资产估值：指计算评估基金资产和负债的价值，以确定基金资产净值和基金份额净值的过程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51、指定媒介：指中国证监会指定的用以进行信息披露的全国性报刊及指定互联网网站（包括基金管理人网站、基金托管人网站、中国证监会基金电子披露网站）等媒介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w:t>
      </w:r>
      <w:r>
        <w:rPr>
          <w:rFonts w:ascii="宋体" w:hAnsi="宋体"/>
          <w:sz w:val="24"/>
        </w:rPr>
        <w:lastRenderedPageBreak/>
        <w:t>资产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56、不可抗力：指基金合同当事人不能预见、不能避免且不能克服的客观事件</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6" w:name="_Toc243639059"/>
      <w:r>
        <w:rPr>
          <w:rFonts w:ascii="Times New Roman" w:hAnsi="Times New Roman"/>
          <w:sz w:val="30"/>
        </w:rPr>
        <w:lastRenderedPageBreak/>
        <w:t>三、基金管理人</w:t>
      </w:r>
      <w:bookmarkEnd w:id="6"/>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基金经理。复旦大学经济学博士，17年证券投资相关从业经验。2009年至2011年于交通银行总行金融市场部任职，2011年至2013年任湘财证券研究所研究员，2013年至2015年任中航信托资产管理部投资经理。2015年加入交银施罗德基金管理有限公司，曾任固定收益部基金经理，现任混合资产投资部基金经理。曾任交银施罗德丰盈收益债券型证券投资基金(2015年08月04日至2024年12月03日)、交银施罗德现金宝货币市场基金(2015年08月04日至2019年08月02日)、交银施罗德丰润收益债券型证券投资基金(2015年08月04日至2020年08月21日)、交银施罗德理财60天债券型证券投资基金(2015年10月16日至2020年07月27日)、交银施罗德货币市场证券投资基金(2015年10月16日至2019年08月02日)、交银施罗德活期通货币市场基金(2016年07月27日至2024年04月26日)、交银施罗德天利宝货币市场基金(2016年10月19日至2019年09月27日)、交银施罗德裕隆纯债债券型证券投资基金(2016年11月28日至2019年09月27日)、交银施罗德天鑫宝货币市场基金(2016年12月07日至2019年08月02日)、交银施罗德天益宝货币市场基金(2016年12月20日至2019年09月27日)、交银施罗德境尚收益债券型证券投资基金(2017年03月03日至2019年09月27日)、交银施罗德裕兴纯债债券型证券投资基金(2017年03月31日至2018年08月23日)、交银施罗德裕盈纯债债券型证券投资基金(2017年03月31日至2022年11月19日)、交银施罗德天运宝货币市场基金(2017年12月29日至2019年08月02日)的基金经理。现任交银施罗德裕利纯债债券型证券投资基金(2017年03月31日至今)、交银施罗德裕惠纯债债券型证券投资基金(2020年07月28日至今)、交银施罗德中高等级信用债债券型证券投资基金(2022年07月06日至今)的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王峰先生:基金经理。上海财经大学经济统计学博士，7年证券投资行业从业经验。2019年加入交银施罗德基金管理有限公司，曾任固定收益部研究员、基金经理助理、混合资产投资部基金经理助理，现任混合资产投资部基金经理。现任交银施罗德双利债券证券投资基金(2026年10月21日至今)、交银施罗德信用添利债券证券投资基金（LOF）(2026年10月21日至今)、交银施罗德强化回报债券型证券投资</w:t>
      </w:r>
      <w:r>
        <w:rPr>
          <w:rFonts w:ascii="宋体" w:hAnsi="宋体"/>
          <w:sz w:val="24"/>
        </w:rPr>
        <w:lastRenderedPageBreak/>
        <w:t>基金(2026年10月21日至今)、交银施罗德中高等级信用债债券型证券投资基金(2026年10月21日至今)、交银施罗德鸿宁三个月持有期债券型证券投资基金(2026年10月21日至今)、交银施罗德增利债券证券投资基金(2026年10月21日至今)的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林洪钧先生(2012年11月05日至2015年06月01日)；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黄莹洁女士(2020年07月28日至2022年07月05日)。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12、有关法律法规和中国证监会规定的其他职责。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w:t>
      </w:r>
      <w:r>
        <w:rPr>
          <w:rFonts w:ascii="宋体" w:hAnsi="宋体"/>
          <w:sz w:val="24"/>
        </w:rPr>
        <w:lastRenderedPageBreak/>
        <w:t>策、执行、监督、反馈等各个环节。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独立行使督察权利；直接对董事会负责；就内部控制制度和执行情况独立地履行检查、评价、报告、建议职能；定期和不定期地向董事会报告公司内部控制执行情况。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（4）建立风险分类、识别、评估、报告、提示程序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7" w:name="_Toc243639060"/>
      <w:r>
        <w:rPr>
          <w:rFonts w:ascii="Times New Roman" w:hAnsi="Times New Roman"/>
          <w:sz w:val="30"/>
        </w:rPr>
        <w:lastRenderedPageBreak/>
        <w:t>四、基金托管人</w:t>
      </w:r>
      <w:bookmarkEnd w:id="7"/>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8" w:name="_Toc243639061"/>
      <w:r>
        <w:rPr>
          <w:rFonts w:ascii="Times New Roman" w:hAnsi="Times New Roman"/>
          <w:sz w:val="30"/>
        </w:rPr>
        <w:lastRenderedPageBreak/>
        <w:t>五、相关服务机构</w:t>
      </w:r>
      <w:bookmarkEnd w:id="8"/>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（1）名称：招商银行股份有限公司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（3）名称：上海银行股份有限公司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（6）名称：兴业银行股份有限公司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（7）名称：平安银行股份有限公司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（8）名称：中信建投证券股份有限公司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（9）名称：华西证券股份有限公司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（10）名称：广发证券股份有限公司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（11）名称：中国银河证券股份有限公司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（12）名称：上海联泰基金销售有限公司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传真：021-52975270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（13）名称：北京雪球基金销售有限公司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（14）名称：上海天天基金销售有限公司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（15）名称：上海好买基金销售有限公司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（16）名称：上海长量基金销售有限公司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（17）名称：深圳众禄基金销售股份有限公司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（18）名称：上海基煜基金销售有限公司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（19）名称：和耕传承基金销售有限公司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（20）名称：北京度小满基金销售有限公司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（21）名称：珠海盈米基金销售有限公司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（22）名称：北京创金启富基金销售有限公司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电话：010-66154828-8047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（23）名称：浙江同花顺基金销售有限公司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（24）名称：北京汇成基金销售有限公司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（25）名称：济安财富（北京）基金销售有限公司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客户服务电话：400-673-7010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（26）名称：嘉实财富管理有限公司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（27）名称：大连网金基金销售有限公司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（28）名称：博时财富基金销售有限公司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（29）名称：腾安基金销售（深圳）有限公司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住所：深圳市前海深港合作区前湾一路1号A栋201室（入驻深圳市前海商务秘书有限公司）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（30）名称：诺亚正行基金销售有限公司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（31）名称：泛华普益基金销售有限公司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（32）名称：上海中欧财富基金销售有限公司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电话：021-68609600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（33）名称：上海攀赢基金销售有限公司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（34）名称：蚂蚁（杭州）基金销售有限公司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（35）名称：上海利得基金销售有限公司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住所：北京市西城区太平桥大街17号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9" w:name="_Toc243639062"/>
      <w:r>
        <w:rPr>
          <w:rFonts w:ascii="Times New Roman" w:hAnsi="Times New Roman"/>
          <w:sz w:val="30"/>
        </w:rPr>
        <w:lastRenderedPageBreak/>
        <w:t>六、基金的历史沿革</w:t>
      </w:r>
      <w:bookmarkEnd w:id="9"/>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交银施罗德中高等级信用债债券型证券投资基金由交银施罗德理财21天债券型证券投资基金转型而来。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理财21天债券型证券投资基金经中国证监会证监许可【2012】1282号文核准，自2012年10月25日起向社会公开募集，于2012年10月31日结束募集工作，并于2012年11月5日获得中国证监会的书面确认，《交银施罗德理财21天债券型证券投资基金基金合同》自该日起生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关于实施&lt;公开募集证券投资基金运作管理办法&gt;有关问题的规定》、《交银施罗德理财21天债券型证券投资基金基金合同》，交银施罗德理财21天债券型证券投资基金以通讯方式召开基金份额持有人大会，大会于2020年6月23日表决通过了《关于交银施罗德理财21天债券型证券投资基金转型及修改基金合同有关事项的议案》，同意交银施罗德理财21天债券型证券投资基金变更基金名称、投资目标、投资范围、投资策略、业绩比较基准、投资限制、基金的估值、基金的费用以及其他部分条款，授权基金管理人办理本次基金转型及修改基金合同有关具体事宜。基金份额持有人大会决议自表决通过之日起生效，基金管理人根据基金份额持有人大会的授权，定于2020年7月28日正式实施基金转型，自基金转型实施日起，《交银施罗德理财21天债券型证券投资基金基金合同》失效且《交银施罗德中高等级信用债债券型证券投资基金基金合同》同时生效。</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0" w:name="_Toc243639063"/>
      <w:r>
        <w:rPr>
          <w:rFonts w:ascii="Times New Roman" w:hAnsi="Times New Roman"/>
          <w:sz w:val="30"/>
        </w:rPr>
        <w:lastRenderedPageBreak/>
        <w:t>七、基金的存续</w:t>
      </w:r>
      <w:bookmarkEnd w:id="10"/>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1" w:name="_Toc243639064"/>
      <w:r>
        <w:rPr>
          <w:rFonts w:ascii="Times New Roman" w:hAnsi="Times New Roman"/>
          <w:sz w:val="30"/>
        </w:rPr>
        <w:lastRenderedPageBreak/>
        <w:t>八、基金份额的申购与赎回</w:t>
      </w:r>
      <w:bookmarkEnd w:id="11"/>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个人投资者可以通过基金管理人网上直销交易平台办理开户、本基金的申购、赎回、转换及定期定额投资等业务，具体交易细则请参阅基金管理人网站。网上直销交易平台网址：www.fund001.com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本基金已于2020年7月28日起开放申购、赎回业务。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w:t>
      </w:r>
      <w:r>
        <w:rPr>
          <w:rFonts w:ascii="宋体" w:hAnsi="宋体"/>
          <w:sz w:val="24"/>
        </w:rPr>
        <w:lastRenderedPageBreak/>
        <w:t>时，款项的支付办法参照基金合同有关条款处理。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本基金的申购费用由基金申购人承担，不列入基金财产，主要用于本基金的市场推广、销售、登记结算等各项费用。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投资人因红利自动再投资而产生的基金份额，不收取相应的申购费用。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本基金对通过基金管理人直销柜台申购基金份额的养老金客户实施特定申购费率。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投资者赎回基金份额收取赎回费用，该费用随基金份额的持有时间递减。本基金的赎回费用由基金份额赎回人承担，对于持续持有期少于7天的投资人收取的赎回费全额计入基金财产。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6164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6164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6164F" w:rsidRDefault="00B6164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6164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6164F" w:rsidRDefault="00B6164F">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4、当发生大额申购或赎回情形时，基金管理人可以采用摆动定价机制以确保基金估值的公平性。具体处理原则与操作规范遵循相关法律法规以及监管部门、自律规则的规定。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（1）申购基金份额的有效份额为净申购金额除以当日基金份额净值，有效份额单位为份，申购份额计算结果按四舍五入方法，保留到小数点后2位，由此产生的收益或损失由基金财产承担。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例一：某投资者（非养老金客户）投资100,000元申购本基金，假设申购当日基金份额净值为1.0400元，申购费率为0.3%，则其可得到的申购份额为：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即：某投资者（非养老金客户）投资100,000元申购本基金，假设申购当日基金份额净值为1.0400元，则其可得到95,866.25份基金份额。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例二：某养老金客户投资100,000元通过基金管理人的直销柜台申购本基金，假设申购当日基金份额净值为1.0400元，申购费率为0.12%，则其可得到的申购份额为：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即：该养老金客户投资100,000元通过基金管理人的直销柜台申购本基金，假设申购当日基金份额净值为1.0400元，则其可得到96,038.60份基金份额。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例三：某投资者赎回100,000份基金份额，持有5日，对应的赎回费率为1.5%，假设赎回当日基金份额净值是1.0160元，则其可得到的赎回金额为：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赎回费用=100,000×1.0160×1.5%＝1524.00元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赎回金额=100,000×1.0160-1524.00＝100,076.00元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即：投资者赎回100,000份基金份额，持有5日，对应的赎回费率为1.5%，假设赎回当日基金份额净值是1.0160元，则其可得到的赎回金额为100,076.00元。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基金份额净值＝基金份额的基金资产净值总额/发行在外的基金份额总数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按基金合同的约定公告。遇特殊情况，经履行适当程序，可以适当延迟计算或公告。本基金基金份额净值的计算，保留到小数点后4位，小数点后第5位四舍五入，由此产生的收益或损失由基金</w:t>
      </w:r>
      <w:r>
        <w:rPr>
          <w:rFonts w:ascii="宋体" w:hAnsi="宋体"/>
          <w:sz w:val="24"/>
        </w:rPr>
        <w:lastRenderedPageBreak/>
        <w:t>财产承担。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4、连续两个或两个以上开放日发生巨额赎回。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w:t>
      </w:r>
      <w:r>
        <w:rPr>
          <w:rFonts w:ascii="宋体" w:hAnsi="宋体"/>
          <w:sz w:val="24"/>
        </w:rPr>
        <w:lastRenderedPageBreak/>
        <w:t>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本基金2020年7月28日刊登公告自2020年7月28日起开通定期定额投资计划业务，具体开通销售机构名单和业务规则参见相关公告。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2" w:name="_Toc243639065"/>
      <w:r>
        <w:rPr>
          <w:rFonts w:ascii="Times New Roman" w:hAnsi="Times New Roman"/>
          <w:sz w:val="30"/>
        </w:rPr>
        <w:lastRenderedPageBreak/>
        <w:t>九、基金的转换</w:t>
      </w:r>
      <w:bookmarkEnd w:id="12"/>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8月17日刊登公告自2020年8月19日起开放日常转换业务。办理基金间转换的时间为上海证券交易所、深圳证券交易所交易日。若出现新的证券交易市场或交易所交易时间更改或其它原因，基金管理人将视情况进行相应的调整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3" w:name="_Toc243639066"/>
      <w:r>
        <w:rPr>
          <w:rFonts w:ascii="Times New Roman" w:hAnsi="Times New Roman"/>
          <w:sz w:val="30"/>
        </w:rPr>
        <w:lastRenderedPageBreak/>
        <w:t>十、基金的投资</w:t>
      </w:r>
      <w:bookmarkEnd w:id="13"/>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本基金主要投资于中高等级信用债，力争持续稳定地实现超越业绩比较基准的投资回报。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中高等级信用债的比例不低于非现金基金资产的80%。本基金持有的现金或到期日在一年以内的政府债券的比例合计不低于基金资产净值的5%，其中现金不包括结算备付金、存出保证金、应收申购款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中高等级信用债为信用评级在AA+级（含）以上的信用债，包括金融债（不包含政策性金融债）、地方政府债、政府支持债、政府支持机构债、企业债、公司债、可分离交易可转债的纯债部分、公开发行的次级债、短期融资券、超短期融资券、中期票据等非国家信用的债券资产。本基金对中高等级信用债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对于债项评级和主体评级均没有的信用债，基金管理人需结合自身的内部信用评级进行独立判断与认定，以基金管理人的</w:t>
      </w:r>
      <w:r>
        <w:rPr>
          <w:rFonts w:ascii="宋体" w:hAnsi="宋体"/>
          <w:sz w:val="24"/>
        </w:rPr>
        <w:lastRenderedPageBreak/>
        <w:t>判断结果为准。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w:t>
      </w:r>
      <w:r>
        <w:rPr>
          <w:rFonts w:ascii="宋体" w:hAnsi="宋体"/>
          <w:sz w:val="24"/>
        </w:rPr>
        <w:lastRenderedPageBreak/>
        <w:t>债券池；然后基于既定的目标久期、信用利差精选个券进行投资。具体而言，本基金信用债券的投资遵循以下流程：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（1）本基金投资于债券资产的比例不低于基金资产的80%，其中投资于中高等级信用债的比例不低于非现金基金资产的80%；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（2）本基金持有的现金或者到期日在一年以内的政府债券的投资比例合计不低于基金资产净值的5%，其中现金不包括结算备付金、存出保证金、应收申购款等；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该基金资产净值的15%；因证券市场波动、基金规模变动等基金管理人之外的因素致使基金不符合该比例限制的，基金管理人不得主动新增流动性受限资产的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w:t>
      </w:r>
      <w:r>
        <w:rPr>
          <w:rFonts w:ascii="宋体" w:hAnsi="宋体"/>
          <w:sz w:val="24"/>
        </w:rPr>
        <w:lastRenderedPageBreak/>
        <w:t>并、基金规模变动等基金管理人之外的因素致使基金投资比例不符合上述规定投资比例的，基金管理人应当在10个交易日内进行调整，但中国证监会规定的特殊情形除外。法律法规另有规定的，从其规定。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中债高信用等级债券财富指数收益率×95%＋人民币银行活期存款利率（税后）×5%</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债高信用等级债券财富指数由中央国债登记结算公司编制，该指数旨在综合反映较高信用等级债券全市场整体价格和投资回报情况。该指数涵盖银行间市场和交易所市场，指数成份券种主要包括中期票据、短期融资券、企业债、公司债等固定收益品种。该指数具有广泛的市场代表性，能够反映较高信用等级债券市场总体走势，适合作为本基金的业绩比较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在按照监管部门要求履行适当程序后调整或变更本基金的业绩比较基准并及时公告，而无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（七）基金管理人代表基金行使债权人权利的处理原则及方法</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本基金托管人中国农业银行股份有限公司根据本基金合同规定,2026年04月20日于复核了本报告中的财务指标、净值表现和投资组合报告等内容，保证复核内容不存在虚假记载、误导性陈述或者重大遗漏。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3,162,956,424.14</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98.65</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3,162,956,424.14</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98.65</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1,668,357.25</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41,722,190.75</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3,206,346,972.14</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12,114,115.07</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1,023,966,684.39</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33.88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161,444,076.71</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10,174,004.38</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130,389,889.31</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4.31</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1,986,311,730.99</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65.72</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3,162,956,424.14</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104.66</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161,444,076.71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5.34</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123,679,660.27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4.09</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渤海银行二级资本债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104,728,504.11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3.47</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232380015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工行二级资本债</w:t>
            </w:r>
            <w:r>
              <w:rPr>
                <w:rFonts w:ascii="Times New Roman" w:hAnsi="Times New Roman"/>
                <w:color w:val="000000"/>
                <w:kern w:val="0"/>
                <w:sz w:val="25"/>
                <w:szCs w:val="24"/>
              </w:rPr>
              <w:t>01A</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900,000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96,298,071.78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3.19</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042680050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湘高速</w:t>
            </w:r>
            <w:r>
              <w:rPr>
                <w:rFonts w:ascii="Times New Roman" w:hAnsi="Times New Roman"/>
                <w:color w:val="000000"/>
                <w:kern w:val="0"/>
                <w:sz w:val="25"/>
                <w:szCs w:val="24"/>
              </w:rPr>
              <w:t>CP001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80,188,124.93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2.65</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9.3 本期国债期货投资评价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2026年02月14日,央行公示银罚决字[2026]5号行政处罚决定书,给予中国建设银行股份有限公司罚没共计4350.6076万元人民币的行政处罚。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2026年01月28日,国家金融监督管理总局上海监管局公示沪金罚决字[2026]17-20,22、23号行政处罚决定书,给予上海银行股份有限公司450万元人民币的行政处罚。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2025年12月18日,国家外汇管理局北京市分局公示京汇罚[2025]49号行政处罚决定书,给予中国工商银行股份有限公司罚没共计1142.59万元人民币的行政处罚。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2025年12月19日,央行公示银罚决字[2025]110号行政处罚决定书,给予中国工商银行股份有限公司罚没共计4396.0709万元人民币的行政处罚。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2025年09月12日,国家金融监督管理总局公示行政处罚决定书,给予中国建设银行股份有限公司290万元人民币的行政处罚。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2025年09月05日,国家金融监督管理总局公示行政处罚决定书,给予浙商银行股份有限公司1130.8万元人民币的行政处罚。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2025年09月30日,央行公示银罚决字[2025]31号行政处罚决定书,给予浙商银行股份有限公司295.99万元人民币的行政处罚。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w:t>
      </w:r>
      <w:r>
        <w:rPr>
          <w:rFonts w:ascii="宋体" w:hAnsi="宋体"/>
          <w:sz w:val="24"/>
        </w:rPr>
        <w:lastRenderedPageBreak/>
        <w:t>业发展银行1020万元人民币的行政处罚。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2025年08月01日,央行公示银罚决字[2025]10号行政处罚决定书,给予上海银行股份有限公司罚没共计2921.752万元人民币的行政处罚。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1,287.33</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41,718,833.97</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2,069.45</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right"/>
              <w:rPr>
                <w:rFonts w:ascii="宋体" w:hAnsi="宋体"/>
                <w:color w:val="000000"/>
                <w:kern w:val="0"/>
                <w:sz w:val="25"/>
                <w:szCs w:val="24"/>
              </w:rPr>
            </w:pPr>
            <w:r>
              <w:rPr>
                <w:rFonts w:ascii="Times New Roman" w:hAnsi="Times New Roman"/>
                <w:color w:val="000000"/>
                <w:kern w:val="0"/>
                <w:sz w:val="25"/>
                <w:szCs w:val="24"/>
              </w:rPr>
              <w:t>41,722,190.75</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4" w:name="_Toc243639067"/>
      <w:r>
        <w:rPr>
          <w:rFonts w:ascii="Times New Roman" w:hAnsi="Times New Roman"/>
          <w:sz w:val="30"/>
        </w:rPr>
        <w:lastRenderedPageBreak/>
        <w:t>十一、基金的业绩</w:t>
      </w:r>
      <w:bookmarkEnd w:id="14"/>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4.42%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4.55%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6164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年度（自基金合同转型日起至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6164F" w:rsidRDefault="00512F7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交银施罗德中高等级信用债债券型证券投资基金</w:t>
      </w:r>
    </w:p>
    <w:p w:rsidR="00B6164F" w:rsidRDefault="00512F7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B6164F" w:rsidRDefault="00512F7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（2020年7月28日至2026年03月31日）</w:t>
      </w:r>
    </w:p>
    <w:p w:rsidR="00B6164F" w:rsidRDefault="00532FB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由交银施罗德理财21天债券型证券投资基金转型而来。基金转型日为2020年7月28日。本基金建仓期为自基金合同生效日起的6个月。截至建仓期结束，本基金各项资产配置比例符合基金合同及招募说明书有关投资比例的约定。</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5" w:name="_Toc243639068"/>
      <w:r>
        <w:rPr>
          <w:rFonts w:ascii="Times New Roman" w:hAnsi="Times New Roman"/>
          <w:sz w:val="30"/>
        </w:rPr>
        <w:lastRenderedPageBreak/>
        <w:t>十二、基金的财产</w:t>
      </w:r>
      <w:bookmarkEnd w:id="15"/>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6" w:name="_Toc243639069"/>
      <w:r>
        <w:rPr>
          <w:rFonts w:ascii="Times New Roman" w:hAnsi="Times New Roman"/>
          <w:sz w:val="30"/>
        </w:rPr>
        <w:lastRenderedPageBreak/>
        <w:t>十三、基金资产的估值</w:t>
      </w:r>
      <w:bookmarkEnd w:id="16"/>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基金所拥有的债券和其他投资等持续以公允价值计量的金融资产及负债。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（1）交易所市场上市实行净价交易或挂牌转让的固定收益品种（另有规定的</w:t>
      </w:r>
      <w:r>
        <w:rPr>
          <w:rFonts w:ascii="宋体" w:hAnsi="宋体"/>
          <w:sz w:val="24"/>
        </w:rPr>
        <w:lastRenderedPageBreak/>
        <w:t>除外），选取第三方估值机构提供的相应品种当日的估值净价进行估值；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（2）交易所上市实行全价交易的债券（可转债除外），选取第三方估值机构提供的估值全价减去估值全价中所含的债券（税后）应收利息得到的净价进行估值；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（4）交易所上市不存在活跃市场的有价证券，采用估值技术确定公允价值。交易所市场挂牌转让的资产支持证券，采用估值技术确定公允价值，在估值技术难以可靠计量公允价值的情况下，按成本估值；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4、如有确凿证据表明按上述方法进行估值不能客观反映其公允价值的，基金管理人可根据具体情况与基金托管人商定后，按最能反映公允价值的价格估值。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7" w:name="_Toc243639070"/>
      <w:r>
        <w:rPr>
          <w:rFonts w:ascii="Times New Roman" w:hAnsi="Times New Roman"/>
          <w:sz w:val="30"/>
        </w:rPr>
        <w:lastRenderedPageBreak/>
        <w:t>十四、基金收益与分配</w:t>
      </w:r>
      <w:bookmarkEnd w:id="17"/>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8" w:name="_Toc243639071"/>
      <w:r>
        <w:rPr>
          <w:rFonts w:ascii="Times New Roman" w:hAnsi="Times New Roman"/>
          <w:sz w:val="30"/>
        </w:rPr>
        <w:lastRenderedPageBreak/>
        <w:t>十五、基金的费用与税收</w:t>
      </w:r>
      <w:bookmarkEnd w:id="18"/>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本基金的管理费按前一日基金资产净值的0.2%年费率计提。管理费的计算方法如下：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基金管理费每日计提，按月支付。由基金管理人向基金托管人发送基金管理费划付指令，经基金托管人复核无误后于次月首日起3个工作日内从基金资产中一次性支付给基金管理人。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基金托管费每日计提，按月支付。由基金管理人向基金托管人发送基金托管费划付指令，经基金托管人复核无误后于次月首日起3个工作日内从基金资产中一次性支付给基金托管人。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3、《交银施罗德理财21天债券型证券投资基金基金合同》生效前的相关费用；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w:t>
      </w:r>
      <w:r>
        <w:rPr>
          <w:rFonts w:ascii="宋体" w:hAnsi="宋体"/>
          <w:sz w:val="24"/>
        </w:rPr>
        <w:lastRenderedPageBreak/>
        <w:t>行。基金财产投资的相关税收，由基金份额持有人承担，基金管理人或者其他扣缴义务人按照国家有关税收征收的规定代扣代缴。</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19" w:name="_Toc243639072"/>
      <w:r>
        <w:rPr>
          <w:rFonts w:ascii="Times New Roman" w:hAnsi="Times New Roman"/>
          <w:sz w:val="30"/>
        </w:rPr>
        <w:lastRenderedPageBreak/>
        <w:t>十六、基金的会计与审计</w:t>
      </w:r>
      <w:bookmarkEnd w:id="19"/>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0" w:name="_Toc243639073"/>
      <w:r>
        <w:rPr>
          <w:rFonts w:ascii="Times New Roman" w:hAnsi="Times New Roman"/>
          <w:sz w:val="30"/>
        </w:rPr>
        <w:lastRenderedPageBreak/>
        <w:t>十七、基金的信息披露</w:t>
      </w:r>
      <w:bookmarkEnd w:id="20"/>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合同》终止的，基金管理人不再更新基金招募说明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合同终止的，基金管理人不再更新基金产品资料概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证监会变更注册后，并在本基金正式实施转型前，基金管理人按照《信息披露办法》的规定，将基金招募说明书提示性公告和《基金合同》提示性公告登载在指定报刊上，将基金招募说明书、基金产品资料概要、《基金合同》和基金托管协议登载在指定网站上，并将基金产品资料概要登载在基金销售机构网站或营业网点；基金托管人应当同时将《基金合同》、基金托管协议登载在网站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基金管理人应当在不晚于半年度和年度最后一日的次日，在指定网站披露半年度和年度最后一日基金份额净值和基金份额累计净值。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3、基金份额申购、赎回价格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4、基金定期报告，包括基金年度报告、基金中期报告和基金季度报告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5、临时报告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本基金发生重大事件，有关信息披露义务人应当依照《信息披露办法》的规定编制临时报告书，并登载在指定报刊和指定网站上。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（6）基金管理人、基金托管人的法定名称、住所发生变更；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（8）基金管理人的高级管理人员、基金经理和基金托管人专门基金托管部门负责人发生变动；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（9）基金管理人的董事在最近12个月内变更超过百分之五十，基金管理人、基金托管人专门基金托管部门的主要业务人员在最近12个月内变动超过百分之三十；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（10）涉及基金财产、基金管理业务、基金托管业务的诉讼或仲裁；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（11）基金管理人或其高级管理人员、基金经理因基金管理业务相关行为受到重大行政处罚、刑事处罚，基金托管人或其专门基金托管部门负责人因基金托管业务相关行为受到重大行政处罚、刑事处罚；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（13）基金收益分配事项；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（14）管理费、托管费、申购费、赎回费等费用计提标准、计提方式和费率发生变更；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（15）基金份额净值计价错误达基金份额净值百分之零点五；</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（16）本基金开始办理申购、赎回；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（17）本基金发生巨额赎回并延期办理；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（18）本基金连续发生巨额赎回并暂停接受赎回申请或延缓支付赎回款项；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（19）本基金暂停接受申购、赎回申请或重新接受申购、赎回申请；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（20）发生涉及基金申购、赎回事项调整或潜在影响投资者赎回等重大事项时；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（21）基金管理人采用摆动定价机制进行估值；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（23）本基金推出新业务或服务；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（24）《基金合同》生效后，连续30、40、45个工作日出现基金份额持有人数量不满200人或者基金资产净值低于5000万元情形，基金管理人应当发布提示性公</w:t>
      </w:r>
      <w:r>
        <w:rPr>
          <w:rFonts w:ascii="宋体" w:hAnsi="宋体"/>
          <w:sz w:val="24"/>
        </w:rPr>
        <w:lastRenderedPageBreak/>
        <w:t>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6、澄清公告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7、基金份额持有人大会决议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8、基金投资资产支持证券情况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9、实施侧袋机制期间的信息披露</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10、中国证监会规定的其他信息。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w:t>
      </w:r>
      <w:r>
        <w:rPr>
          <w:rFonts w:ascii="宋体" w:hAnsi="宋体"/>
          <w:sz w:val="24"/>
        </w:rPr>
        <w:lastRenderedPageBreak/>
        <w:t>基金定期报告、更新的招募说明书、基金产品资料概要、基金清算报告等公开披露的相关基金信息进行复核、审查，并向基金管理人进行书面或电子确认。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1" w:name="_Toc243639074"/>
      <w:r>
        <w:rPr>
          <w:rFonts w:ascii="Times New Roman" w:hAnsi="Times New Roman"/>
          <w:sz w:val="30"/>
        </w:rPr>
        <w:lastRenderedPageBreak/>
        <w:t>十八、侧袋机制</w:t>
      </w:r>
      <w:bookmarkEnd w:id="21"/>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6164F" w:rsidRDefault="00512F71">
      <w:pPr>
        <w:pStyle w:val="1"/>
        <w:snapToGrid w:val="0"/>
        <w:spacing w:beforeLines="0" w:before="240" w:after="240"/>
        <w:rPr>
          <w:rFonts w:ascii="宋体" w:hAnsi="宋体"/>
          <w:szCs w:val="30"/>
        </w:rPr>
      </w:pPr>
      <w:bookmarkStart w:id="22" w:name="_Toc243639075"/>
      <w:r>
        <w:rPr>
          <w:rFonts w:ascii="Times New Roman" w:hAnsi="Times New Roman"/>
          <w:sz w:val="30"/>
        </w:rPr>
        <w:lastRenderedPageBreak/>
        <w:t>十九、风险揭示</w:t>
      </w:r>
      <w:bookmarkEnd w:id="22"/>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个券方面未有高</w:t>
      </w:r>
      <w:r>
        <w:rPr>
          <w:rFonts w:ascii="宋体" w:hAnsi="宋体"/>
          <w:sz w:val="24"/>
        </w:rPr>
        <w:lastRenderedPageBreak/>
        <w:t>集中度的特征，综合评估在正常市场环境下本基金的流动性风险适中。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w:t>
      </w:r>
      <w:r>
        <w:rPr>
          <w:rFonts w:ascii="宋体" w:hAnsi="宋体"/>
          <w:sz w:val="24"/>
        </w:rPr>
        <w:lastRenderedPageBreak/>
        <w:t>“（1）全额赎回”或“（2）部分延期赎回”的约定方式与其他基金份额持有人的赎回申请一并办理。但是，如基金份额持有人在当日选择取消赎回，则其当日未获受理的部分赎回申请将被撤销。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w:t>
      </w:r>
      <w:r>
        <w:rPr>
          <w:rFonts w:ascii="宋体" w:hAnsi="宋体"/>
          <w:sz w:val="24"/>
        </w:rPr>
        <w:lastRenderedPageBreak/>
        <w:t>绩指标不能反映特定资产的真实价值及变化情况。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其中投资于中高等级信用债的比例不低于非现金基金资产的80%，因投资固定收益类资产而面临固定收益类资产市场的系统性风险和个券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4、基金合同提前终止风险。连续五十个工作日出现基金份额持有人数量不满200人或者基金资产净值低于5000万元情形的，基金管理人提前终止基金合同，不需召开基金份额持有人大会。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3" w:name="_Toc243639076"/>
      <w:r>
        <w:rPr>
          <w:rFonts w:ascii="Times New Roman" w:hAnsi="Times New Roman"/>
          <w:sz w:val="30"/>
        </w:rPr>
        <w:lastRenderedPageBreak/>
        <w:t>二十、基金合同的变更、终止与基金财产的清算</w:t>
      </w:r>
      <w:bookmarkEnd w:id="23"/>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4" w:name="_Toc243639077"/>
      <w:r>
        <w:rPr>
          <w:rFonts w:ascii="Times New Roman" w:hAnsi="Times New Roman"/>
          <w:sz w:val="30"/>
        </w:rPr>
        <w:lastRenderedPageBreak/>
        <w:t>二十一、基金合同内容摘要</w:t>
      </w:r>
      <w:bookmarkEnd w:id="24"/>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24）执行生效的基金份额持有人大会的决议；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25）建立并保存基金份额持有人名册；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26）法律法规及中国证监会规定的和《基金合同》约定的其他义务。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w:t>
      </w:r>
      <w:r>
        <w:rPr>
          <w:rFonts w:ascii="宋体" w:hAnsi="宋体"/>
          <w:sz w:val="24"/>
        </w:rPr>
        <w:lastRenderedPageBreak/>
        <w:t>同》及国家法律法规行为，对基金财产、其他当事人的利益造成重大损失的情形，应呈报中国证监会，并采取必要措施保护基金投资者的利益；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11）保存基金托管业务活动的记录、账册、报表和其他相关资料15年以上；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4）按照规定要求召开基金份额持有人大会或者召集基金份额持有人大会；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1、召开事由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w:t>
      </w:r>
      <w:r>
        <w:rPr>
          <w:rFonts w:ascii="宋体" w:hAnsi="宋体"/>
          <w:sz w:val="24"/>
        </w:rPr>
        <w:lastRenderedPageBreak/>
        <w:t>影响的前提下，基金推出新业务或服务；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7）在不违反法律法规及对基金份额持有人利益无实质性不利影响的前提下，基金管理人、登记机构、销售机构调整有关基金申购、赎回、转换、收益分配、非交易过户、转托管等业务的规则；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w:t>
      </w:r>
      <w:r>
        <w:rPr>
          <w:rFonts w:ascii="宋体" w:hAnsi="宋体"/>
          <w:sz w:val="24"/>
        </w:rPr>
        <w:lastRenderedPageBreak/>
        <w:t>证监会备案。基金份额持有人依法自行召集基金份额持有人大会的，基金管理人、基金托管人应当配合，不得阻碍、干扰；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w:t>
      </w:r>
      <w:r>
        <w:rPr>
          <w:rFonts w:ascii="宋体" w:hAnsi="宋体"/>
          <w:sz w:val="24"/>
        </w:rPr>
        <w:lastRenderedPageBreak/>
        <w:t>时符合以下条件时，可以进行基金份额持有人大会议程：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w:t>
      </w:r>
      <w:r>
        <w:rPr>
          <w:rFonts w:ascii="宋体" w:hAnsi="宋体"/>
          <w:sz w:val="24"/>
        </w:rPr>
        <w:lastRenderedPageBreak/>
        <w:t>名（或单位名称）和联系方式等事项。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w:t>
      </w:r>
      <w:r>
        <w:rPr>
          <w:rFonts w:ascii="宋体" w:hAnsi="宋体"/>
          <w:sz w:val="24"/>
        </w:rPr>
        <w:lastRenderedPageBreak/>
        <w:t>理人或基金托管人不出席大会的，不影响计票的效力。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w:t>
      </w:r>
      <w:r>
        <w:rPr>
          <w:rFonts w:ascii="宋体" w:hAnsi="宋体"/>
          <w:sz w:val="24"/>
        </w:rPr>
        <w:lastRenderedPageBreak/>
        <w:t>基金份额10%以上（含10%）；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w:t>
      </w:r>
      <w:r>
        <w:rPr>
          <w:rFonts w:ascii="宋体" w:hAnsi="宋体"/>
          <w:sz w:val="24"/>
        </w:rPr>
        <w:lastRenderedPageBreak/>
        <w:t>自决议生效后依照《信息披露办法》的规定在指定媒介公告。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w:t>
      </w:r>
      <w:r>
        <w:rPr>
          <w:rFonts w:ascii="宋体" w:hAnsi="宋体"/>
          <w:sz w:val="24"/>
        </w:rPr>
        <w:lastRenderedPageBreak/>
        <w:t>不能及时变现的，清算期限相应顺延。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6164F" w:rsidRDefault="00512F71">
      <w:pPr>
        <w:pStyle w:val="1"/>
        <w:snapToGrid w:val="0"/>
        <w:spacing w:beforeLines="0" w:before="240" w:after="240"/>
        <w:rPr>
          <w:rFonts w:ascii="宋体" w:hAnsi="宋体"/>
          <w:szCs w:val="30"/>
        </w:rPr>
      </w:pPr>
      <w:bookmarkStart w:id="25" w:name="_Toc243639078"/>
      <w:r>
        <w:rPr>
          <w:rFonts w:ascii="Times New Roman" w:hAnsi="Times New Roman"/>
          <w:sz w:val="30"/>
        </w:rPr>
        <w:lastRenderedPageBreak/>
        <w:t>二十二、托管协议的内容摘要</w:t>
      </w:r>
      <w:bookmarkEnd w:id="25"/>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或中国证监会允许投资的其他金融工具（但须符合中国证监会相关规定）。本基金不投资于股票，也不投资于可转换债券（可分离交易可转债的纯债部分除外）、可交换债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中高等级信用债的比例不低于非现金基金资产的80%。本基金持有的现金或到期日在一年以内的政府债券的比例合计不低于基金资产净值的5%，其中现金不包括结算备付金、存出保证金、应收申购款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本基金所指的中高等级信用债为信用评级在AA+级（含）以上的信用债，包括</w:t>
      </w:r>
      <w:r>
        <w:rPr>
          <w:rFonts w:ascii="宋体" w:hAnsi="宋体"/>
          <w:sz w:val="24"/>
        </w:rPr>
        <w:lastRenderedPageBreak/>
        <w:t>金融债（不包含政策性金融债）、地方政府债、政府支持债、政府支持机构债、企业债、公司债、可分离交易可转债的纯债部分、公开发行的次级债、短期融资券、超短期融资券、中期票据等非国家信用的债券资产。本基金对中高等级信用债的认定参照基金管理人选定的评级机构出具的信用评级，其中，本基金投资的金融债（不包含政策性金融债）、地方政府债、政府支持债、政府支持机构债、企业债、公司债、可分离交易可转债的纯债部分、公开发行的次级债、中期票据等信用债的信用评级依照评级机构出具的债券信用评级；本基金投资的短期融资券、超短期融资券等短期信用债的信用评级依照评级机构出具的主体信用评级。本基金投资的信用债若无债项评级的，参照主体信用评级。对于债项评级和主体评级均没有的信用债，基金管理人需结合自身的内部信用评级进行独立判断与认定，以基金管理人的判断结果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（1）本基金投资于债券资产的比例不低于基金资产的80%，其中投资于中高等级信用债的比例不低于非现金基金资产的80%；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（2）本基金持有的现金或者到期日在一年以内的政府债券的投资比例合计不低于基金资产净值的5%，其中现金不包括结算备付金、存出保证金、应收申购款等；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（4）本基金管理人管理的、且由本基金托管人托管的全部基金持有一家公司发行的证券，不超过该证券的10％，完全按照有关指数的构成比例进行证券投资的基金品种可以不受此条款规定的比例限制；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（8）本基金管理人管理的、且由本基金托管人托管的全部基金投资于同一原始权益人的各类资产支持证券，不得超过其各类资产支持证券合计规模的10％；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w:t>
      </w:r>
      <w:r>
        <w:rPr>
          <w:rFonts w:ascii="宋体" w:hAnsi="宋体"/>
          <w:sz w:val="24"/>
        </w:rPr>
        <w:lastRenderedPageBreak/>
        <w:t>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w:t>
      </w:r>
      <w:r>
        <w:rPr>
          <w:rFonts w:ascii="宋体" w:hAnsi="宋体"/>
          <w:sz w:val="24"/>
        </w:rPr>
        <w:lastRenderedPageBreak/>
        <w:t>建立投资制度、审慎选择存款银行，做好风险控制；并按照基金托管人的要求配合基金托管人完成相关业务办理。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w:t>
      </w:r>
      <w:r>
        <w:rPr>
          <w:rFonts w:ascii="宋体" w:hAnsi="宋体"/>
          <w:sz w:val="24"/>
        </w:rPr>
        <w:lastRenderedPageBreak/>
        <w:t>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3、基金证券账户和结算备付金账户的开立和管理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w:t>
      </w:r>
      <w:r>
        <w:rPr>
          <w:rFonts w:ascii="宋体" w:hAnsi="宋体"/>
          <w:sz w:val="24"/>
        </w:rPr>
        <w:lastRenderedPageBreak/>
        <w:t>备付金账户，并代表所托管的基金完成与中国证券登记结算有限责任公司的一级法人清算工作，基金管理人应予以积极协助。结算备付金的收取按照中国证券登记结算有限责任公司的规定执行。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4、债券托管专户的开设和管理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5、其他账户的开立和管理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6、基金财产投资的有关有价凭证等的保管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（五）基金资产净值计算、估值和会计核算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基金份额净值结果发送基金托管人，经基金托管人复核无误后，由基金管理人依据基金合同和相关法律法规的规定对外公布。月末、年中和年末估值复核与基金会计账目的核对同时进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基金所拥有的债券和其他投资等持续以公允价值计量的金融资产及负债。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①交易所市场上市实行净价交易或挂牌转让的固定收益品种（另有规定的除外），选取第三方估值机构提供的相应品种当日的估值净价进行估值；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②交易所上市实行全价交易的债券（可转债除外），选取第三方估值机构提供的估值全价减去估值全价中所含的债券（税后）应收利息得到的净价进行估值；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③交易所上市交易的可转换债券以每日收盘价作为估值全价；</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④交易所上市不存在活跃市场的有价证券，采用估值技术确定公允价值。交易所市场挂牌转让的资产支持证券，采用估值技术确定公允价值，在估值技术难以可靠计量公允价值的情况下，按成本估值；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⑤对在交易所市场发行未上市或未挂牌转让的债券，对存在活跃市场的情况</w:t>
      </w:r>
      <w:r>
        <w:rPr>
          <w:rFonts w:ascii="宋体" w:hAnsi="宋体"/>
          <w:sz w:val="24"/>
        </w:rPr>
        <w:lastRenderedPageBreak/>
        <w:t>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4）如有确凿证据表明按上述方法进行估值不能客观反映其公允价值的，基金管理人可根据具体情况与基金托管人商定后，按最能反映公允价值的价格估值。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w:t>
      </w:r>
      <w:r>
        <w:rPr>
          <w:rFonts w:ascii="宋体" w:hAnsi="宋体"/>
          <w:sz w:val="24"/>
        </w:rPr>
        <w:lastRenderedPageBreak/>
        <w:t>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基金份额净值错误时，由基金管理人负责处理，由此给基金份额持有人和基金造成损失的，应由基金管理人先行赔付，基金管理人按差错情形，有权向其他当事人追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（3）基金管理人和基金托管人由于各自技术系统设置而产生的净值计算尾差，以基金管理人计算结果为准。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（4）前述内容如法律法规或监管机构另有规定的，从其规定处理。如果行业有通行做法，双方当事人应本着平等和保护基金份额持有人利益的原则进行协商。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本协议适用中国法律（不含港澳台地区法律）并从其解释。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1）自出现《基金合同》终止事由之日起30个工作日内成立清算小组，基金管理人组织基金财产清算小组并在中国证监会的监督下进行基金清算。</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2）基金财产清算小组成员由基金管理人、基金托管人、具有从事证券、期货</w:t>
      </w:r>
      <w:r>
        <w:rPr>
          <w:rFonts w:ascii="宋体" w:hAnsi="宋体"/>
          <w:sz w:val="24"/>
        </w:rPr>
        <w:lastRenderedPageBreak/>
        <w:t>相关业务资格的注册会计师、律师以及中国证监会指定的人员组成。基金财产清算小组可以聘用必要的工作人员。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w:t>
      </w:r>
      <w:r>
        <w:rPr>
          <w:rFonts w:ascii="宋体" w:hAnsi="宋体"/>
          <w:sz w:val="24"/>
        </w:rPr>
        <w:lastRenderedPageBreak/>
        <w:t>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6" w:name="_Toc243639079"/>
      <w:r>
        <w:rPr>
          <w:rFonts w:ascii="Times New Roman" w:hAnsi="Times New Roman"/>
          <w:sz w:val="30"/>
        </w:rPr>
        <w:lastRenderedPageBreak/>
        <w:t>二十三、对基金份额持有人的服务</w:t>
      </w:r>
      <w:bookmarkEnd w:id="26"/>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（五）定期定额投资计划和转换业务</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7" w:name="_Toc243639080"/>
      <w:r>
        <w:rPr>
          <w:rFonts w:ascii="Times New Roman" w:hAnsi="Times New Roman"/>
          <w:sz w:val="30"/>
        </w:rPr>
        <w:lastRenderedPageBreak/>
        <w:t>二十四、其他应披露事项</w:t>
      </w:r>
      <w:bookmarkEnd w:id="27"/>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交银施罗德基金管理有限公司关于交银施罗德中高等级信用债债券型证券投资基金分红公告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2025-09-22</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交银施罗德中高等级信用债债券型证券投资基金托管协议更新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交银施罗德基金管理有限公司关于交银施罗德中高等级信用债债券型证券投资基金修改债项评级相关投资限制条款并相应修改法律文件的公告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交银施罗德基金管理有限公司关于交银施罗德中高等级信用债债券型证券投资基金分红公告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2026-03-13</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交银施罗德中高等级信用债债券型证券投资基金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B6164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6164F" w:rsidRDefault="00512F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8" w:name="_Toc243639081"/>
      <w:r>
        <w:rPr>
          <w:rFonts w:ascii="Times New Roman" w:hAnsi="Times New Roman"/>
          <w:sz w:val="30"/>
        </w:rPr>
        <w:lastRenderedPageBreak/>
        <w:t>二十五、招募说明书的存放及查阅方式</w:t>
      </w:r>
      <w:bookmarkEnd w:id="28"/>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12F7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6164F" w:rsidRDefault="00512F71">
      <w:pPr>
        <w:pStyle w:val="1"/>
        <w:snapToGrid w:val="0"/>
        <w:spacing w:beforeLines="0" w:before="240" w:after="240"/>
        <w:rPr>
          <w:rFonts w:ascii="宋体" w:hAnsi="宋体"/>
          <w:szCs w:val="30"/>
        </w:rPr>
      </w:pPr>
      <w:bookmarkStart w:id="29" w:name="_Toc243639082"/>
      <w:r>
        <w:rPr>
          <w:rFonts w:ascii="Times New Roman" w:hAnsi="Times New Roman"/>
          <w:sz w:val="30"/>
        </w:rPr>
        <w:lastRenderedPageBreak/>
        <w:t>二十六、备查文件</w:t>
      </w:r>
      <w:bookmarkEnd w:id="29"/>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（一）中国证监会对交银施罗德理财21天债券型证券投资基金转型为交银施罗德中高等级信用债债券型证券投资基金准予变更注册的文件</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（二）《交银施罗德中高等级信用债债券型证券投资基金基金合同》</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（三）《交银施罗德中高等级信用债债券型证券投资基金托管协议》</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6164F" w:rsidRDefault="00512F7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（六）法律意见书</w:t>
      </w:r>
    </w:p>
    <w:sectPr w:rsidR="00B6164F">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174" w:rsidRDefault="00512F71">
      <w:r>
        <w:separator/>
      </w:r>
    </w:p>
  </w:endnote>
  <w:endnote w:type="continuationSeparator" w:id="0">
    <w:p w:rsidR="00D32174" w:rsidRDefault="0051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B6164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532FB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6164F" w:rsidRDefault="00512F7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32FB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B6164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532FB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6164F" w:rsidRDefault="00512F7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32FB7">
                  <w:rPr>
                    <w:rFonts w:ascii="Times New Roman" w:hAnsi="Times New Roman"/>
                    <w:noProof/>
                    <w:kern w:val="0"/>
                    <w:sz w:val="18"/>
                    <w:szCs w:val="18"/>
                  </w:rPr>
                  <w:t>136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174" w:rsidRDefault="00512F71">
      <w:r>
        <w:separator/>
      </w:r>
    </w:p>
  </w:footnote>
  <w:footnote w:type="continuationSeparator" w:id="0">
    <w:p w:rsidR="00D32174" w:rsidRDefault="00512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B6164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512F71">
    <w:pPr>
      <w:pStyle w:val="a3"/>
      <w:jc w:val="right"/>
      <w:rPr>
        <w:rFonts w:ascii="宋体" w:hAnsi="宋体"/>
      </w:rPr>
    </w:pPr>
    <w:r>
      <w:rPr>
        <w:rFonts w:ascii="宋体" w:hAnsi="宋体" w:hint="eastAsia"/>
      </w:rPr>
      <w:t>交银施罗德中高等级信用债债券型证券投资基金招募说明书更新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B6164F">
    <w:pPr>
      <w:pStyle w:val="10"/>
      <w:jc w:val="right"/>
    </w:pPr>
  </w:p>
  <w:p w:rsidR="00B6164F" w:rsidRDefault="00B6164F">
    <w:pPr>
      <w:pStyle w:val="10"/>
      <w:jc w:val="right"/>
    </w:pPr>
  </w:p>
  <w:p w:rsidR="00B6164F" w:rsidRDefault="00B6164F">
    <w:pPr>
      <w:pStyle w:val="a3"/>
      <w:jc w:val="right"/>
    </w:pPr>
  </w:p>
  <w:p w:rsidR="00B6164F" w:rsidRDefault="00512F71">
    <w:pPr>
      <w:pStyle w:val="a3"/>
      <w:jc w:val="right"/>
      <w:rPr>
        <w:rFonts w:ascii="宋体" w:hAnsi="宋体"/>
      </w:rPr>
    </w:pPr>
    <w:r>
      <w:rPr>
        <w:rFonts w:ascii="宋体" w:hAnsi="宋体" w:hint="eastAsia"/>
      </w:rPr>
      <w:t>交银施罗德中高等级信用债债券型证券投资基金招募说明书更新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4F" w:rsidRDefault="00B6164F">
    <w:pPr>
      <w:pStyle w:val="a3"/>
      <w:jc w:val="right"/>
    </w:pPr>
  </w:p>
  <w:p w:rsidR="00B6164F" w:rsidRDefault="00B6164F">
    <w:pPr>
      <w:pStyle w:val="a3"/>
      <w:jc w:val="right"/>
    </w:pPr>
  </w:p>
  <w:p w:rsidR="00B6164F" w:rsidRDefault="00B6164F">
    <w:pPr>
      <w:pStyle w:val="a3"/>
      <w:jc w:val="right"/>
    </w:pPr>
  </w:p>
  <w:p w:rsidR="00B6164F" w:rsidRDefault="00512F71">
    <w:pPr>
      <w:pStyle w:val="a3"/>
      <w:jc w:val="right"/>
      <w:rPr>
        <w:rFonts w:ascii="宋体" w:hAnsi="宋体"/>
      </w:rPr>
    </w:pPr>
    <w:r>
      <w:rPr>
        <w:rFonts w:ascii="宋体" w:hAnsi="宋体" w:hint="eastAsia"/>
      </w:rPr>
      <w:t>交银施罗德中高等级信用债债券型证券投资基金招募说明书更新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2F71"/>
    <w:rsid w:val="00514C6B"/>
    <w:rsid w:val="005161EC"/>
    <w:rsid w:val="0051709F"/>
    <w:rsid w:val="005175EB"/>
    <w:rsid w:val="00521A18"/>
    <w:rsid w:val="00522079"/>
    <w:rsid w:val="00522622"/>
    <w:rsid w:val="0052450E"/>
    <w:rsid w:val="00525410"/>
    <w:rsid w:val="00530703"/>
    <w:rsid w:val="00530763"/>
    <w:rsid w:val="00532FB7"/>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164F"/>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1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B50BEEEF-67D9-47BC-8128-C0EE10EF6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137</Pages>
  <Words>14487</Words>
  <Characters>82580</Characters>
  <Application>Microsoft Office Word</Application>
  <DocSecurity>0</DocSecurity>
  <Lines>688</Lines>
  <Paragraphs>193</Paragraphs>
  <ScaleCrop>false</ScaleCrop>
  <Company>Microsoft</Company>
  <LinksUpToDate>false</LinksUpToDate>
  <CharactersWithSpaces>96874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2026-10-23T01:10:00Z</dcterms:created>
  <dcterms:modified xsi:type="dcterms:W3CDTF">2026-10-23T01:10:00Z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