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交银施罗德信用添利债券证券投资基金（LOF）（C类份额）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交银信用添利债券（LOF）C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027672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2015-08-04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pPr>
              <w:ind w:firstLine="420"/>
              <w:jc w:val="left"/>
              <w:rPr>
                <w:rFonts w:ascii="仿宋_GB2312" w:eastAsia="仿宋_GB2312"/>
                <w:szCs w:val="21"/>
              </w:rPr>
            </w:pPr>
            <w:r>
              <w:rPr>
                <w:rFonts w:hint="eastAsia" w:ascii="仿宋_GB2312" w:eastAsia="仿宋_GB2312"/>
                <w:szCs w:val="21"/>
              </w:rPr>
              <w:t>如法律法规或中国证监会以后允许基金投资其他品种，基金管理人在履行适当程序后，可以将其纳入投资范围。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本基金的投资组合比例如下：</w:t>
            </w:r>
          </w:p>
          <w:p>
            <w:pPr>
              <w:ind w:firstLine="420"/>
              <w:jc w:val="left"/>
              <w:rPr>
                <w:rFonts w:ascii="仿宋_GB2312" w:eastAsia="仿宋_GB2312"/>
                <w:szCs w:val="21"/>
              </w:rPr>
            </w:pPr>
            <w:r>
              <w:rPr>
                <w:rFonts w:hint="eastAsia" w:ascii="仿宋_GB2312" w:eastAsia="仿宋_GB2312"/>
                <w:szCs w:val="21"/>
              </w:rPr>
              <w:t>本基金在开放期内，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本基金所指信用债券指金融债（不含政策性金融债）、地方政府债、企业债、公司债、短期融资券、可转换债券及可分离转债、资产支持证券等除国债和中央银行票据之外的、非国家信用的固定收益类金融工具。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w:t>
            </w:r>
          </w:p>
          <w:p>
            <w:pPr>
              <w:ind w:firstLine="420"/>
              <w:jc w:val="left"/>
              <w:rPr>
                <w:rFonts w:ascii="仿宋_GB2312" w:eastAsia="仿宋_GB2312"/>
                <w:szCs w:val="21"/>
              </w:rPr>
            </w:pPr>
            <w:r>
              <w:rPr>
                <w:rFonts w:hint="eastAsia" w:ascii="仿宋_GB2312" w:eastAsia="仿宋_GB2312"/>
                <w:szCs w:val="21"/>
              </w:rPr>
              <w:t>同时，本基金也会关注股票一级市场、权证一级市场等其它相关市场存在的投资机会，力争实现基金总体风险收益特征保持不变前提下的基金资产增值最大化。</w:t>
            </w:r>
          </w:p>
          <w:p>
            <w:pPr>
              <w:ind w:firstLine="420"/>
              <w:jc w:val="left"/>
              <w:rPr>
                <w:rFonts w:ascii="仿宋_GB2312" w:eastAsia="仿宋_GB2312"/>
                <w:szCs w:val="21"/>
              </w:rPr>
            </w:pPr>
            <w:r>
              <w:rPr>
                <w:rFonts w:hint="eastAsia" w:ascii="仿宋_GB2312" w:eastAsia="仿宋_GB2312"/>
                <w:szCs w:val="21"/>
              </w:rPr>
              <w:t>1、大类资产配置；2、债券投资策略；3、新股投资策略；4、权证投资策略。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80%×中债企业债总全价指数收益率+20%×中债国债总全价指数收益率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详见《交银施罗德信用添利债券证券投资基金（LOF）招募说明书》“基金的投资”。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 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注：本基金自2026年5月22日起，开始销售C类份额，截至财务数据截止日，无C类份额。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个人投资者</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个人投资者</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机构投资者</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1843" w:type="dxa"/>
            <w:vAlign w:val="center"/>
          </w:tcPr>
          <w:p>
            <w:pPr>
              <w:rPr>
                <w:rFonts w:ascii="仿宋_GB2312" w:eastAsia="仿宋_GB2312"/>
                <w:szCs w:val="21"/>
              </w:rPr>
            </w:pPr>
            <w:r>
              <w:rPr>
                <w:rFonts w:hint="eastAsia" w:ascii="仿宋_GB2312" w:eastAsia="仿宋_GB2312"/>
                <w:szCs w:val="21"/>
              </w:rPr>
              <w:t>机构投资者</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机构投资者</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通过直销机构申购的C类基金份额，计提的销售服务费将在投资人赎回相应基金份额或基金合同终止时随赎回款或清算款一并返还给投资人；通过其他销售机构申购的C类基金份额，持续持有超过一年后计提的销售服务费将在投资人赎回相应基金份额或基金合同终止时随赎回款或清算款一并返还给投资人。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4、本基金特有的风险</w:t>
      </w:r>
    </w:p>
    <w:p>
      <w:pPr>
        <w:ind w:firstLine="420"/>
        <w:jc w:val="left"/>
        <w:rPr>
          <w:rFonts w:ascii="仿宋_GB2312" w:eastAsia="仿宋_GB2312"/>
          <w:szCs w:val="21"/>
        </w:rPr>
      </w:pPr>
      <w:r>
        <w:rPr>
          <w:rFonts w:hint="eastAsia" w:ascii="仿宋_GB2312" w:eastAsia="仿宋_GB2312"/>
          <w:szCs w:val="21"/>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6、其他风险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●《交银施罗德信用添利债券证券投资基金（LOF）基金合同》、</w:t>
      </w:r>
    </w:p>
    <w:p>
      <w:pPr>
        <w:ind w:firstLine="420"/>
        <w:jc w:val="left"/>
        <w:rPr>
          <w:rFonts w:ascii="仿宋_GB2312" w:eastAsia="仿宋_GB2312"/>
          <w:szCs w:val="21"/>
        </w:rPr>
      </w:pPr>
      <w:r>
        <w:rPr>
          <w:rFonts w:hint="eastAsia" w:ascii="仿宋_GB2312" w:eastAsia="仿宋_GB2312"/>
          <w:szCs w:val="21"/>
        </w:rPr>
        <w:t>《交银施罗德信用添利债券证券投资基金（LOF）托管协议》、</w:t>
      </w:r>
    </w:p>
    <w:p>
      <w:pPr>
        <w:ind w:firstLine="420"/>
        <w:jc w:val="left"/>
        <w:rPr>
          <w:rFonts w:ascii="仿宋_GB2312" w:eastAsia="仿宋_GB2312"/>
          <w:szCs w:val="21"/>
        </w:rPr>
      </w:pPr>
      <w:r>
        <w:rPr>
          <w:rFonts w:hint="eastAsia" w:ascii="仿宋_GB2312" w:eastAsia="仿宋_GB2312"/>
          <w:szCs w:val="21"/>
        </w:rPr>
        <w:t>《交银施罗德信用添利债券证券投资基金（LOF）招募说明书》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945EC"/>
    <w:rsid w:val="009C0C41"/>
    <w:rsid w:val="009F4EAE"/>
    <w:rsid w:val="00AB59CB"/>
    <w:rsid w:val="00AF7A1E"/>
    <w:rsid w:val="00C0525C"/>
    <w:rsid w:val="00CD7637"/>
    <w:rsid w:val="00D04A15"/>
    <w:rsid w:val="00D373CC"/>
    <w:rsid w:val="00DB319C"/>
    <w:rsid w:val="00E51B6D"/>
    <w:rsid w:val="00F75715"/>
    <w:rsid w:val="00F811C4"/>
    <w:rsid w:val="00FC2918"/>
    <w:rsid w:val="20FB2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647</Words>
  <Characters>3691</Characters>
  <Lines>30</Lines>
  <Paragraphs>8</Paragraphs>
  <TotalTime>0</TotalTime>
  <ScaleCrop>false</ScaleCrop>
  <LinksUpToDate>false</LinksUpToDate>
  <CharactersWithSpaces>4330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2026-10-23T06:43:00Z</dcterms:created>
  <dc:creator>Cc</dc:creator>
  <cp:lastModifiedBy>haotingting</cp:lastModifiedBy>
  <dcterms:modified xsi:type="dcterms:W3CDTF">2026-10-23T06:44:44Z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F75247B2194540C4A943EE77920C2B84</vt:lpwstr>
  </property>
</Properties>
</file>