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542DA3">
      <w:pPr>
        <w:rPr>
          <w:sz w:val="32"/>
        </w:rPr>
      </w:pPr>
    </w:p>
    <w:p w:rsidR="00C92FC0" w:rsidRPr="00EB07BC" w:rsidRDefault="00542DA3">
      <w:pPr>
        <w:rPr>
          <w:sz w:val="32"/>
        </w:rPr>
      </w:pPr>
    </w:p>
    <w:p w:rsidR="00C92FC0" w:rsidRPr="00EB07BC" w:rsidRDefault="00542DA3">
      <w:pPr>
        <w:rPr>
          <w:sz w:val="32"/>
        </w:rPr>
      </w:pPr>
    </w:p>
    <w:p w:rsidR="00E5327E" w:rsidRDefault="00E5327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5327E" w:rsidRDefault="00E5327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5327E" w:rsidRDefault="00E5327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5327E" w:rsidRDefault="003A285E">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交银施罗德增利债券证券投资基金</w:t>
      </w:r>
    </w:p>
    <w:p w:rsidR="00E5327E" w:rsidRDefault="003A285E">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E5327E" w:rsidRDefault="00E5327E">
      <w:pPr>
        <w:snapToGrid w:val="0"/>
        <w:spacing w:line="360" w:lineRule="auto"/>
        <w:jc w:val="center"/>
        <w:rPr>
          <w:rFonts w:ascii="宋体" w:hAnsi="宋体"/>
          <w:b/>
          <w:sz w:val="30"/>
          <w:szCs w:val="30"/>
        </w:rPr>
      </w:pPr>
    </w:p>
    <w:p w:rsidR="00E5327E" w:rsidRDefault="00E5327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5327E" w:rsidRDefault="00E5327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5327E" w:rsidRDefault="00E5327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5327E" w:rsidRDefault="00E5327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5327E" w:rsidRDefault="00E5327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5327E" w:rsidRDefault="00E5327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5327E" w:rsidRDefault="003A285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E5327E" w:rsidRDefault="003A285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E5327E" w:rsidRDefault="00E5327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5327E" w:rsidRDefault="00E5327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5327E" w:rsidRDefault="003A285E">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二〇二六年十月</w:t>
      </w:r>
    </w:p>
    <w:p w:rsidR="00E5327E" w:rsidRDefault="00E5327E">
      <w:pPr>
        <w:autoSpaceDE w:val="0"/>
        <w:autoSpaceDN w:val="0"/>
        <w:adjustRightInd w:val="0"/>
        <w:snapToGrid w:val="0"/>
        <w:spacing w:line="360" w:lineRule="auto"/>
        <w:ind w:left="1347" w:rightChars="6" w:right="13"/>
        <w:rPr>
          <w:rFonts w:ascii="宋体" w:hAnsi="宋体"/>
          <w:kern w:val="0"/>
          <w:sz w:val="32"/>
          <w:szCs w:val="32"/>
        </w:rPr>
        <w:sectPr w:rsidR="00E5327E">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E5327E" w:rsidRDefault="003A285E">
      <w:pPr>
        <w:pStyle w:val="1"/>
        <w:snapToGrid w:val="0"/>
        <w:spacing w:beforeLines="0" w:before="240" w:after="240"/>
        <w:rPr>
          <w:rFonts w:ascii="宋体" w:hAnsi="宋体"/>
          <w:kern w:val="0"/>
        </w:rPr>
      </w:pPr>
      <w:bookmarkStart w:id="0" w:name="_Toc324920538"/>
      <w:bookmarkStart w:id="1" w:name="_Toc496884613"/>
      <w:bookmarkStart w:id="2" w:name="_Toc243660429"/>
      <w:r>
        <w:rPr>
          <w:rFonts w:ascii="Times New Roman" w:hAnsi="Times New Roman"/>
          <w:kern w:val="0"/>
        </w:rPr>
        <w:lastRenderedPageBreak/>
        <w:t>重要提示</w:t>
      </w:r>
      <w:bookmarkEnd w:id="0"/>
      <w:bookmarkEnd w:id="1"/>
      <w:bookmarkEnd w:id="2"/>
    </w:p>
    <w:p w:rsidR="00E5327E" w:rsidRDefault="003A285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交银施罗德增利债券证券投资基金（以下简称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2008</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5</w:t>
      </w:r>
      <w:r>
        <w:rPr>
          <w:rFonts w:ascii="Times New Roman" w:hAnsi="Times New Roman"/>
          <w:kern w:val="0"/>
          <w:sz w:val="24"/>
        </w:rPr>
        <w:t>日中国证券监督管理委员会证监许可【</w:t>
      </w:r>
      <w:r>
        <w:rPr>
          <w:rFonts w:ascii="Times New Roman" w:hAnsi="Times New Roman"/>
          <w:kern w:val="0"/>
          <w:sz w:val="24"/>
        </w:rPr>
        <w:t>2008</w:t>
      </w:r>
      <w:r>
        <w:rPr>
          <w:rFonts w:ascii="Times New Roman" w:hAnsi="Times New Roman"/>
          <w:kern w:val="0"/>
          <w:sz w:val="24"/>
        </w:rPr>
        <w:t>】</w:t>
      </w:r>
      <w:r>
        <w:rPr>
          <w:rFonts w:ascii="Times New Roman" w:hAnsi="Times New Roman"/>
          <w:kern w:val="0"/>
          <w:sz w:val="24"/>
        </w:rPr>
        <w:t>239</w:t>
      </w:r>
      <w:r>
        <w:rPr>
          <w:rFonts w:ascii="Times New Roman" w:hAnsi="Times New Roman"/>
          <w:kern w:val="0"/>
          <w:sz w:val="24"/>
        </w:rPr>
        <w:t>号文核准募集。本基金基金合同于</w:t>
      </w:r>
      <w:r>
        <w:rPr>
          <w:rFonts w:ascii="Times New Roman" w:hAnsi="Times New Roman"/>
          <w:kern w:val="0"/>
          <w:sz w:val="24"/>
        </w:rPr>
        <w:t>2008</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日正式生效。</w:t>
      </w:r>
    </w:p>
    <w:p w:rsidR="00E5327E" w:rsidRDefault="003A285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E5327E" w:rsidRDefault="003A285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E5327E" w:rsidRDefault="003A285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认（申）购基金的意愿、时机、数量等投资行为作出独立决策。投资人根据所持有份额享受基金的收益，但同时也需承担相应的投资风险。投资本基金可能遇到的风险包括：因政治、经济、社会等因素对证券价格波动产生影响而引发的系统性风险，个别证券特有的非系统性风险，流动性风险（包括实施侧袋机制时的特定风险），基金管理人在基金管理实施过程中产生的基金管理风险，本基金投资债券引发的信用风险，以及本基金投资策略所特有的风险等等。本基金是一只债券型基金，属证券投资基金中的中等风险收益品种。</w:t>
      </w:r>
    </w:p>
    <w:p w:rsidR="00E5327E" w:rsidRDefault="003A285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投资有风险，投资人在认（申）购本基金前应认真阅读本基金的招募说明书、基金合同、基金产品资料概要。过往业绩并不代表将来表现。基金管理人管理的其他基金的业绩并不构成对本基金业绩表现的保证。</w:t>
      </w:r>
    </w:p>
    <w:p w:rsidR="00E5327E" w:rsidRDefault="003A285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E5327E" w:rsidRDefault="00E5327E">
      <w:pPr>
        <w:autoSpaceDE w:val="0"/>
        <w:autoSpaceDN w:val="0"/>
        <w:adjustRightInd w:val="0"/>
        <w:snapToGrid w:val="0"/>
        <w:spacing w:before="51" w:line="360" w:lineRule="auto"/>
        <w:ind w:left="120" w:rightChars="6" w:right="13" w:firstLine="480"/>
        <w:rPr>
          <w:rFonts w:ascii="宋体" w:hAnsi="宋体"/>
          <w:kern w:val="0"/>
          <w:szCs w:val="24"/>
        </w:rPr>
        <w:sectPr w:rsidR="00E5327E">
          <w:headerReference w:type="default" r:id="rId14"/>
          <w:pgSz w:w="11920" w:h="16840"/>
          <w:pgMar w:top="1440" w:right="1680" w:bottom="280" w:left="1680" w:header="0" w:footer="1073" w:gutter="0"/>
          <w:pgNumType w:start="1"/>
          <w:cols w:space="720"/>
        </w:sectPr>
      </w:pPr>
    </w:p>
    <w:p w:rsidR="00542DA3" w:rsidRPr="00542DA3" w:rsidRDefault="003A285E" w:rsidP="00542DA3">
      <w:pPr>
        <w:pStyle w:val="ad"/>
        <w:snapToGrid w:val="0"/>
        <w:spacing w:after="240" w:line="360" w:lineRule="auto"/>
        <w:jc w:val="center"/>
        <w:rPr>
          <w:rFonts w:ascii="宋体" w:hAnsi="宋体"/>
          <w:noProof/>
          <w:sz w:val="24"/>
        </w:rPr>
      </w:pPr>
      <w:r w:rsidRPr="00542DA3">
        <w:rPr>
          <w:rFonts w:ascii="宋体" w:hAnsi="宋体"/>
          <w:color w:val="000000"/>
          <w:position w:val="-4"/>
          <w:sz w:val="24"/>
          <w:szCs w:val="30"/>
        </w:rPr>
        <w:lastRenderedPageBreak/>
        <w:t>目</w:t>
      </w:r>
      <w:r w:rsidRPr="00542DA3">
        <w:rPr>
          <w:rFonts w:ascii="宋体" w:hAnsi="宋体"/>
          <w:color w:val="000000"/>
          <w:position w:val="-4"/>
          <w:sz w:val="24"/>
          <w:szCs w:val="30"/>
        </w:rPr>
        <w:tab/>
        <w:t>录</w:t>
      </w:r>
      <w:r w:rsidR="00542DA3" w:rsidRPr="00542DA3">
        <w:rPr>
          <w:rFonts w:ascii="宋体" w:hAnsi="宋体"/>
          <w:color w:val="000000"/>
          <w:position w:val="-4"/>
          <w:sz w:val="24"/>
          <w:szCs w:val="30"/>
        </w:rPr>
        <w:fldChar w:fldCharType="begin"/>
      </w:r>
      <w:r w:rsidR="00542DA3" w:rsidRPr="00542DA3">
        <w:rPr>
          <w:rFonts w:ascii="宋体" w:hAnsi="宋体"/>
          <w:color w:val="000000"/>
          <w:position w:val="-4"/>
          <w:sz w:val="24"/>
          <w:szCs w:val="30"/>
        </w:rPr>
        <w:instrText xml:space="preserve"> TOC \o "1-3" \f - \h \t "-1" </w:instrText>
      </w:r>
      <w:r w:rsidR="00542DA3" w:rsidRPr="00542DA3">
        <w:rPr>
          <w:rFonts w:ascii="宋体" w:hAnsi="宋体"/>
          <w:color w:val="000000"/>
          <w:position w:val="-4"/>
          <w:sz w:val="24"/>
          <w:szCs w:val="30"/>
        </w:rPr>
        <w:fldChar w:fldCharType="separate"/>
      </w:r>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29" w:history="1">
        <w:r w:rsidRPr="00542DA3">
          <w:rPr>
            <w:rStyle w:val="aa"/>
            <w:rFonts w:ascii="宋体" w:hAnsi="宋体" w:hint="eastAsia"/>
            <w:noProof/>
            <w:kern w:val="0"/>
            <w:sz w:val="24"/>
          </w:rPr>
          <w:t>重要提示</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_Toc243660429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30" w:history="1">
        <w:r w:rsidRPr="00542DA3">
          <w:rPr>
            <w:rStyle w:val="aa"/>
            <w:rFonts w:ascii="宋体" w:hAnsi="宋体" w:hint="eastAsia"/>
            <w:noProof/>
            <w:sz w:val="24"/>
          </w:rPr>
          <w:t>一、绪言</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_Toc243660430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3</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31" w:history="1">
        <w:r w:rsidRPr="00542DA3">
          <w:rPr>
            <w:rStyle w:val="aa"/>
            <w:rFonts w:ascii="宋体" w:hAnsi="宋体" w:hint="eastAsia"/>
            <w:noProof/>
            <w:sz w:val="24"/>
          </w:rPr>
          <w:t>二、释义</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_Toc243660431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4</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32" w:history="1">
        <w:r w:rsidRPr="00542DA3">
          <w:rPr>
            <w:rStyle w:val="aa"/>
            <w:rFonts w:ascii="宋体" w:hAnsi="宋体" w:hint="eastAsia"/>
            <w:noProof/>
            <w:sz w:val="24"/>
          </w:rPr>
          <w:t>三、基金管理人</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_Toc243660432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10</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33" w:history="1">
        <w:r w:rsidRPr="00542DA3">
          <w:rPr>
            <w:rStyle w:val="aa"/>
            <w:rFonts w:ascii="宋体" w:hAnsi="宋体" w:hint="eastAsia"/>
            <w:noProof/>
            <w:sz w:val="24"/>
          </w:rPr>
          <w:t>四、基金托管人</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_Toc243660433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18</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34" w:history="1">
        <w:r w:rsidRPr="00542DA3">
          <w:rPr>
            <w:rStyle w:val="aa"/>
            <w:rFonts w:ascii="宋体" w:hAnsi="宋体" w:hint="eastAsia"/>
            <w:noProof/>
            <w:sz w:val="24"/>
          </w:rPr>
          <w:t>五、相关服务机构</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_Toc243660434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21</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35" w:history="1">
        <w:r w:rsidRPr="00542DA3">
          <w:rPr>
            <w:rStyle w:val="aa"/>
            <w:rFonts w:ascii="宋体" w:hAnsi="宋体" w:hint="eastAsia"/>
            <w:noProof/>
            <w:sz w:val="24"/>
          </w:rPr>
          <w:t>六、基金的募集</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_Toc243660435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60</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36" w:history="1">
        <w:r w:rsidRPr="00542DA3">
          <w:rPr>
            <w:rStyle w:val="aa"/>
            <w:rFonts w:ascii="宋体" w:hAnsi="宋体" w:hint="eastAsia"/>
            <w:noProof/>
            <w:sz w:val="24"/>
          </w:rPr>
          <w:t>七、基金合同的生效</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_Toc243660436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61</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37" w:history="1">
        <w:r w:rsidRPr="00542DA3">
          <w:rPr>
            <w:rStyle w:val="aa"/>
            <w:rFonts w:ascii="宋体" w:hAnsi="宋体" w:hint="eastAsia"/>
            <w:noProof/>
            <w:sz w:val="24"/>
          </w:rPr>
          <w:t>八、基金份额的申购与赎回</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_Toc243660437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62</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38" w:history="1">
        <w:r w:rsidRPr="00542DA3">
          <w:rPr>
            <w:rStyle w:val="aa"/>
            <w:rFonts w:ascii="宋体" w:hAnsi="宋体" w:hint="eastAsia"/>
            <w:noProof/>
            <w:sz w:val="24"/>
          </w:rPr>
          <w:t>九、基金的转换</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_Toc243660438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77</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39" w:history="1">
        <w:r w:rsidRPr="00542DA3">
          <w:rPr>
            <w:rStyle w:val="aa"/>
            <w:rFonts w:ascii="宋体" w:hAnsi="宋体" w:hint="eastAsia"/>
            <w:noProof/>
            <w:sz w:val="24"/>
          </w:rPr>
          <w:t>十、基金的投资</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_Toc243660439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84</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40" w:history="1">
        <w:r w:rsidRPr="00542DA3">
          <w:rPr>
            <w:rStyle w:val="aa"/>
            <w:rFonts w:ascii="宋体" w:hAnsi="宋体" w:hint="eastAsia"/>
            <w:noProof/>
            <w:sz w:val="24"/>
          </w:rPr>
          <w:t>十一、基金的业绩</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_Toc243660440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101</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41" w:history="1">
        <w:r w:rsidRPr="00542DA3">
          <w:rPr>
            <w:rStyle w:val="aa"/>
            <w:rFonts w:ascii="宋体" w:hAnsi="宋体" w:hint="eastAsia"/>
            <w:noProof/>
            <w:sz w:val="24"/>
          </w:rPr>
          <w:t>十二、基金的财产</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_Toc243660441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105</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42" w:history="1">
        <w:r w:rsidRPr="00542DA3">
          <w:rPr>
            <w:rStyle w:val="aa"/>
            <w:rFonts w:ascii="宋体" w:hAnsi="宋体" w:hint="eastAsia"/>
            <w:noProof/>
            <w:sz w:val="24"/>
          </w:rPr>
          <w:t>十三、基金资产的估值</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_Toc243660442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106</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43" w:history="1">
        <w:r w:rsidRPr="00542DA3">
          <w:rPr>
            <w:rStyle w:val="aa"/>
            <w:rFonts w:ascii="宋体" w:hAnsi="宋体" w:hint="eastAsia"/>
            <w:noProof/>
            <w:sz w:val="24"/>
          </w:rPr>
          <w:t>十四、基金的收益与分配</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_Toc243660443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112</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44" w:history="1">
        <w:r w:rsidRPr="00542DA3">
          <w:rPr>
            <w:rStyle w:val="aa"/>
            <w:rFonts w:ascii="宋体" w:hAnsi="宋体" w:hint="eastAsia"/>
            <w:noProof/>
            <w:sz w:val="24"/>
          </w:rPr>
          <w:t>十五、基金的费用与税收</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_Toc243660444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114</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45" w:history="1">
        <w:r w:rsidRPr="00542DA3">
          <w:rPr>
            <w:rStyle w:val="aa"/>
            <w:rFonts w:ascii="宋体" w:hAnsi="宋体" w:hint="eastAsia"/>
            <w:noProof/>
            <w:sz w:val="24"/>
          </w:rPr>
          <w:t>十六、基金的会计与审计</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_Toc243660445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117</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46" w:history="1">
        <w:r w:rsidRPr="00542DA3">
          <w:rPr>
            <w:rStyle w:val="aa"/>
            <w:rFonts w:ascii="宋体" w:hAnsi="宋体" w:hint="eastAsia"/>
            <w:noProof/>
            <w:sz w:val="24"/>
          </w:rPr>
          <w:t>十七、基金的信息披露</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_Toc243660446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118</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47" w:history="1">
        <w:r w:rsidRPr="00542DA3">
          <w:rPr>
            <w:rStyle w:val="aa"/>
            <w:rFonts w:ascii="宋体" w:hAnsi="宋体" w:hint="eastAsia"/>
            <w:noProof/>
            <w:sz w:val="24"/>
          </w:rPr>
          <w:t>十八、侧袋机制</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_Toc243660447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124</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48" w:history="1">
        <w:r w:rsidRPr="00542DA3">
          <w:rPr>
            <w:rStyle w:val="aa"/>
            <w:rFonts w:ascii="宋体" w:hAnsi="宋体" w:hint="eastAsia"/>
            <w:noProof/>
            <w:sz w:val="24"/>
          </w:rPr>
          <w:t>十九、风险揭示</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_Toc243660448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127</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49" w:history="1">
        <w:r w:rsidRPr="00542DA3">
          <w:rPr>
            <w:rStyle w:val="aa"/>
            <w:rFonts w:ascii="宋体" w:hAnsi="宋体" w:hint="eastAsia"/>
            <w:noProof/>
            <w:sz w:val="24"/>
          </w:rPr>
          <w:t>二十、基金合同的终止与基金财产的清算</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_Toc243660449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133</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50" w:history="1">
        <w:r w:rsidRPr="00542DA3">
          <w:rPr>
            <w:rStyle w:val="aa"/>
            <w:rFonts w:ascii="宋体" w:hAnsi="宋体" w:hint="eastAsia"/>
            <w:noProof/>
            <w:sz w:val="24"/>
          </w:rPr>
          <w:t>二十一、基金合同内容摘要</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_Toc243660450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135</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51" w:history="1">
        <w:r w:rsidRPr="00542DA3">
          <w:rPr>
            <w:rStyle w:val="aa"/>
            <w:rFonts w:ascii="宋体" w:hAnsi="宋体" w:hint="eastAsia"/>
            <w:noProof/>
            <w:sz w:val="24"/>
          </w:rPr>
          <w:t>二十二、托管协议的内容摘要</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_Toc243660451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151</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52" w:history="1">
        <w:r w:rsidRPr="00542DA3">
          <w:rPr>
            <w:rStyle w:val="aa"/>
            <w:rFonts w:ascii="宋体" w:hAnsi="宋体" w:hint="eastAsia"/>
            <w:noProof/>
            <w:sz w:val="24"/>
          </w:rPr>
          <w:t>二十三、对基金份额持有人的服务</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_Toc243660452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162</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53" w:history="1">
        <w:r w:rsidRPr="00542DA3">
          <w:rPr>
            <w:rStyle w:val="aa"/>
            <w:rFonts w:ascii="宋体" w:hAnsi="宋体" w:hint="eastAsia"/>
            <w:noProof/>
            <w:sz w:val="24"/>
          </w:rPr>
          <w:t>二十四、其他应披露事项</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_Toc243660453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164</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54" w:history="1">
        <w:r w:rsidRPr="00542DA3">
          <w:rPr>
            <w:rStyle w:val="aa"/>
            <w:rFonts w:ascii="宋体" w:hAnsi="宋体" w:hint="eastAsia"/>
            <w:noProof/>
            <w:sz w:val="24"/>
          </w:rPr>
          <w:t>二十五、招募说明书的存放及查阅方式</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_Toc243660454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168</w:t>
        </w:r>
        <w:r w:rsidRPr="00542DA3">
          <w:rPr>
            <w:rFonts w:ascii="宋体" w:hAnsi="宋体"/>
            <w:noProof/>
            <w:sz w:val="24"/>
          </w:rPr>
          <w:fldChar w:fldCharType="end"/>
        </w:r>
      </w:hyperlink>
    </w:p>
    <w:p w:rsidR="00542DA3" w:rsidRPr="00542DA3" w:rsidRDefault="00542DA3" w:rsidP="00542DA3">
      <w:pPr>
        <w:pStyle w:val="10"/>
        <w:tabs>
          <w:tab w:val="right" w:leader="dot" w:pos="8550"/>
        </w:tabs>
        <w:spacing w:line="360" w:lineRule="auto"/>
        <w:rPr>
          <w:rFonts w:ascii="宋体" w:hAnsi="宋体" w:cstheme="minorBidi"/>
          <w:noProof/>
          <w:sz w:val="24"/>
        </w:rPr>
      </w:pPr>
      <w:hyperlink w:anchor="_Toc243660455" w:history="1">
        <w:r w:rsidRPr="00542DA3">
          <w:rPr>
            <w:rStyle w:val="aa"/>
            <w:rFonts w:ascii="宋体" w:hAnsi="宋体" w:hint="eastAsia"/>
            <w:noProof/>
            <w:sz w:val="24"/>
          </w:rPr>
          <w:t>二十六、备查文件</w:t>
        </w:r>
        <w:r w:rsidRPr="00542DA3">
          <w:rPr>
            <w:rFonts w:ascii="宋体" w:hAnsi="宋体"/>
            <w:noProof/>
            <w:sz w:val="24"/>
          </w:rPr>
          <w:tab/>
        </w:r>
        <w:r w:rsidRPr="00542DA3">
          <w:rPr>
            <w:rFonts w:ascii="宋体" w:hAnsi="宋体"/>
            <w:noProof/>
            <w:sz w:val="24"/>
          </w:rPr>
          <w:fldChar w:fldCharType="begin"/>
        </w:r>
        <w:r w:rsidRPr="00542DA3">
          <w:rPr>
            <w:rFonts w:ascii="宋体" w:hAnsi="宋体"/>
            <w:noProof/>
            <w:sz w:val="24"/>
          </w:rPr>
          <w:instrText xml:space="preserve"> PAGEREF _Toc243660455 \h </w:instrText>
        </w:r>
        <w:r w:rsidRPr="00542DA3">
          <w:rPr>
            <w:rFonts w:ascii="宋体" w:hAnsi="宋体"/>
            <w:noProof/>
            <w:sz w:val="24"/>
          </w:rPr>
        </w:r>
        <w:r w:rsidRPr="00542DA3">
          <w:rPr>
            <w:rFonts w:ascii="宋体" w:hAnsi="宋体"/>
            <w:noProof/>
            <w:sz w:val="24"/>
          </w:rPr>
          <w:fldChar w:fldCharType="separate"/>
        </w:r>
        <w:r w:rsidRPr="00542DA3">
          <w:rPr>
            <w:rFonts w:ascii="宋体" w:hAnsi="宋体"/>
            <w:noProof/>
            <w:sz w:val="24"/>
          </w:rPr>
          <w:t>169</w:t>
        </w:r>
        <w:r w:rsidRPr="00542DA3">
          <w:rPr>
            <w:rFonts w:ascii="宋体" w:hAnsi="宋体"/>
            <w:noProof/>
            <w:sz w:val="24"/>
          </w:rPr>
          <w:fldChar w:fldCharType="end"/>
        </w:r>
      </w:hyperlink>
    </w:p>
    <w:p w:rsidR="00E5327E" w:rsidRPr="00542DA3" w:rsidRDefault="00542DA3" w:rsidP="00542DA3">
      <w:pPr>
        <w:pStyle w:val="ad"/>
        <w:snapToGrid w:val="0"/>
        <w:spacing w:after="240" w:line="360" w:lineRule="auto"/>
        <w:jc w:val="center"/>
        <w:rPr>
          <w:rFonts w:ascii="宋体" w:hAnsi="宋体"/>
          <w:color w:val="000000"/>
          <w:sz w:val="24"/>
        </w:rPr>
      </w:pPr>
      <w:r w:rsidRPr="00542DA3">
        <w:rPr>
          <w:rFonts w:ascii="宋体" w:hAnsi="宋体"/>
          <w:color w:val="000000"/>
          <w:position w:val="-4"/>
          <w:sz w:val="24"/>
          <w:szCs w:val="30"/>
        </w:rPr>
        <w:fldChar w:fldCharType="end"/>
      </w:r>
      <w:bookmarkStart w:id="3" w:name="_GoBack"/>
      <w:bookmarkEnd w:id="3"/>
    </w:p>
    <w:p w:rsidR="00E5327E" w:rsidRDefault="00E5327E">
      <w:pPr>
        <w:autoSpaceDE w:val="0"/>
        <w:autoSpaceDN w:val="0"/>
        <w:adjustRightInd w:val="0"/>
        <w:snapToGrid w:val="0"/>
        <w:spacing w:line="360" w:lineRule="auto"/>
        <w:ind w:left="120" w:rightChars="6" w:right="13"/>
        <w:rPr>
          <w:rFonts w:ascii="宋体" w:hAnsi="宋体"/>
          <w:kern w:val="0"/>
          <w:szCs w:val="24"/>
        </w:rPr>
        <w:sectPr w:rsidR="00E5327E">
          <w:pgSz w:w="11920" w:h="16840"/>
          <w:pgMar w:top="1480" w:right="1680" w:bottom="280" w:left="1680" w:header="0" w:footer="1073" w:gutter="0"/>
          <w:cols w:space="720"/>
        </w:sectPr>
      </w:pPr>
    </w:p>
    <w:p w:rsidR="00E5327E" w:rsidRDefault="003A285E">
      <w:pPr>
        <w:pStyle w:val="1"/>
        <w:snapToGrid w:val="0"/>
        <w:spacing w:beforeLines="0" w:before="240" w:after="240"/>
        <w:rPr>
          <w:rFonts w:ascii="宋体" w:hAnsi="宋体"/>
          <w:szCs w:val="30"/>
        </w:rPr>
      </w:pPr>
      <w:bookmarkStart w:id="4" w:name="_Toc243660430"/>
      <w:r>
        <w:rPr>
          <w:rFonts w:ascii="Times New Roman" w:hAnsi="Times New Roman"/>
          <w:sz w:val="30"/>
        </w:rPr>
        <w:lastRenderedPageBreak/>
        <w:t>一、绪言</w:t>
      </w:r>
      <w:bookmarkEnd w:id="4"/>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增利债券证券投资基金基金合同》（以下简称“基金合同”）编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5" w:name="_Toc243660431"/>
      <w:r>
        <w:rPr>
          <w:rFonts w:ascii="Times New Roman" w:hAnsi="Times New Roman"/>
          <w:sz w:val="30"/>
        </w:rPr>
        <w:lastRenderedPageBreak/>
        <w:t>二、释义</w:t>
      </w:r>
      <w:bookmarkEnd w:id="5"/>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1.基金或本基金：指交银施罗德增利债券证券投资基金；</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3.基金托管人：指中国建设银行股份有限公司；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4.基金合同：指《交银施罗德增利债券证券投资基金基金合同》及对基金合同的任何有效修订和补充；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5.托管协议：指基金管理人与基金托管人就本基金签订之《交银施罗德增利债券证券投资基金托管协议》及对该托管协议的任何有效修订和补充；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6.招募说明书：指《交银施罗德增利债券证券投资基金招募说明书》及其更新；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7.基金份额发售公告：指《交银施罗德增利债券证券投资基金基金份额发售公告》；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8.基金产品资料概要：指《交银施罗德增利债券证券投资基金基金产品资料概要》及其更新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10.《证券法》：指2005年10月27日经第十届全国人民代表大会常务委员会第十八次会议通过，自2006年1月1日实施的《中华人民共和国证券法》及颁布机关对其不时做出的修订；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11.《基金法》：指2003年10月28日经第十届全国人民代表大会常务委员会第五次会议通过，自2004年6月1日起实施的《中华人民共和国证券投资基金法》及颁布机关对其不时做出的修订；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12.《销售办法》：指中国证监会2011年6月9日颁布、同年10月1日实施的《证券投资基金销售管理办法》及颁布机关对其不时做出的修订；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13.《信息披露办法》：指中国证监会2019年7月26日颁布、同年9月1日实施的《公开募集证券投资基金信息披露管理办法》及颁布机关对其不时做出的修订；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14.《运作办法》：指中国证监会2004年6月29日颁布、同年7月1日实施的《证券投资基金运作管理办法》及颁布机关对其不时做出的修订；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15.《流动性风险规定》:指中国证监会2017年8月31日颁布、同年10月1日实施的《公开募集开放式证券投资基金流动性风险管理规定》及颁布机关对其不时做出的修订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16.中国：就本招募说明书之目的，指中华人民共和国，但不包括香港特别行政区、澳门特别行政区和台湾地区；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17.中国证监会：指中国证券监督管理委员会；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18.银行业监督管理机构：指中国人民银行和/或中国银行业监督管理委员会；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19.基金合同当事人：指受基金合同约束，根据基金合同享有权利并承担义务的法律主体，包括基金管理人、基金托管人和基金份额持有人；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20.个人投资者：指年满18周岁，合法持有现时有效的中华人民共和国居民身份证、军人证件等有效身份证件的中国公民，以及中国证监会批准的其他可投资基金的自然人；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21.机构投资者：指依法可以投资开放式证券投资基金的、在中华人民共和国境内合法注册登记并存续或经有关政府部门批准设立并存续的企业法人、事业法人、社会团体或其他组织；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22.合格境外机构投资者：指符合现实有效的相关法律法规规定可以投资于中国境内证券市场的中国境外的机构投资者；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23.投资人：指个人投资者、机构投资者和合格境外机构投资者以及法律法规或中国证监会允许购买证券投资基金的其他投资人的合称；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24.基金份额持有人：指依基金合同和招募说明书合法取得基金份额的投资人；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25.基金销售业务：指基金管理人或代销机构宣传推介基金，发售基金份额，办理基金份额的申购、赎回、转换、非交易过户、转托管及定期定额投资等业务；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26.销售机构：指直销机构和代销机构；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27.直销机构：指交银施罗德基金管理有限公司；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代销机构：指符合《销售办法》和中国证监会规定的其他条件，取得基金代销业务资格并与基金管理人签订了基金销售服务代理协议，代为办理基金销售业务的机构，以及可通过上海证券交易所交易系统办理基金销售服务业务的会员单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29.会员单位：指具有开放式基金代销资格，经上海证券交易所和中国证券登</w:t>
      </w:r>
      <w:r>
        <w:rPr>
          <w:rFonts w:ascii="宋体" w:hAnsi="宋体"/>
          <w:sz w:val="24"/>
        </w:rPr>
        <w:lastRenderedPageBreak/>
        <w:t>记结算有限责任公司认可的、可通过上海证券交易所交易系统办理开放式基金的认购、申购、赎回和转托管等业务的上海证券交易所会员单位；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30.基金销售网点：指直销机构的直销中心及代销机构的代销网点；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登记结算业务：指基金登记、存管、过户、清算和结算业务，具体内容包括投资人基金账户的建立和管理、基金份额注册登记、基金销售业务的确认、清算和结算、代理发放红利、建立并保管基金份额持有人名册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32.登记结算机构：指办理登记结算业务的机构。基金的登记结算机构为交银施罗德基金管理有限公司或接受交银施罗德基金管理有限公司委托代为办理登记结算业务的机构；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33.基金账户：指登记结算机构为投资人开立的、记录其持有的、基金管理人所管理的基金份额余额及其变动情况的账户；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34.基金交易账户：指销售机构为投资人开立的、记录投资人通过该销售机构买卖本基金的基金份额变动及结余情况的账户；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35.基金合同生效日：指基金募集达到法律法规规定及基金合同规定的条件，基金管理人向中国证监会办理基金备案手续完毕，并获得中国证监会书面确认的日期；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36.基金合同终止日：指基金合同规定的基金合同终止事由出现后，基金财产清算完毕，清算结果报中国证监会备案并予以公告的日期；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37.基金募集期：指自基金份额发售之日起至发售结束之日止的期间，最长不得超过3个月；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38.存续期：指基金合同生效至终止之间的不定期期限；</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39.日/天：指公历日；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40.月：指公历月；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41.工作日：指上海证券交易所、深圳证券交易所的正常交易日；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42.T日：指销售机构在规定时间受理投资人申购、赎回或其他业务申请的工作日；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43.T+n日：指自T日起第n个工作日(不包含T日)；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44.开放日：指为投资人办理基金份额申购、赎回或其他业务的工作日；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45.交易时间：指开放日基金接受申购、赎回或其他交易的时间段；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46.上证所《业务规则》：指2005年7月14日上海证券交易所发布并于2005年7月</w:t>
      </w:r>
      <w:r>
        <w:rPr>
          <w:rFonts w:ascii="宋体" w:hAnsi="宋体"/>
          <w:sz w:val="24"/>
        </w:rPr>
        <w:lastRenderedPageBreak/>
        <w:t>14日起施行的《上海证券交易所开放式基金认购、申购、赎回业务办理规则（试行）》及颁布机关对其不时做出的修订；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47.《业务规则》：指《交银施罗德基金管理有限公司开放式基金业务规则》，是规范基金管理人所管理的开放式证券投资基金登记结算方面的业务规则，由基金管理人和投资人共同遵守；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48.认购：指在基金募集期内，投资人申请购买基金份额的行为；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49.申购：指基金合同生效后，投资人根据基金合同和招募说明书的规定申请购买基金份额的行为；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50.赎回：指基金合同生效后，基金份额持有人按基金合同规定的条件要求将基金份额兑换为现金的行为；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51.场外：指不通过上海证券交易所的交易系统办理基金份额认购、申购和赎回等业务的销售机构和场所；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52.场内：指通过上海证券交易所的交易系统办理基金份额认购、申购和赎回等业务的销售机构和场所；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53.销售服务费：指从基金资产中计提的，用于本基金市场推广、销售以及基金份额持有人服务的费用；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份额类别：指本基金根据认购/申购费用、赎回费用收取方式的不同，将基金份额分为不同的类别。在投资人认购/申购时收取前端认购/申购费用、赎回时收取赎回费用的，称为A类基金份额；在投资人认购/申购时不收取认购/申购费用、赎回时收取后端认购/申购费用和赎回费用的，称为B类基金份额；在投资人认购/申购时不收取认购/申购费用、赎回时收取赎回费用，并从本类别基金资产中计提销售服务费的，称为C类基金份额；在投资人申购时收取申购费用、赎回时收取赎回费用的，称为D类基金份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转换：指基金份额持有人按照本基金合同和基金管理人届时有效公告规定的条件，申请将其持有基金管理人管理的、某一基金的基金份额转换为该基金其他份额（如有）或基金管理人管理的其他基金基金份额的行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56.转托管：指基金份额持有人在本基金的不同销售机构之间实施的变更所持基金份额销售机构的操作；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57.定期定额投资计划：指投资人通过向有关销售机构提交申请，约定每期申购日、扣款金额及扣款方式，由指定的销售机构在投资人指定资金账户内自动扣款</w:t>
      </w:r>
      <w:r>
        <w:rPr>
          <w:rFonts w:ascii="宋体" w:hAnsi="宋体"/>
          <w:sz w:val="24"/>
        </w:rPr>
        <w:lastRenderedPageBreak/>
        <w:t>并于每期约定申购日提交基金申购申请的一种投资方式；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58.巨额赎回：指本基金单个开放日，基金净赎回申请(赎回申请份额总数加上基金转换中转出申请份额总数后扣除申购申请份额总数及基金转换中转入申请份额总数后的余额)超过上一开放日基金总份额的10%；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59.元：指人民币元；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60.基金收益：指基金投资所得红利、股息、债券利息、买卖证券价差、银行存款利息、已实现的其他合法收入及因运用基金财产带来的成本和费用的节约；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61.基金资产总值：指基金拥有的各类有价证券、银行存款本息、基金应收申购款及其他资产的价值总和；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62.基金资产净值：指基金资产总值减去基金负债后的价值；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63.基金份额净值：指计算日基金资产净值除以计算日基金份额总数；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64.基金资产估值：指计算评估基金资产和负债的价值，以确定基金资产净值和基金份额净值的过程；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66.指定媒介：指中国证监会指定的用以进行信息披露的全国性报刊及指定互联网网站（包括基金管理人网站、基金托管人网站、中国证监会基金电子披露网站）等媒介；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69.不可抗力：指本基金合同当事人无法预见、无法抗拒、无法避免且在本基金合同由基金管理人、基金托管人签署之日后发生的，使本基金合同当事人无法全</w:t>
      </w:r>
      <w:r>
        <w:rPr>
          <w:rFonts w:ascii="宋体" w:hAnsi="宋体"/>
          <w:sz w:val="24"/>
        </w:rPr>
        <w:lastRenderedPageBreak/>
        <w:t>部或部分履行本基金合同的任何事件，包括但不限于洪水、地震及其他自然灾害、战争、骚乱、火灾、政府征用、没收、恐怖袭击、传染病传播、法律法规变化、突发停电或其他突发事件、证券交易所非正常暂停或停止交易。</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6" w:name="_Toc243660432"/>
      <w:r>
        <w:rPr>
          <w:rFonts w:ascii="Times New Roman" w:hAnsi="Times New Roman"/>
          <w:sz w:val="30"/>
        </w:rPr>
        <w:lastRenderedPageBreak/>
        <w:t>三、基金管理人</w:t>
      </w:r>
      <w:bookmarkEnd w:id="6"/>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高王峰先生:基金经理。上海财经大学经济统计学博士，7年证券投资行业从业经验。2019年加入交银施罗德基金管理有限公司，曾任固定收益部研究员、基金经理助理、混合资产投资部基金经理助理，现任混合资产投资部基金经理。现任交银施罗德增利债券证券投资基金(2026年10月21日至今)、交银施罗德中高等级信用债</w:t>
      </w:r>
      <w:r>
        <w:rPr>
          <w:rFonts w:ascii="宋体" w:hAnsi="宋体"/>
          <w:sz w:val="24"/>
        </w:rPr>
        <w:lastRenderedPageBreak/>
        <w:t>债券型证券投资基金(2026年10月21日至今)、交银施罗德信用添利债券证券投资基金（LOF）(2026年10月21日至今)、交银施罗德强化回报债券型证券投资基金(2026年10月21日至今)、交银施罗德鸿宁三个月持有期债券型证券投资基金(2026年10月21日至今)、交银施罗德双利债券证券投资基金(2026年10月21日至今)的基金经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李家春先生(2008年03月31日至2014年08月20日)；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陈晓秋女士(2008年03月31日至2009年10月30日)；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林洪钧先生(2014年08月04日至2015年05月30日)；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赵凌琦女士(2015年05月09日至2015年08月28日)；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孙超先生(2015年07月18日至2017年06月21日)；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于海颖女士(2017年06月10日至2020年08月21日)；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张顺晨女士(2023年06月09日至2024年11月23日)。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7、计算并公告基金净值信息，确定基金份额申购、赎回价格；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（5）依照法律、行政法规有关规定，由中国证监会规定禁止的其他行为。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1、内部控制的原则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w:t>
      </w:r>
      <w:r>
        <w:rPr>
          <w:rFonts w:ascii="宋体" w:hAnsi="宋体"/>
          <w:sz w:val="24"/>
        </w:rPr>
        <w:lastRenderedPageBreak/>
        <w:t>在与公司业务有关的重大风险；审议或听取由公司制度规定的需要向风险控制委员会报告的其他情形等。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（3）建立、健全岗位责任制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7" w:name="_Toc243660433"/>
      <w:r>
        <w:rPr>
          <w:rFonts w:ascii="Times New Roman" w:hAnsi="Times New Roman"/>
          <w:sz w:val="30"/>
        </w:rPr>
        <w:lastRenderedPageBreak/>
        <w:t>四、基金托管人</w:t>
      </w:r>
      <w:bookmarkEnd w:id="7"/>
    </w:p>
    <w:p w:rsidR="00E5327E" w:rsidRDefault="003A285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注册资本：贰仟陆佰壹拾陆亿零叁拾捌万壹仟肆佰伍拾玖元整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w:t>
      </w:r>
      <w:r>
        <w:rPr>
          <w:rFonts w:ascii="宋体" w:hAnsi="宋体"/>
          <w:sz w:val="24"/>
        </w:rPr>
        <w:lastRenderedPageBreak/>
        <w:t>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8" w:name="_Toc243660434"/>
      <w:r>
        <w:rPr>
          <w:rFonts w:ascii="Times New Roman" w:hAnsi="Times New Roman"/>
          <w:sz w:val="30"/>
        </w:rPr>
        <w:lastRenderedPageBreak/>
        <w:t>五、相关服务机构</w:t>
      </w:r>
      <w:bookmarkEnd w:id="8"/>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（3）名称：中国建设银行股份有限公司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（4）名称：交通银行股份有限公司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传真：（0755）83195109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（6）名称：上海银行股份有限公司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（8）名称：江苏常熟农村商业银行股份有限公司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网址：www.csrcbank.com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（9）名称：东莞农村商业银行股份有限公司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（10）名称：中国农业银行股份有限公司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住所：北京市北京市复兴门内大街1号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办公地址：北京市西城区复兴门内大街1号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法定代表人：陈四清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传真：（010）66594853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（12）名称：广发银行股份有限公司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住所：广州市越秀区东风东路713号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法定代表人：杨明生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联系人：李晓鹏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客户服务电话：800-830-8003，400-830-8003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网址：www.gdb.com.cn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（13）名称：中国民生银行股份有限公司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（14）名称：中国光大银行股份有限公司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（15）名称：宁波银行股份有限公司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（16）名称：北京银行股份有限公司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办公地址：北京市西城区金融大街甲17号首层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（17）名称：平安银行股份有限公司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（18）名称：江苏银行股份有限公司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（19）名称：华夏银行股份有限公司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（20）名称：杭州银行股份有限公司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（21）名称：中国工商银行股份有限公司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（22）名称：中国邮政储蓄银行股份有限公司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（23）名称：兴业银行股份有限公司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网址：www.cib.com.cn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（24）名称：光大证券股份有限公司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（25）名称：中信证券股份有限公司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（26）名称：中国中金财富证券有限公司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（27）名称：东北证券股份有限公司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住所：长春市自由大路1138号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办公地址：长春市自由大路1138号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法定代表人：矫正中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电话：（0431）85096709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联系人：潘锴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客户服务电话：4006000686，（0431）85096733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网址：www.nesc.cn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（28）名称：中银国际证券股份有限公司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住所：上海市银城中路200号39层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办公地址：中国上海浦东银城中路200号中银大厦39-40层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客户服务电话：400-620-8888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网址：www.bocichina.com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（29）名称：华福证券股份有限公司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（30）名称：东兴证券股份有限公司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（31）名称：东方证券股份有限公司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电话：（021）63325888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（32）名称：方正证券股份有限公司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（33）名称：中国民族证券有限责任公司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住所：北京市西城区金融街5号新盛大厦A座6-9层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办公地址：北京市西城区金融街5号新盛大厦A座6-9层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法定代表人：赵大建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客户服务电话：400-889-5618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网址：www.e5618.com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（34）名称：德邦证券股份有限公司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（35）名称：国投证券股份有限公司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办公地址：深圳市福田区福田街道福华一路119号安信金融大厦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（36）名称：国元证券股份有限公司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（37）名称：东莞证券股份有限公司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（38）名称：中航证券有限公司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客户服务电话：400-8895-335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（39）名称：财通证券股份有限公司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（40）名称：中信建投证券股份有限公司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（41）名称：中国银河证券股份有限公司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（42）名称：申万宏源证券有限公司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办公地址：上海市徐汇区长乐路989号世纪商贸广场45层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（43）名称：国都证券股份有限公司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（44）名称：平安证券股份有限公司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（45）名称：中信证券（山东）有限责任公司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（46）名称：申万宏源西部证券有限公司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（47）名称：中泰证券股份有限公司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（48）名称：江海证券有限公司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（49）名称：中国国际金融股份有限公司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电话：（010）65051166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（50）名称：瑞银证券有限责任公司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（51）名称：长城证券有限责任公司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（52）名称：国金证券股份有限公司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（53）名称：渤海证券股份有限公司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（54）名称：信达证券股份有限公司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（55）名称：西南证券股份有限公司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（56）名称：国新证券股份有限公司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法定代表人：宋德清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（57）名称：粤开证券股份有限公司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（58）名称：华西证券股份有限公司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（59）名称：第一创业证券股份有限公司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（60）名称：中信证券华南股份有限公司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（61）名称：国泰海通证券股份有限公司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（62）名称：招商证券股份有限公司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（63）名称：长江证券股份有限公司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法定代表人：胡运钊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（64）名称：爱建证券有限责任公司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（65）名称：大同证券有限责任公司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（66）名称：长城国瑞证券有限公司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联系人：陈月月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（67）名称：华宝证券股份有限公司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（68）名称：华龙证券股份有限公司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（69）名称：广发证券股份有限公司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（70）名称：兴业证券股份有限公司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（71）名称：湘财证券股份有限公司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（72）名称：华泰证券股份有限公司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（73）名称：金融街证券股份有限公司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w:t>
      </w:r>
      <w:r>
        <w:rPr>
          <w:rFonts w:ascii="宋体" w:hAnsi="宋体"/>
          <w:sz w:val="24"/>
        </w:rPr>
        <w:lastRenderedPageBreak/>
        <w:t>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（74）名称：国信证券股份有限公司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（75）名称：中原证券股份有限公司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（76）名称：山西证券股份有限公司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网址：www.i618.com.cn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（77）名称：开源证券股份有限公司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（78）名称：西部证券股份有限公司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（79）名称：国联民生证券股份有限公司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（80）名称：民生证券股份有限公司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传真：（010）85127641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（81）名称：深圳市新兰德证券投资咨询有限公司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（82）名称：大连网金基金销售有限公司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（83）名称：阳光人寿保险股份有限公司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网址：http://fund.sinosig.com/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（84）名称：玄元保险代理有限公司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（85）名称：京东肯特瑞基金销售有限公司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（86）名称：上海大智慧基金销售有限公司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（87）名称：珠海盈米基金销售有限公司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办公地址：广州市海珠区琶洲大道东1号保利国际广场南塔12楼B1201-1203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（88）名称：上海华夏财富投资管理有限公司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（89）名称：北京度小满基金销售有限公司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（90）名称：南京苏宁基金销售有限公司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传真：025-66996699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（91）名称：嘉实财富管理有限公司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（92）名称：北京汇成基金销售有限公司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（93）名称：上海利得基金销售有限公司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网址：www.leadfund.com.cn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（94）名称：北京虹点基金销售有限公司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（95）名称：上海陆金所基金销售有限公司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（96）名称：上海挖财基金销售有限公司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（97）名称：万家财富基金销售（天津）有限公司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住所：天津自贸区（中心商务区）迎宾大道1988号滨海浙商大厦公寓2-2413室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（98）名称：上海万得基金销售有限公司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（99）名称：格上富信投资顾问有限公司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（100）名称：深圳市金斧子基金销售有限公司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电话：（0755）66892301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（101）名称：北京雪球基金销售有限公司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（102）名称：北京新浪仓石基金销售有限公司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（103）名称：上海证达通基金销售有限公司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潘梦茹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（104）名称：北京创金启富基金销售有限公司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（105）名称：奕丰基金销售有限公司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（106）名称：上海天天基金销售有限公司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网址：www.1234567.com.cn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（107）名称：和讯信息科技有限公司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（108）名称：诺亚正行基金销售有限公司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（109）名称：上海好买基金销售有限公司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（110）名称：上海长量基金销售有限公司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法定代表人：张跃伟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（111）名称：深圳众禄基金销售股份有限公司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（112）名称：蚂蚁（杭州）基金销售有限公司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（113）名称：中信期货有限公司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电话：010-60833754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（114）名称：天相投资顾问有限公司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（115）名称：上海基煜基金销售有限公司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（116）名称：浙江同花顺基金销售有限公司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联系人：吴强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（117）名称：宜信普泽（北京）基金销售有限公司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（118）名称：上海联泰基金销售有限公司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（119）名称：泛华普益基金销售有限公司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（120）名称：北京展恒基金销售股份有限公司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（121）名称：和耕传承基金销售有限公司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（122）名称：腾安基金销售（深圳）有限公司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（123）名称：中国人寿保险股份有限公司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办公地址：北京市西城区金融大街16号中国人寿广场A座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（124）名称：济安财富（北京）基金销售有限公司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（125）名称：博时财富基金销售有限公司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（126）名称：上海中欧财富基金销售有限公司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公司网址：https://www.zocaifu.com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（127）名称：深圳前海微众银行股份有限公司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（128）名称：北京广源达信基金销售有限公司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（三）出具法律意见书的律师事务所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名称：上海源泰律师事务所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住所：上海浦东南路256号华夏银行大厦1405室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办公地址：上海浦东南路256号华夏银行大厦1405室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负责人：廖海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电话：（021）51150298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传真：（021）51150398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联系人：廖海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经办律师：梁丽金、刘佳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9" w:name="_Toc243660435"/>
      <w:r>
        <w:rPr>
          <w:rFonts w:ascii="Times New Roman" w:hAnsi="Times New Roman"/>
          <w:sz w:val="30"/>
        </w:rPr>
        <w:lastRenderedPageBreak/>
        <w:t>六、基金的募集</w:t>
      </w:r>
      <w:bookmarkEnd w:id="9"/>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本基金由基金管理人依照《基金法》、《运作办法》、《销售办法》、基金合同及其他有关规定，并经2008年2月5日中国证券监督管理委员会证监许可【2008】239号文批准募集发售。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本基金于2008年3月3日进行发售。本基金设立募集期共募集10,322,807,118.45份基金份额，有效认购户数为70,477户。</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10" w:name="_Toc243660436"/>
      <w:r>
        <w:rPr>
          <w:rFonts w:ascii="Times New Roman" w:hAnsi="Times New Roman"/>
          <w:sz w:val="30"/>
        </w:rPr>
        <w:lastRenderedPageBreak/>
        <w:t>七、基金合同的生效</w:t>
      </w:r>
      <w:bookmarkEnd w:id="10"/>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根据有关规定，本基金满足基金合同生效条件，基金合同已于2008年3月31日正式生效。自基金合同生效之日起，本基金管理人正式开始管理本基金。</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11" w:name="_Toc243660437"/>
      <w:r>
        <w:rPr>
          <w:rFonts w:ascii="Times New Roman" w:hAnsi="Times New Roman"/>
          <w:sz w:val="30"/>
        </w:rPr>
        <w:lastRenderedPageBreak/>
        <w:t>八、基金份额的申购与赎回</w:t>
      </w:r>
      <w:bookmarkEnd w:id="11"/>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个人投资者可以通过本公司网上直销交易平台办理开户、本基金A类、C类和D类基金份额的申购、赎回、转换及定期定额投资等业务，具体交易细则请参阅本公司网站。网上直销交易平台网址：www.fund001.com。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2、通过上海证券交易所交易系统办理相关业务的上海证券交易所会员单位，目前场内交易只支持A类基金份额的申购。具体名单详见上海证券交易所网站。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3、不通过上海证券交易所交易系统办理相关业务的场外代销机构的代销网点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本基金的场外代销机构的代销网点请见本招募说明书“五、相关服务机构”章节或拨打本公司客户服务电话进行咨询。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投资人可通过上述场所按照规定的方式进行申购或赎回。本基金管理人可根据情况增减基金代销机构，并在管理人网站公示。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基金的开放日是指为投资人办理基金申购、赎回等业务的证券交易所交易日（基金管理人根据法律法规、中国证监会要求或基金合同的规定公告暂停申购、赎</w:t>
      </w:r>
      <w:r>
        <w:rPr>
          <w:rFonts w:ascii="宋体" w:hAnsi="宋体"/>
          <w:sz w:val="24"/>
        </w:rPr>
        <w:lastRenderedPageBreak/>
        <w:t>回时除外）。代销网点在开放日的具体业务办理时间为上海证券交易所、深圳证券交易所正常交易日的交易时间。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投资人在基金合同约定之外的日期和时间提出申购、赎回或转换申请的，其基金份额申购、赎回价格为下次办理基金份额申购、赎回时间所在开放日的价格。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2、申购、赎回的开始日及业务办理时间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本基金A/B/C类基金份额已于2008年5月9日开放场内、场外日常申购、赎回业务。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本基金D类基金份额于2025年3月31日起开放申购、赎回业务。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（三）申购和赎回的原则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1、“未知价”原则，即申购、赎回价格以申请当日收市后计算的各类基金份额净值为基准进行计算；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3、投资人申购基金份额时，必须全额交付申购款项，投资人交付款项后，申购申请方为有效；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4、赎回遵循“先进先出”原则，即按照投资人认购、申购的先后次序进行顺序赎回；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5、当日的申购与赎回申请可以在基金管理人规定的时间以内撤销。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基金管理人可根据基金运作的实际情况依法对上述原则进行调整。基金管理人必须在新规则开始实施前依照《信息披露办法》的有关规定在指定媒介上公告。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场外申购时，代销网点每个账户申购最低金额为单笔1元，如果代销机构业务规则规定的最低单笔申购金额高于1元，以代销机构的规定为准。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本基金）记录的投资人不受首次申购最低金额的限制。通过本公司网上直销交易平台办理基金申购业务的不受直销中心单笔申购最低金额的限制，申购最低金额为单</w:t>
      </w:r>
      <w:r>
        <w:rPr>
          <w:rFonts w:ascii="宋体" w:hAnsi="宋体"/>
          <w:sz w:val="24"/>
        </w:rPr>
        <w:lastRenderedPageBreak/>
        <w:t>笔1元。本基金直销中心单笔申购最低金额可由基金管理人酌情调整。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场内申购时，每笔申购金额最低为100元人民币，同时每笔申购必须是100元的整数倍，并且单笔申购最高不超过99,999,900元。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场外赎回时，赎回的最低份额为1 份基金份额，如果其他销售机构业务规则规定的单笔最低赎回份额高于1份，以该销售机构的规定为准。场内赎回时，赎回的最低份额为50 份基金份额，同时赎回份额必须是整数份额，并且单笔赎回最多不超过99,999,999份基金份额。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赎回的份额以及最低保留余额的数量限制，基金管理人必须在调整前依照《信息披露办法》的有关规定在指定的媒体上刊登公告并报中国证监会备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投资人必须根据基金销售机构规定的程序，在开放日的业务办理时间向基金销售机构提出申购或赎回的申请。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投资人在申购本基金时须按销售机构规定的方式备足申购资金，否则所提交的申购申请无效而不予成交。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投资人在提交赎回申请时，必须持有足够的基金份额余额，否则所提交的赎回申请无效而不予成交。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基金管理人应以交易时间结束前受理申购和赎回申请的当天作为申购或赎回申请日(T日)，正常情况下，本基金登记结算机构在T+1日内对该交易的有效性进行确</w:t>
      </w:r>
      <w:r>
        <w:rPr>
          <w:rFonts w:ascii="宋体" w:hAnsi="宋体"/>
          <w:sz w:val="24"/>
        </w:rPr>
        <w:lastRenderedPageBreak/>
        <w:t>认。T日提交的有效申请，投资人可在T+2日后（包括该日）到销售网点柜台或以销售机构规定的其他方式查询申请的确认情况。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申购采用全额缴款方式，若申购资金在规定时间内未全额到账，则申购不成功，若申购不成功或无效，基金管理人或基金管理人指定的代销机构将投资人已缴付的申购款项本金退还给投资人。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申请成功后，基金管理人将指示基金托管人在T＋7日（包括该日）内从托管账户将赎回款项划出，经销售机构划往基金份额持有人银行账户。在发生巨额赎回时，款项的支付办法参照基金合同的有关条款处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4、申购和赎回基金份额的份额注册登记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投资人申购基金成功后，登记结算机构在T+1日为投资人登记权益并办理份额注册登记手续，投资人自T+2日（含该日）后有权赎回该部分基金份额。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投资人赎回基金成功后，登记结算机构在T+1日为投资人办理扣除权益的份额注册登记手续。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基金管理人可以在法律法规允许的范围内，对上述份额注册登记办理时间进行调整，但不得影响投资人实质的合法权益，并依照《信息披露办法》的有关规定于开始实施前在指定媒介上公告。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A类基金份额、D类基金份额收取前端申购费用，即在申购时支付申购费用，申购费率按每笔申购申请单独计算。投资人申购B类基金份额收取后端申购费用，即在赎回时才支付相应的申购费用，该费用随基金份额的持有时间递减。投资人申购C类基金份额不收取申购费用，而是从该类别基金资产中计提销售服务费。目前场内交易只支持A类基金份额的申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A/B/D类基金份额的申购费用由A/B/D类基金份额申购人承担，不列入基金财产，主要用于本基金的市场推广、销售、登记结算等各项费用。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万元（含）以上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持有时间</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r>
              <w:rPr>
                <w:rFonts w:ascii="Times New Roman" w:hAnsi="Times New Roman"/>
                <w:color w:val="000000"/>
                <w:kern w:val="0"/>
                <w:sz w:val="25"/>
                <w:szCs w:val="24"/>
              </w:rPr>
              <w:t>类基金份额后端申购费率</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年至</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年至</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类基金份额申购费率</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0.9%</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0.7%</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万元（含）以上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1200</w:t>
            </w:r>
            <w:r>
              <w:rPr>
                <w:rFonts w:ascii="Times New Roman" w:hAnsi="Times New Roman"/>
                <w:color w:val="000000"/>
                <w:kern w:val="0"/>
                <w:sz w:val="25"/>
                <w:szCs w:val="24"/>
              </w:rPr>
              <w:t>元</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持有A/B/D类基金份额的投资人因红利自动再投资而产生的A/B/D类基金份额，不收取相应的申购费用。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本基金对通过本公司直销柜台申购本基金A类基金份额、D类基金份额的养老金客户实施特定申购费率。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通过本公司直销柜台申购本基金A类基金份额的养老金客户特定申购费率如下</w:t>
      </w:r>
      <w:r>
        <w:rPr>
          <w:rFonts w:ascii="宋体" w:hAnsi="宋体"/>
          <w:sz w:val="24"/>
        </w:rPr>
        <w:lastRenderedPageBreak/>
        <w:t>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E5327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特定申购费率（</w:t>
            </w: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E5327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5327E" w:rsidRDefault="00E5327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E5327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5327E" w:rsidRDefault="00E5327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E5327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5327E" w:rsidRDefault="00E5327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E5327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5327E" w:rsidRDefault="00E5327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E5327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5327E" w:rsidRDefault="00E5327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通过基金管理人直销柜台申购本基金D类基金份额的养老金客户特定申购费率如下表：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类基金份额特定申购费率</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0.21%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1200</w:t>
            </w:r>
            <w:r>
              <w:rPr>
                <w:rFonts w:ascii="Times New Roman" w:hAnsi="Times New Roman"/>
                <w:color w:val="000000"/>
                <w:kern w:val="0"/>
                <w:sz w:val="25"/>
                <w:szCs w:val="24"/>
              </w:rPr>
              <w:t>元</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由各类基金份额赎回人承担，赎回费用的25%归基金财产，其余用于支付登记结算费和其他必要的手续费。投资人赎回各类基金份额收取赎回费用，该费用随基金份额的持有时间递减。其中，对持续持有期少于7日的基金份额持有人收取不低于1.5%的赎回费并全额计入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本基金A/B类基金份额的赎回费率如下：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A/B</w:t>
            </w:r>
            <w:r>
              <w:rPr>
                <w:rFonts w:ascii="Times New Roman" w:hAnsi="Times New Roman"/>
                <w:color w:val="000000"/>
                <w:kern w:val="0"/>
                <w:sz w:val="25"/>
                <w:szCs w:val="24"/>
              </w:rPr>
              <w:t>类基金份额赎回费率</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日（含）至</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w:t>
            </w:r>
            <w:r>
              <w:rPr>
                <w:rFonts w:ascii="Times New Roman" w:hAnsi="Times New Roman"/>
                <w:color w:val="000000"/>
                <w:kern w:val="0"/>
                <w:sz w:val="25"/>
                <w:szCs w:val="24"/>
              </w:rPr>
              <w:t>年至</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本基金C/D类基金份额的赎回费率如下：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C/D</w:t>
            </w:r>
            <w:r>
              <w:rPr>
                <w:rFonts w:ascii="Times New Roman" w:hAnsi="Times New Roman"/>
                <w:color w:val="000000"/>
                <w:kern w:val="0"/>
                <w:sz w:val="25"/>
                <w:szCs w:val="24"/>
              </w:rPr>
              <w:t>类基金份额赎回费率</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根据法律法规及基金合同的规定调整基金份额的申购费率和赎回费率，最新的申购费率和赎回费率在更新的招募说明书中列示。费率如发生变更，基金管理人最迟应于新的费率开始实施日前依照《信息披露办法》的有关规定在指定媒介上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场外申购时，申购的有效份额为按实际确认的申购金额在扣除相应的费用后，以申请当日A/B/D类基金份额净值为基准计算，四舍五入保留到小数点后两位，由此误差产生的收益或损失由基金财产承担；场内申购时，申购的有效份额为按实际确认的申购金额在扣除相应的费用后，以申请当日A/B类基金份额净值为基准计算，保留到整数位，非整数份额部分对应金额返回投资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各类基金份额的有效赎回份额乘以申请当日该类基金份额净值并扣除相应的费用，四舍五入保留到小数点后两位，由此误差产生的收益或损失由基金财产承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542DA3">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75pt;height:65.25pt">
            <v:imagedata r:id="rId15" o:title="1521256610242020828"/>
          </v:shape>
        </w:pic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例一：某投资人投资4万元申购本基金的A类基金份额，申购费率为0.8%，假设申购当日A/B类基金份额净值为1.0400元，则其可得到的申购份额为：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申购总金额＝40,000元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净申购金额=40,000/（1+0.8%）=39,682.54元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申购费用=40,000-39,682.54=317.46元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申购份额=（40,000-317.46）/1.0400=38,156.29份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如果投资人是场内申购，申购份额为38,156份，其余0.29份对应金额返回给投资人。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（2）B类基金份额的申购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542DA3">
        <w:rPr>
          <w:rFonts w:ascii="宋体" w:hAnsi="宋体"/>
          <w:kern w:val="0"/>
          <w:sz w:val="24"/>
        </w:rPr>
        <w:pict>
          <v:shape id="_x0000_i1026" type="#_x0000_t75" style="width:288.75pt;height:65.25pt">
            <v:imagedata r:id="rId16" o:title="1521256610242020828"/>
          </v:shape>
        </w:pic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当投资人提出赎回时，后端认购费用的计算方法为：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后端申购费用＝赎回份额×T日A/B类基金份额净值×后端申购费率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例二：某投资人投资4万元申购本基金的B类基金份额，假设申购当日A/B类基金份额净值为1.0400元，则其可得到的申购份额为：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申购份额＝40,000/1.0400＝38,461.54份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即：投资人投资4万元申购本基金的B类基金份额，假设申购当日A/B类基金份额净值为1.0400元，则可得到38,461.54份B类基金份额，但其在赎回时需根据其持有时间按对应的后端申购费率交纳后端申购费用。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如果投资人选择申购C类基金份额，则申购份额的计算方法如下：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例三：某投资人投资4万元申购本基金的C类基金份额，假设申购当日C类基金份额净值为1.0400元，则其可得到的申购份额为：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申购份额＝40,000/1.0400＝38,461.54份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即：投资人投资4万元申购本基金的C类基金份额，假设申购当日C类基金份额净值为1.0400元，则其可得到38,461.54 份C类基金份额。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（4）D类基金份额的申购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如果投资者选择申购D类基金份额，则申购份额的计算方法如下：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申购总金额=申请总金额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申购份额=净申购金额/T日D类基金份额净值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例四：某投资者（非养老金客户）投资10万元申购本基金的D类基金份额，假设申购当日D类基金份额净值为1.0400元，申购费率为0.9%，则其可得到的申购份额为：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净申购金额=100,000/（1+0.9%）=99,108.03元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申购费用=100,000-99,108.03=891.97元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申购份额=99,108.03/1.0400=95,296.18份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即：某投资者（非养老金客户）投资10万元申购本基金D类基金份额，假设申购当日D类基金份额净值为1.0400元，则其可得到95,296.18份D类基金份额。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赎回金额为按实际确认的各类基金份额有效赎回份额乘以当日该类基金份额净值并扣除相应的费用，赎回金额单位为元，计算结果保留到小数点后两位，第三位四舍五入。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如果投资人赎回A类基金份额，则赎回金额的计算方法如下：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赎回费用=赎回份额×T日A/B类基金份额净值×赎回费率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赎回金额=赎回份额×T日A/B类基金份额净值-赎回费用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例五：某投资人赎回1万份A类基金份额，对应的赎回费率为0.10%，假设赎回当日A/B类基金份额净值是1.0160元，则其可得到的赎回金额为：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10,000×1.0160×0.10%＝10.16元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10,000×1.0160-10.16＝10,149.84元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即：投资人赎回本基金1万份A类基金份额，假设赎回当日A/B类基金份额净值是1.0160元，则其可得到的赎回金额为10,149.84元。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如果投资人赎回B类基金份额，则赎回金额的计算方法如下：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赎回总额＝赎回份额×T日A/B类基金份额净值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后端认（申）购费用＝赎回份额×认（申）购日A/B类基金份额净值×后端认（申）购费率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例六：某投资人赎回1万份B类基金份额，对应的赎回费率为0.05%，假设赎回当日A/B类基金份额净值是1.0160元，投资人对应的后端申购费是0.6%，申购时的A/B类基金份额净值为1.0100元，则其可得到的赎回金额为：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赎回总额=10,000×1.0160=10,160元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后端申购费用=10,000×1.0100×0.6%=60.60元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赎回费用=10,160×0.05%=5.80元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赎回金额=10,160-60.60-5.80=10,093.60元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万份B类基金份额，对应的赎回费率为0.05%，假设赎回当日A/B类基金份额净值是1.0160元，投资人对应的后端申购费是0.6%，申购时的A/B类基金份额净值为1.0100元，则其可得到的赎回金额为10,093.60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投资人赎回C类基金份额，赎回金额的计算方法如下：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赎回金额=赎回份数×赎回当日C类基金份额净值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例七：某投资人赎回本基金1万份C类基金份额，持有期限为30日，对应的赎回费率为0，假设赎回当日C类基金份额净值是1.2500元，则其可得到的赎回金额为：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赎回费用=10,000×1.2500×0＝0元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赎回金额=10,000×1.2500-0=12,500 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即：投资人赎回本基金1万份C类基金份额，对应的赎回费率为0，假设赎回当日C类基金份额净值是1.2500元，则其可得到的赎回金额为12,500元。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（4）D类基金份额的赎回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投资人赎回D类基金份额，赎回金额的计算方法如下：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赎回金额=赎回份数×赎回当日D类基金份额净值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例八：某投资人赎回本基金1万份D类基金份额，持有期限为30日，对应的赎回费率为0，假设赎回当日D类基金份额净值是1.2500元，则其可得到的赎回金额为：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赎回费用=10,000×1.2500×0＝0元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赎回金额=10,000×1.2500-0=12,500 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即：投资人赎回本基金1万份D类基金份额，对应的赎回费率为0，假设赎回当日D类基金份额净值是1.2500元，则其可得到的赎回金额为12,500元。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A/B类基金份额净值＝A/B类基金份额的基金资产净值/发售在外的A/B类基金份额总数。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C类基金份额净值＝C类基金份额的基金资产净值/发售在外的C类基金份额总数。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D类基金份额净值＝D类基金份额的基金资产净值/发售在外的D类基金份额总数。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本基金不同类别基金份额T日的基金份额净值在当天收市后分别计算，并在T＋1日分别公告。遇特殊情况，经中国证监会同意，可以适当延迟计算或公告。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（八）拒绝或暂停申购的情形及处理方式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2、证券交易场所在交易时间非正常停市，导致基金管理人无法计算当日的基金资产净值；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3、发生基金合同规定的暂停基金资产估值情况；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5、基金财产规模过大，使基金管理人无法找到合适的投资品种，或其他可能对基金业绩产生负面影响，从而损害现有基金份额持有人利益的情形；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8、法律法规规定或中国证监会认定的其他可暂停申购的情形。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发生上述第1项至第3项以及第5项、第6项、第8项所述情形时，基金管理人应当根据有关规定在指定媒介上刊登暂停申购公告。如果投资人的申购申请被拒绝，</w:t>
      </w:r>
      <w:r>
        <w:rPr>
          <w:rFonts w:ascii="宋体" w:hAnsi="宋体"/>
          <w:sz w:val="24"/>
        </w:rPr>
        <w:lastRenderedPageBreak/>
        <w:t>被拒绝的申购款项将全额退还投资人。在暂停申购的情况消除时，基金管理人应及时恢复申购业务的办理。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（九）暂停赎回或者延缓支付赎回款项的情形及处理方式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2、证券交易场所交易时间非正常停市，导致基金管理人无法计算当日基金资产净值；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4、发生基金合同规定的暂停基金资产估值情况；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时，基金管理人应在当日报中国证监会备案，已接受的赎回申请，基金管理人应足额支付；如暂时不能足额支付，应将可支付部分按单个账户申请量占申请总量的比例分配给赎回申请人，未支付部分可延期支付，并以后续开放日的各类基金份额净值为依据计算赎回金额，若连续两个或两个以上开放日发生巨额赎回，延期支付最长不得超过20个工作日，并在指定媒介上公告。投资人在申请赎回时可事先选择将当日可能未获受理部分予以撤销。在暂停赎回的情况消除时，基金管理人应及时恢复赎回业务的办理并予以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暂停基金的赎回，基金管理人应根据《信息披露办法》的有关规定及时在指定媒介上刊登暂停赎回公告。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内的基金净赎回申请份额（赎回申请份额总数加上基金转换中转出申请份额份额总数扣除申购申请份额总数及基金转换中转入申请份额总数后的余额）超过上一日基金总份额的10%时，即认为发生了巨额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当基金出现巨额赎回时，基金管理人可以根据本基金当时的资产组合状况决定</w:t>
      </w:r>
      <w:r>
        <w:rPr>
          <w:rFonts w:ascii="宋体" w:hAnsi="宋体"/>
          <w:sz w:val="24"/>
        </w:rPr>
        <w:lastRenderedPageBreak/>
        <w:t>全额赎回或部分延期赎回。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各类基金份额净值为基础计算赎回金额，以此类推，直到全部赎回为止。如投资人在提交赎回申请时未作明确选择，投资人未能赎回部分作自动延期赎回处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（3）当出现巨额赎回时，基金转换中转出份额的申请的处理方式遵照相关的业务规则及届时开展转换业务的公告。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（4）暂停赎回：连续2日以上(含本数)发生巨额赎回，如基金管理人认为有必要，可暂停接受基金的赎回申请；已经接受的赎回申请可以延缓支付赎回款项，但不得超过20个工作日，并应当在指定媒介上进行公告。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当发生巨额赎回并延期赎回时，基金管理人应通过邮寄、传真、刊登公告或者通知代销机构代为告知等方式，在3个交易日内通知基金份额持有人，说明有关处理方法，并在2日内在指定媒介上刊登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w:t>
      </w:r>
      <w:r>
        <w:rPr>
          <w:rFonts w:ascii="宋体" w:hAnsi="宋体"/>
          <w:sz w:val="24"/>
        </w:rPr>
        <w:lastRenderedPageBreak/>
        <w:t>上刊登暂停公告。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2、如发生暂停的时间为1日，基金管理人应于重新开放日，在指定媒介上刊登基金重新开放申购或赎回公告，并公布最近1个开放日的各类基金份额净值。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3、如发生暂停的时间超过1日，暂停结束，基金重新开放申购或赎回时，基金管理人应提前2日在指定媒介上刊登基金重新开放申购或赎回公告，并公告最近1个开放日的各类基金份额净值。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（十二）转托管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目前实行份额托管的交易制度。基金份额持有人可办理已持有基金份额在不同销售机构之间的转托管，对A类基金份额而言包括在上证所场内不同会员营业部之间进行转指定，也包括在上证所场内系统和场外系统之间进行跨市场转托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进行份额转托管时，基金份额持有人可以将其某个交易账户下的基金份额全部或部分转托管。办理转托管业务的基金份额持有人需在转出方办理基金份额转出手续，在转入方办理基金账户注册手续。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（十三）定期定额投资计划</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2008年5月7日刊登公告自2008年5月9日起开通A/B类、C类基金份额的定期定额投资计划业务，本基金2025年3月28日刊登公告自2025年3月31日起增设D类基金份额并开通D类基金份额的定期定额投资计划业务，具体开通销售机构名单和业务规则参见相关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（十四）基金的非交易过户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结算机构受理继承、捐赠和司法强制执行而产生的非交易过户以及登记结算机构认可、符合法律法规的其它非交易过户。无论在上述何种情况下，接受划转的主体必须是依法可以持有本基金基金份额的投资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w:t>
      </w:r>
      <w:r>
        <w:rPr>
          <w:rFonts w:ascii="宋体" w:hAnsi="宋体"/>
          <w:sz w:val="24"/>
        </w:rPr>
        <w:lastRenderedPageBreak/>
        <w:t>额强制划转给其他自然人、法人或其他组织。办理非交易过户必须提供基金登记结算机构要求提供的相关资料，对于符合条件的非交易过户申请按基金登记结算机构的规定办理，并按基金登记结算机构规定的标准收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（十五）基金的冻结和解冻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基金登记结算机构只受理国家有权机关依法要求的基金份额的冻结与解冻，以及登记结算机构认可、符合法律法规的其他情况下的基金份额的冻结与解冻。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（十六）实施侧袋机制期间本基金的申购与赎回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12" w:name="_Toc243660438"/>
      <w:r>
        <w:rPr>
          <w:rFonts w:ascii="Times New Roman" w:hAnsi="Times New Roman"/>
          <w:sz w:val="30"/>
        </w:rPr>
        <w:lastRenderedPageBreak/>
        <w:t>九、基金的转换</w:t>
      </w:r>
      <w:bookmarkEnd w:id="12"/>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2008年5月22日刊登公告自2008年5月23日起开放A/B类、C类基金份额的日常转换业务，本基金2025年3月28日刊登公告自2025年3月31日起增设D类基金份额并开通D类基金份额的日常转换业务。本基金2026年3月3日刊登公告自2026年3月3日起开放开通同一基金不同类别基金份额转换业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（四）基金转换的数额限制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转出基金的赎回费用及归入基金资产的比例按照各基金最新的更新招募说明书及相关公告规定的赎回费率和计费方式收取。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w:t>
      </w:r>
      <w:r>
        <w:rPr>
          <w:rFonts w:ascii="宋体" w:hAnsi="宋体"/>
          <w:sz w:val="24"/>
        </w:rPr>
        <w:lastRenderedPageBreak/>
        <w:t>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6、基金管理人可以根据法律法规及基金合同的规定对上述收费方式和费率进行调整，并应于调整后的收费方式和费率在实施前依照《信息披露办法》的有关规定在中国证监会规定媒介上公告。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w:t>
      </w:r>
      <w:r>
        <w:rPr>
          <w:rFonts w:ascii="宋体" w:hAnsi="宋体"/>
          <w:sz w:val="24"/>
        </w:rPr>
        <w:lastRenderedPageBreak/>
        <w:t>五入，误差部分归基金财产。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w:t>
      </w:r>
      <w:r>
        <w:rPr>
          <w:rFonts w:ascii="宋体" w:hAnsi="宋体"/>
          <w:sz w:val="24"/>
        </w:rPr>
        <w:lastRenderedPageBreak/>
        <w:t>元，交银货币的基金份额净值为1.00元。若该投资者将100,000份交银货币A级基金份额转换为交银增利A类基金份额，则转入确认的交银增利A类基金份额为：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w:t>
      </w:r>
      <w:r>
        <w:rPr>
          <w:rFonts w:ascii="宋体" w:hAnsi="宋体"/>
          <w:sz w:val="24"/>
        </w:rPr>
        <w:lastRenderedPageBreak/>
        <w:t>一年半，转换申请当日交银先锋的A类基金份额净值为1.2500元，交银货币的基金份额净值为1.00元。若该投资者将100,000份交银先锋后端A类基金份额转换为交银货币，则转入交银货币的基金份额为：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w:t>
      </w:r>
      <w:r>
        <w:rPr>
          <w:rFonts w:ascii="宋体" w:hAnsi="宋体"/>
          <w:sz w:val="24"/>
        </w:rPr>
        <w:lastRenderedPageBreak/>
        <w:t>申购状态。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13" w:name="_Toc243660439"/>
      <w:r>
        <w:rPr>
          <w:rFonts w:ascii="Times New Roman" w:hAnsi="Times New Roman"/>
          <w:sz w:val="30"/>
        </w:rPr>
        <w:lastRenderedPageBreak/>
        <w:t>十、基金的投资</w:t>
      </w:r>
      <w:bookmarkEnd w:id="13"/>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 投资理念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收益是源于对风险的合理预期和有效管理。本基金在坚持一贯的价值投资理念基础上，通过专业化的研究分析，追求和挖掘经过有效风险管理的持续投资收益。该理念至少包含以下三方面的含义：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1、风险与收益是匹配的；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2、风险又是可预期和管理的；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3、通过对风险进行有效预期和管理，追求风险调整后的稳健收益。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（二）投资目标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宏观经济运行状况和金融市场的运行趋势，自上而下进行宏观分析，自下而上精选个券，在控制信用风险、利率风险、流动性风险前提下，主要通过投资承担一定信用风险、具有较高息票率的债券，实现基金资产的长期稳定增长。</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（三）投资范围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如法律法规或监管机构以后允许基金投资的其他品种，基金管理人在履行适当程序后，可以将其纳入投资范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（四）投资对象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固定收益类资产（包括国债、金融债、央行票据、企业债、公司债、短期融资券、资产支持证券、次级债、可转换债券等）占基金资产的比例为80%-100%，其中次级债、资产支持证券（含资产收益计划）和可转换债</w:t>
      </w:r>
      <w:r>
        <w:rPr>
          <w:rFonts w:ascii="宋体" w:hAnsi="宋体"/>
          <w:sz w:val="24"/>
        </w:rPr>
        <w:lastRenderedPageBreak/>
        <w:t>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表一：资产类别和配置比例</w:t>
      </w:r>
    </w:p>
    <w:tbl>
      <w:tblPr>
        <w:tblW w:w="5000" w:type="pct"/>
        <w:tblCellMar>
          <w:left w:w="0" w:type="dxa"/>
          <w:right w:w="0" w:type="dxa"/>
        </w:tblCellMar>
        <w:tblLook w:val="0000" w:firstRow="0" w:lastRow="0" w:firstColumn="0" w:lastColumn="0" w:noHBand="0" w:noVBand="0"/>
      </w:tblPr>
      <w:tblGrid>
        <w:gridCol w:w="2167"/>
        <w:gridCol w:w="6503"/>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资产类别</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资产配置比例</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固定收益类资产</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80-100%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其中：次级债、资产支持证券（含资产收益计划）、可转换债券</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0-40%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股票、权证</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其中：权证</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本基金的整体业绩比较基准采用：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中债企业债总指数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本基金采用中央国债登记公司编制的中债企业债总指数作为业绩比较基准主要基于以下原因：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1、中央国债登记公司编制的中债企业债总指数，虽然其编制的时间不长，但其很好地反映了我国企业债券市场整体状况、已经具有较高权威和市场代表性。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2、该指数科学地反应了我国企业债券市场的变化，投资人可以方便地从国债网、货币网等互联网中获取。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3、本基金的主要投资对象是承载一定信用风险的企业债券（含公司债、企业短期融资券），因此中央国债登记公司编制的中债企业债总指数是衡量本基金投资业绩的理想基准。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将视情况经与本基金托管人协商同意后调整本基金的业绩评价基准并报中国证监会备案,并及时公告，但不需要召开基金份额持有人大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（六）投资策略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严谨、规范化的基本面研究分析与积极主动的投资风格相结合，在分析和判断宏观经济运行状况和金融市场运行趋势的基础上，动态调整大类金融资产比例，自上而下决定债券组合久期、期限结构配置及债券类别配置；同时在对企业债券进行信用评级的基础上，综合考量企业债券（含公司债、企业短期融资券）的信用评级以及包括其它券种在内的债券流动性、供求关系、收益率水平等因素，自下而上地配置债券类属和精选个券。通过综合运用骑乘操作、套利操作、新股认购等策略，提高投资组合收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自上而下”的多因素分析决策支持系统，结合定性分析和定量分析，形成对不同类属市场的预测和判断，确定债权类证券、股权类证券和货币市场工具的配置比例，并随着各类证券风险收益特征的相对变化，动态调整类属资产的投资比例，以规避或控制市场风险，提高基金收益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2、久期管理策略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久期管理策略是债券型基金最基本的投资策略。久期管理策略在本质上是一种自上而下的策略，其目的在于通过合理的久期控制实现对利率风险的有效管理。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久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具体而言，基金管理人通过以下几方面的分析来确定债券组合的目标久期：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宏观经济环境分析：通过对宏观经济数据如月度、季度进出口增长率、消费增长率、投资增长率等的跟踪与分析，预测宏观经济运行趋势，合理预期当前经济运行在经济周期中所处的阶段；针对当前的经济运行存在的问题，合理预期中央政府的财政与货币政策取向以及当前利率在利率周期中所处的阶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市场利率变动趋势分析：基于利率周期运行阶段的预期，密切关注月度CPI、PPI等物价指数、准备金比率、货币供应量、信贷、汇率等金融运行数据、投资、贸易顺差、工业增加值等实体经济运行数据以及就业数据等等央行货币政策所监控的目标数据的变化，预测法定利率在时间与空间上的变动与趋势。根据法定利率的变化，分析投资人心理与市场供求关系以及流动性等的变化，合理预期市场利率、债券收益率在时间与空间上的可能变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目标久期分析：根据法定利率与市场利率的变动趋势、所处利率周期的阶段，结合当期的债券收益率水平，确定组合目标久期。原则上，在利率上行通道中，通过缩短目标久期规避利率风险；在利率下行通道中，通过延长目标久期分享债券价格上涨的收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3、企业债投资策略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企业债投资策略是一种自上而下的利率风险管理与自下而上的信用风险管理相结合的策略，是本基金最主要的投资策略。本基金所指企业债券，包括公司债和企业短期融资券。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企业发展前景、企业偿债能力、建设项目质量等多重因素的综合考量对企业债券进行信用评级，并在信用评级的基础上，建立企业债债券池；然后基于既定的目标久期、信用利差精选个券进行投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具体而言，主要通过以下几个步骤来对企业债券进行投资管理：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信用评级分析：本基金首先将企业债划分成短期企业债券（含企业短期融资券）和中长期企业债券（含中长期公司债），分别建立短期企业债券和中长期企业债券的信用评级指标体系，然后再利用信用评级指标体系给发行主体和标的债券打分，给出企业债基于其综合得分的信用评级等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筛选企业债券：本基金将企业债的信用评级分成五级（见下表），而仅将信用评级在3级以上的债券纳入备选债券池（其中国债、央行票据、政策性金融债和银行担保的信用评级为AAA级或等同于AAA级的债券，自动纳入备选债券池）。本基金基金经理可直接按流程、按权限从备选债券池中选择债券进行投资。备选债券池外债券，信用评级为2级的企业债在信用评级没有改善迹象前限制投资，在投资评级出现改善趋势时，可以按流程、按权限少量投资；信用评级为1级的企业债禁止投资。</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信用评级</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综合得分</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定义</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投资建议</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r>
              <w:rPr>
                <w:rFonts w:ascii="Times New Roman" w:hAnsi="Times New Roman"/>
                <w:color w:val="000000"/>
                <w:kern w:val="0"/>
                <w:sz w:val="25"/>
                <w:szCs w:val="24"/>
              </w:rPr>
              <w:t>90</w:t>
            </w:r>
            <w:r>
              <w:rPr>
                <w:rFonts w:ascii="Times New Roman" w:hAnsi="Times New Roman"/>
                <w:color w:val="000000"/>
                <w:kern w:val="0"/>
                <w:sz w:val="25"/>
                <w:szCs w:val="24"/>
              </w:rPr>
              <w:t>，</w:t>
            </w:r>
            <w:r>
              <w:rPr>
                <w:rFonts w:ascii="Times New Roman" w:hAnsi="Times New Roman"/>
                <w:color w:val="000000"/>
                <w:kern w:val="0"/>
                <w:sz w:val="25"/>
                <w:szCs w:val="24"/>
              </w:rPr>
              <w:t>100</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信用风险小</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可投资</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r>
              <w:rPr>
                <w:rFonts w:ascii="Times New Roman" w:hAnsi="Times New Roman"/>
                <w:color w:val="000000"/>
                <w:kern w:val="0"/>
                <w:sz w:val="25"/>
                <w:szCs w:val="24"/>
              </w:rPr>
              <w:t>80</w:t>
            </w:r>
            <w:r>
              <w:rPr>
                <w:rFonts w:ascii="Times New Roman" w:hAnsi="Times New Roman"/>
                <w:color w:val="000000"/>
                <w:kern w:val="0"/>
                <w:sz w:val="25"/>
                <w:szCs w:val="24"/>
              </w:rPr>
              <w:t>，</w:t>
            </w:r>
            <w:r>
              <w:rPr>
                <w:rFonts w:ascii="Times New Roman" w:hAnsi="Times New Roman"/>
                <w:color w:val="000000"/>
                <w:kern w:val="0"/>
                <w:sz w:val="25"/>
                <w:szCs w:val="24"/>
              </w:rPr>
              <w:t>90</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信用风险较小</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可投资</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r>
              <w:rPr>
                <w:rFonts w:ascii="Times New Roman" w:hAnsi="Times New Roman"/>
                <w:color w:val="000000"/>
                <w:kern w:val="0"/>
                <w:sz w:val="25"/>
                <w:szCs w:val="24"/>
              </w:rPr>
              <w:t>60</w:t>
            </w:r>
            <w:r>
              <w:rPr>
                <w:rFonts w:ascii="Times New Roman" w:hAnsi="Times New Roman"/>
                <w:color w:val="000000"/>
                <w:kern w:val="0"/>
                <w:sz w:val="25"/>
                <w:szCs w:val="24"/>
              </w:rPr>
              <w:t>，</w:t>
            </w:r>
            <w:r>
              <w:rPr>
                <w:rFonts w:ascii="Times New Roman" w:hAnsi="Times New Roman"/>
                <w:color w:val="000000"/>
                <w:kern w:val="0"/>
                <w:sz w:val="25"/>
                <w:szCs w:val="24"/>
              </w:rPr>
              <w:t>80</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信用风险中</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可投资</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r>
              <w:rPr>
                <w:rFonts w:ascii="Times New Roman" w:hAnsi="Times New Roman"/>
                <w:color w:val="000000"/>
                <w:kern w:val="0"/>
                <w:sz w:val="25"/>
                <w:szCs w:val="24"/>
              </w:rPr>
              <w:t>40</w:t>
            </w:r>
            <w:r>
              <w:rPr>
                <w:rFonts w:ascii="Times New Roman" w:hAnsi="Times New Roman"/>
                <w:color w:val="000000"/>
                <w:kern w:val="0"/>
                <w:sz w:val="25"/>
                <w:szCs w:val="24"/>
              </w:rPr>
              <w:t>，</w:t>
            </w:r>
            <w:r>
              <w:rPr>
                <w:rFonts w:ascii="Times New Roman" w:hAnsi="Times New Roman"/>
                <w:color w:val="000000"/>
                <w:kern w:val="0"/>
                <w:sz w:val="25"/>
                <w:szCs w:val="24"/>
              </w:rPr>
              <w:t>60</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信用风险大</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限制投资</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r>
              <w:rPr>
                <w:rFonts w:ascii="Times New Roman" w:hAnsi="Times New Roman"/>
                <w:color w:val="000000"/>
                <w:kern w:val="0"/>
                <w:sz w:val="25"/>
                <w:szCs w:val="24"/>
              </w:rPr>
              <w:t>0</w:t>
            </w:r>
            <w:r>
              <w:rPr>
                <w:rFonts w:ascii="Times New Roman" w:hAnsi="Times New Roman"/>
                <w:color w:val="000000"/>
                <w:kern w:val="0"/>
                <w:sz w:val="25"/>
                <w:szCs w:val="24"/>
              </w:rPr>
              <w:t>，</w:t>
            </w:r>
            <w:r>
              <w:rPr>
                <w:rFonts w:ascii="Times New Roman" w:hAnsi="Times New Roman"/>
                <w:color w:val="000000"/>
                <w:kern w:val="0"/>
                <w:sz w:val="25"/>
                <w:szCs w:val="24"/>
              </w:rPr>
              <w:t>40</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信用风险很大</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禁止投资</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3）信用利差分析：鉴于发达国家成熟市场“信用利差之谜”现象的广泛存</w:t>
      </w:r>
      <w:r>
        <w:rPr>
          <w:rFonts w:ascii="宋体" w:hAnsi="宋体"/>
          <w:sz w:val="24"/>
        </w:rPr>
        <w:lastRenderedPageBreak/>
        <w:t>在，信用产品本金损失率对信用利差解释力不高。本基金将根据中国企业债市场处于发展初级阶段，市场效率不高的现状，密切关注供求关系、税收、利率、投资人结构与行为以及市场的深度、广度和制度建设等因素对信用利差的影响，对个券进行有效的信用利差交易。</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4、资产支持证券（含资产收益计划）投资策略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以及资产池资产所在行业景气变化等因素的研究，预测资产池未来现金流变化；通过研究标的证券发行条款，预测提前偿还率变化对标的证券的久期与收益率的影响，同时密切关注流动性对标的证券收益率的影响。综合运用久期管理、收益率曲线、个券选择以及把握市场交易机会等积极策略，在严格控制风险的情况下，结合信用研究和流动性管理，选择风险调整后收益高的品种进行投资，以期获得长期稳定收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5、可转换债券投资策略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是介于股票和债券之间的投资品种，兼具股性和债性的双重特征。一方面，本基金可转换债券股性的研究将完全依托于公司投研团队对标的股票的研究，在此基础上结合金融工程师的可转债定价模型，充分考虑转债发行后目标转债标的股票股价波动率可能出现的变化，对目标转债的股性进行合理定价。另一方面，对于本基金可转换债券债性的研究，将通过引进公司企业债券信用评级指标体系，对可转换债券的发行主体及标的债券进行信用评级，并在信用评级的基础上对其进行合理定价。通过对标的转债股性与债性的合理定价，力求选择被市场低估的品种，来构建本基金可转换债券的投资组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6、股票投资策略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本基金股票投资策略包括新股认购策略和可转换债券转股策略。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（1）新股认购策略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本基金认为股票一、二级市场之间存在一定的价差是暂时现象，因此，股票投资策略只是一种阶段性投资策略。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分析影响股票一级市场资金面的相关市场风险收益特征的变化、股票发行政策取向（如扩容节奏、发行市盈率与二级市场市盈率的差距），预测新股一级市场供求关系的变化，并据此进一步预测认购新股中签率和新股的收益率变动趋势；同时，借助公司投资平台行业研究员的研究建议，预测拟认购新股的中签率和认购收益率，确定合理规模的资金、精选个股认购，实现新股认购收益率的最</w:t>
      </w:r>
      <w:r>
        <w:rPr>
          <w:rFonts w:ascii="宋体" w:hAnsi="宋体"/>
          <w:sz w:val="24"/>
        </w:rPr>
        <w:lastRenderedPageBreak/>
        <w:t>大化。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（2）可转换债券转股策略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进行可转换债券投资时，面对可能出现可转换债券与正股之间存在套利机会的现象或者出现可转换债券流动性暂时不足的现象，采用可转换债券转股策略，即将持有的可转换债券在转换期内转股抛售，以更好的保护基金投资人利益、实现基金可转换债券投资收益最大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本基金通过新股认购策略所认购新发行股票，在其上市后持有时间不超60个交易日，所持可转换债券转股后的股票持有时间不超过5个交易日；本基金累计持有股票余额不超过基金资产净值的20%。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7、权证投资策略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与新股认购策略一样，本基金认为权证投资策略也是一种阶段性投资策略。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的科学投资管理为手段，充分考虑权证资产的收益性、流动性及风险收益特征，通过资产配置、品种与类属选择，追求当期稳定的基金资产收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本基金通过可转债认购所获得的权证，在其上市后持有时间不超过20个交易日。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为了保证整个投资组合计划的顺利贯彻与实施，本基金遵循以下投资决策依据以及具体的决策程序：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1、投资决策依据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（1）国家有关法律法规和本基金合同的有关规定；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（2）宏观经济发展态势、证券市场运行环境和走势；</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（3）投资对象的风险和预期收益的匹配关系，本基金将在承担适度风险的前提下，选择风险和预期收益配比最佳的品种进行投资。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2、决策和交易机制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本基金实行投资决策委员会领导下的基金经理小组负责制，投资总监、固定收益部总经理是投资决策委员会的执行代表。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投资决策委员会、投资总监、固定收益部总经理的主要职责是确定基金的资产配置政策，审批重大单项投资决定等。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基金经理的主要职责是在投资决策委员会确定的资产配置范围内，构建和调整投资组合，并向中央交易室下达投资指令。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3、投资流程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投资决策委员会是本基金的最高决策机构，投资决策委员会定期就投资管理业务的重大问题进行讨论。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基金经理、研究员、交易员在投资管理过程中既密切合作，又责任明确，在各自职责内按照业务程序独立工作并合理地相互制衡。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具体的投资管理流程如下：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（1）投资决策委员会每月召开投资决策会议，决定基金的资产配置比例和股票、债券的投资重点等；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（2）研究部策略分析师、固定收益产品分析师、定量分析师各自独立完成相应的研究报告，为投资决策提供依据；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（3）固定收益部总经理每周召集固定收益业务投资例会，根据投资决策委员会的决定，结合市场和公司基本面的变化，决定具体的投资策略；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经理依据策略分析师的宏观经济分析和策略建议、固定收益产品分析师的债券市场研究和券种选择、定量分析师的定量投资策略研究，结合本基金产品定位及风险控制的要求，在权限范围内制定具体的投资组合方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（5）基金经理小组根据基金投资组合方案，向中央交易室下达交易指令；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（6）中央交易室执行基金经理小组的交易指令，对交易情况及时反馈；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（7）定量分析师负责完成有关投资风险监控报告及内部基金业绩评估报告。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投资决策委员会有权根据市场变化和实际情况的需要，对上述投资管理程序做出调整。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（八）投资组合限制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本基金投资组合遵循如下投资限制：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1、本基金持有一家企业发行的债券，其市值不超过基金资产净值的10%；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2、本基金持有一家上市公司的股票，其市值不超过基金资产净值的10%；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3、基金管理人管理的全部基金持有一家公司发行的证券，不超过该证券的10%；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4、基金管理人管理的全部基金持有的同一权证，不得超过该权证的10%；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5、本基金进入全国银行间同业市场进行债券回购的资金余额不得超过基金资产净值的40%；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股票、权证等资产占基金资产的比例为0-20%，其中权证资产占基金资产净值的比例为0-3%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7、基金保留的现金以及投资于到期日在一年以内的政府债券的比例合计不低于基金资产净值的5%，其中现金不包括结算备付金、存出保证金和应收申购款等;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13、基金财产参与股票发行申购，本基金所申报的股票数量不超过拟发行股票公司本次发行股票的总量；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14、本基金在任何交易日买入权证的总金额，不得超过上一交易日基金资产净值的0.5%；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15、当本基金所持有的中签未卖出的新股市值占基金资产净值的比例达到或超过18%时，本基金将暂停进行新股申购，当该比例降低到18%以下时方可继续进行新股申购；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16、当本基金所持有的因网下申购而有锁定期限的股票的未流通市值占基金资产净值比例达到或超过5%时，本基金将暂停申购任何有锁定期的新股，当该比例降低到5%以下时方可继续进行有锁定期的新股申购；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19、本基金与私募类证券资管产品及中国证监会认定的其他主体为交易对手开展逆回购交易的，可接受质押品的资质要求应当与基金合同约定的投资范围保持一致；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20、如果法律法规对本基金合同约定投资组合比例限制进行变更的，以变更后的规定为准。法律法规或监管部门取消上述限制，如适用于本基金，则本基金投资不再受相关限制。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7、12、18、19项外，因证券市场波动、上市公司合并、基金规模变动、股权分置改革中支付对价等基金管理人之外的因素致使基金投资比例不符合上述规定的投资比例的，基金管理人应当在10个交易日内进行调整。法律法规或监管部门另有规定的，从其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除投资资产配置比例外，基金托管人对基金的投资比例的监督与检查自本基金的基金合同生效之日起开始。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（九）禁止行为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5、向其基金管理人、基金托管人出资或者买卖基金托管人、基金管理人发行的股票或债券；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6、买卖与其基金管理人、基金托管人有控股关系的股东或者与其基金管理人、基金托管人有其他重大利害关系的公司发行的证券或承销期内承销的证券；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8、法律法规、中国证监会及基金合同规定禁止的其他活动。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法律法规或监管部门取消上述禁止性规定，如适用于本基金，则本基金不受相关限制。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（十）风险收益特征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在证券投资基金中属于中等风险的品种，其长期平均风险和预期收益高于货币市场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（十一）基金管理人代表基金行使股东及债权人权利的处理原则及方法</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（十二）基金的融资、融券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本基金可以按照国家的有关规定进行融资、融券。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（十三）侧袋机制的实施和投资运作安排</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w:t>
      </w:r>
      <w:r>
        <w:rPr>
          <w:rFonts w:ascii="宋体" w:hAnsi="宋体"/>
          <w:sz w:val="24"/>
        </w:rPr>
        <w:lastRenderedPageBreak/>
        <w:t>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（十四）基金投资组合报告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本基金托管人中国建设银行根据本基金合同规定,于2026年04月20日复核了本报告中的财务指标、净值表现和投资组合报告等内容,保证复核内容不存在虚假记载、误导性陈述或者重大遗漏。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7,544,561,622.18</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70.58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7,544,561,622.18</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70.58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18,000,000.00</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45,080,021.87</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0.42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3,082,437,820.11</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28.83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10,690,079,464.16</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605,019,479.00</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6.77</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2,560,699,735.67</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28.66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1,411,355,149.92</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15.80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450,165,192.34</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5.04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3,458,758,489.90</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38.71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469,918,725.27</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5.26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7,544,561,622.18</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84.44</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06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406,143,123.29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4.55</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260401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农发</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401,677,260.27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4.50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2,999,020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302,753,944.76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3.39</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302,265,534.24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3.38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201,810,246.58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2.26</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2026年03月05日,国家外汇管理局北京市分局公示京汇罚[2026]14号行政处罚决定书,给予中国进出口银行罚没共计221.24万元人民币的行政处罚。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2025年12月31日,国家金融监督管理总局宁波监管局公示行政处罚决定书,给予中国民生银行股份有限公司220万元人民币的行政处罚。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2025年10月31日,国家金融监督管理总局公示行政处罚决定书,给予中国民生银行股份有限公司5865万元人民币的行政处罚。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2025年09月12日,金融监管总局公示行政处罚决定书,给予中国民生银行股份有限公司590万元人民币的行政处罚。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2025年09月12日,国家金融监督管理总局公示行政处罚决定书,给予中国进出口银行130万元人民币的行政处罚。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2025年09月12日,国家金融监督管理总局公示行政处罚决定书,给予恒丰银行股份有限公司6150万元人民币的行政处罚。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2025年06月27日,国家金融监督管理总局公示行政处罚决定书,给予中国进出口银行1810万元人民币的行政处罚。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w:t>
      </w:r>
      <w:r>
        <w:rPr>
          <w:rFonts w:ascii="宋体" w:hAnsi="宋体"/>
          <w:sz w:val="24"/>
        </w:rPr>
        <w:lastRenderedPageBreak/>
        <w:t>策程序符合公司投资制度的规定。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97,888.26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8,001,036.44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3,074,338,895.41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3,082,437,820.11</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17,632,248.08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15,564,349.12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天奈转债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15,446,889.40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13,721,406.53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亿纬转债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13,249,708.90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12,584,356.64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航宇转债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12,513,028.04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希望转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12,280,108.06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12,080,327.62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11,051,973.07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10,670,700.60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利柏转债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10,195,866.47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上银转债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10,179,991.72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芳源转债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9,924,151.03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闻泰转债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9,808,166.21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8,664,828.88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皓元转债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8,522,466.56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重银转债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8,458,913.92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8,119,644.76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7,988,674.67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7,682,243.41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瑞科转债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7,477,793.05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7,386,024.18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兴业转债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7,199,889.08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6,931,908.03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6,819,397.00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132026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r>
              <w:rPr>
                <w:rFonts w:ascii="Times New Roman" w:hAnsi="Times New Roman"/>
                <w:color w:val="000000"/>
                <w:kern w:val="0"/>
                <w:sz w:val="25"/>
                <w:szCs w:val="24"/>
              </w:rPr>
              <w:t>三峡</w:t>
            </w:r>
            <w:r>
              <w:rPr>
                <w:rFonts w:ascii="Times New Roman" w:hAnsi="Times New Roman"/>
                <w:color w:val="000000"/>
                <w:kern w:val="0"/>
                <w:sz w:val="25"/>
                <w:szCs w:val="24"/>
              </w:rPr>
              <w:t>EB2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6,756,331.51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6,704,536.09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艾迪转债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6,499,478.28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爱玛转债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6,055,227.32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仙乐转债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5,938,555.69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和邦转债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5,829,755.29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清源转债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5,727,457.10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欧</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5,694,237.68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国力转债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5,465,023.72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123144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裕兴转债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5,370,295.01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5,030,900.70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道通转债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4,994,368.67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123237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佳禾转债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4,932,075.73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4,790,120.73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精测转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4,441,072.55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芯能转债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4,424,278.08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应流转债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3,803,379.59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天业转债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3,475,708.13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共同转债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3,408,860.17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湘佳转债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3,401,804.83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立昂转债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3,338,785.83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中贝转债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3,266,755.85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惠云转债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3,160,998.09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昌红转债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3,124,200.00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禾丰转债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3,099,931.42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万凯转债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2,859,596.49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路维转债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2,780,203.19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54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大中转债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2,754,376.85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东亚转债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2,735,998.21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胜蓝转</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2,717,432.14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太能转债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2,616,270.14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岱美转债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2,511,399.75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59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123129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锦鸡转债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2,448,119.99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华亚转债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2,421,009.28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隆</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2,391,477.24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金诚转债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2,385,321.07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汇成转债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2,327,356.24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兴瑞转债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2,209,201.73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回天转债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2,202,469.78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128127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文科转债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2,202,467.35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顺博转债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2,155,606.05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蓝天转债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2,083,111.32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69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阳谷转债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1,949,291.31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三房转债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1,912,666.29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奕瑞转债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1,841,341.26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123133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佩蒂转债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1,827,816.53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洁特转债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1,823,356.25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甬金转债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1,753,062.22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1,747,195.96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奥维转债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1,579,330.74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123071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天能转债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1,414,115.01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晶科转债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1,413,592.47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盈峰转债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1,393,466.44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80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盛泰转债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1,268,254.97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81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泰瑞转债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1,225,066.53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82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鸿路转债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1,074,293.51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83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江山转债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920,720.35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84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起帆转债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835,578.30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85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卫宁转债</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591,324.43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E5327E" w:rsidRDefault="003A285E">
      <w:pPr>
        <w:pStyle w:val="1"/>
        <w:snapToGrid w:val="0"/>
        <w:spacing w:beforeLines="0" w:before="240" w:after="240"/>
        <w:rPr>
          <w:rFonts w:ascii="宋体" w:hAnsi="宋体"/>
          <w:szCs w:val="30"/>
        </w:rPr>
      </w:pPr>
      <w:bookmarkStart w:id="14" w:name="_Toc243660440"/>
      <w:r>
        <w:rPr>
          <w:rFonts w:ascii="Times New Roman" w:hAnsi="Times New Roman"/>
          <w:sz w:val="30"/>
        </w:rPr>
        <w:lastRenderedPageBreak/>
        <w:t>十一、基金的业绩</w:t>
      </w:r>
      <w:bookmarkEnd w:id="14"/>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（1）交银增利债券A/B</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4.81%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6.75%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5.32%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4.17%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3.53%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9.15%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8.03%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4.86%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6.03%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6.90%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5.77%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2.35%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5.59%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-9.85%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9.59%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-7.89%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6.17%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9.60%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8.03%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19.84%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5.92%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13.92%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-2.96%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3.20%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10.74%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7.84%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-5.74%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-4.96%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5.57%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5.06%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6.97%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10.42%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2008</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2008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13.04%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9.84%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3.20%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（2）交银增利债券C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4.39%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6.33%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4.91%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3.76%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8.74%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7.62%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4.44%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5.61%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6.47%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5.34%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7.49%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2.35%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5.14%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-9.85%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9.16%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-7.89%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5.76%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9.13%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7.56%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19.35%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5.92%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13.43%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-2.96%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10.24%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7.34%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-5.35%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4.60%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6.50%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9.95%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2008</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2008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12.66%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9.84%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（3）交银增利债券D</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E5327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3.97%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5.16%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bl>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注：本基金的业绩比较基准为中债企业债总指数。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E5327E" w:rsidRDefault="003A285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交银施罗德增利债券证券投资基金</w:t>
      </w:r>
    </w:p>
    <w:p w:rsidR="00E5327E" w:rsidRDefault="003A285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E5327E" w:rsidRDefault="003A285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（2008年3月31日至2026年03月31日）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1．交银增利债券A/B</w:t>
      </w:r>
    </w:p>
    <w:p w:rsidR="00E5327E" w:rsidRDefault="00542DA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268.5pt">
            <v:imagedata r:id="rId17" o:title="1521256610242020828"/>
          </v:shape>
        </w:pic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2．交银增利债券C</w:t>
      </w:r>
    </w:p>
    <w:p w:rsidR="00E5327E" w:rsidRDefault="00542DA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8" type="#_x0000_t75" style="width:439.5pt;height:268.5pt">
            <v:imagedata r:id="rId18" o:title="1521256610242020828"/>
          </v:shape>
        </w:pic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3．交银增利债券D</w:t>
      </w:r>
    </w:p>
    <w:p w:rsidR="00E5327E" w:rsidRDefault="00542DA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9" type="#_x0000_t75" style="width:439.5pt;height:268.5pt">
            <v:imagedata r:id="rId19" o:title="1521256610242020828"/>
          </v:shape>
        </w:pic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 　　2、本基金自2025年3月31日起，开始销售D类份额，投资者提交的申购申请于2025年4月1日被确认并将有效份额登记在册。</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15" w:name="_Toc243660441"/>
      <w:r>
        <w:rPr>
          <w:rFonts w:ascii="Times New Roman" w:hAnsi="Times New Roman"/>
          <w:sz w:val="30"/>
        </w:rPr>
        <w:lastRenderedPageBreak/>
        <w:t>十二、基金的财产</w:t>
      </w:r>
      <w:bookmarkEnd w:id="15"/>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基金资产总值是指基金拥有的各类有价证券、银行存款本息、基金应收申购款以及其他资产的价值总和。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基金名义开立银行存款账户，以基金托管人的名义开立证券交易清算资金的结算备付金账户，并以基金托管人和“交银施罗德增利债券证券投资基金”联名的方式开立基金证券账户，以“交银施罗德增利债券证券投资基金”的名义开立银行间债券托管账户并报中国人民银行备案。开立的基金专用账户与基金管理人、基金托管人、基金代销机构和基金登记结算机构自有的财产账户以及其他基金财产账户相独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（四）基金财产的保管与处分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16" w:name="_Toc243660442"/>
      <w:r>
        <w:rPr>
          <w:rFonts w:ascii="Times New Roman" w:hAnsi="Times New Roman"/>
          <w:sz w:val="30"/>
        </w:rPr>
        <w:lastRenderedPageBreak/>
        <w:t>十三、基金资产的估值</w:t>
      </w:r>
      <w:bookmarkEnd w:id="16"/>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基金资产估值的目的是客观、准确地反映基金财产是否保值、增值，依据经基金资产估值后确定的基金资产净值计算出的基金份额净值，是计算基金申购与赎回价格的基础。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本基金的估值日为本基金相关的证券交易场所的正常营业日以及国家法律法规规定需要对外披露基金净值的非营业日。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1.股票估值方法：</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(1)上市流通股票按估值日其所在证券交易所的收盘价估值；估值日无交易的，以最近交易日的收盘价估值。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(2)未上市股票的估值：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1)首次发行未上市的股票，按成本计量；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2)送股、转增股、配股和公开增发新股等发行未上市的股票，按估值日在证券交易所挂牌的同一股票的市价估值；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3)首次公开发行有明确锁定期的股票，同一股票在交易所上市后，按交易所上市的同一股票的市价估值；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4)非公开发行有明确锁定期的流通受限股票，按监管机构或行业协会有关规定确定公允价值；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任何情况下，基金管理人如采用本项第(1)－(2)小项规定的方法对基金资产进行估值，均应被认为采用了适当的估值方法。但是，如果基金管理人认为按本项第(1)－(2)小项规定的方法对基金资产进行估值不能客观反映其公允价值的，基金管理人可根据具体情况，并与基金托管人商定后，按最能反映公允价值的价格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(4)国家有最新规定的，按其规定进行估值。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2.债券估值方法：</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交易所市场上市交易或挂牌转让的固定收益品种（另有规定的除外），选取第三方估值机构提供的相应品种当日的估值净价进行估值；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(2)证券交易所市场未实行净价交易的债券按估值日收盘价减去债券收盘价中所含的应收利息得到的净价进行估值，估值日没有交易的，以最近交易日的收盘净价估值；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(3)发行未上市债券采用估值技术确定公允价值，在估值技术难以可靠计量公允价值的情况下，按成本进行后续计量；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(4)在全国银行间债券市场交易的债券、资产支持证券等固定收益品种，采用估值技术确定公允价值；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(5)同一债券同时在两个或两个以上市场交易的，按债券所处的市场分别估值；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任何情况下，基金管理人如采用本项第(1)－(5)小项规定的方法对基金资产进行估值，均应被认为采用了适当的估值方法。但是，如果基金管理人认为按本项第(1)－(5)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(7)国家有最新规定的，按其规定进行估值。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3.权证估值方法：</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(1)基金持有的权证，从持有确认日起到卖出日或行权日止，上市交易的权证按估值日在证券交易所挂牌的该权证的收盘价估值；估值日没有交易的，按最近交易日的收盘价估值；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未上市交易的权证采用估值技术确定公允价值；在估值技术难以可靠计量公允价值的情况下，按成本计量；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任何情况下，基金管理人如采用本项第(1)小项规定的方法对基金资产进行估值，均应被认为采用了适当的估值方法。但是，如果基金管理人认为按本项第(1)小项规定的方法对基金资产进行估值不能客观反映其公允价值的，基金管理人可根据具体情况，并与基金托管人商定后，按最能反映公允价值的价格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(3)国家有最新规定的，按其规定进行估值。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4.如基金管理人或基金托管人发现基金估值违反基金合同订明的估值方法、程序及相关法律法规的规定或者未能充分维护基金份额持有人利益时，应立即通知对方，共同查明原因，双方协商解决。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（四）估值对象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本基金所拥有的股票、权证、债券和银行存款本息、应收款项、其它投资等资产。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1、各类基金份额净值是按照每个开放日闭市后，基金资产净值除以当日基金份额的余额数量计算，均精确到0.0001元，小数点后第五位四舍五入。国家另有规定的，从其规定。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每个工作日分别计算本基金各类基金份额的基金资产净值及基金份额净值，并按规定分别公告。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本基金各类基金份额的基金资产估值。基金管理人每个开放日对本基金各类基金份额的基金资产估值后，将该类基金份额的基金份额净值结果发送基金托管人，经基金托管人复核无误后，由基金管理人对外公布。月末、年中和年末估值复核与基金会计账目的核对同时进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基金管理人和基金托管人将采取必要、适当、合理的措施确保基金资产估值的准确性、及时性。当任一类基金份额净值小数点后4位以内(含第4位)发生差错时，视为该类基金份额净值错误。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结算机构、或代销机构、或投资人自身的过错造成差错，导致其他当事人遭受损失的，过错的责任人应当对由于该差错遭受损失的当事人(“受损方”)按下述“差错处理原则”给予赔偿，承担赔偿责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w:t>
      </w:r>
      <w:r>
        <w:rPr>
          <w:rFonts w:ascii="宋体" w:hAnsi="宋体"/>
          <w:sz w:val="24"/>
        </w:rPr>
        <w:lastRenderedPageBreak/>
        <w:t>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赔偿责任；若差错责任方已经积极协调，并且有协助义务的当事人有足够的时间进行更正而未更正，则其应当承担相应赔偿责任。差错责任方应对更正的情况向有关当事人进行确认，确保差错已得到更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(2)差错的责任方对有关当事人的直接损失负责，不对间接损失负责，并且仅对差错的有关直接当事人负责，不对第三方负责。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过错造成基金财产损失时，基金托管人应为基金的利益向基金管理人追偿，如果因基金托管人过错造成基金财产损失时，基金管理人应为基金的利益向基金托管人追偿。基金管理人和托管人之外的第三方造成基金财产的损失，并拒绝进行赔偿时，由基金管理人负责向差错方追偿；追偿过程中产生的有关费用，应列入基金费用，从基金资产中支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出现差错的当事人进行追索，并有权要求其赔偿或补偿由此发生的费用和遭受的损失。</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(7)按法律法规规定的其他原则处理差错。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(4)根据差错处理的方法，需要修改基金登记结算机构交易数据的，由基金登记结算机构进行更正，并就差错的更正向有关当事人进行确认。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4.基金份额净值差错处理的原则和方法如下：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(3)因基金份额净值计算错误，给基金或基金份额持有人造成损失的，应由基金管理人先行赔付，基金管理人按差错情形，有权向其他当事人追偿。</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(5)前述内容如法律法规或监管机关另有规定的，从其规定处理。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2.因不可抗力或其它情形致使基金管理人、基金托管人无法准确评估基金资产价值时；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3.如果出现基金管理人认为属于紧急事故的任何情况，导致基金管理人不能出售或评估基金资产时；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(八)基金净值的确认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各类基金份额净值由基金管理人负责计算，基金托管人负责进行复核。基金管理人应于每个开放日交易结束后计算当日的基金资产净值并发送给基金托管人。基金托管人对净值计算结果复核确认后发送给基金管理人，由基金管理人对基金净值予以公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(九)特殊情况的处理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1.基金管理人或基金托管人按股票估值方法的第(3)项、债券估值方法的第(6)项或权证估值方法的第(2)项进行估值时，所造成的误差不作为基金资产估值错误处理。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及登记结算公司发送的数据错误，或国家会计政策变更、市场规则变更等等，基金管理人和基金托管人虽然已经采取必要、适当、合理的措施进行检查，但未能发现错误的，由此造成的基金资产估值错误，基金管理人和基金托管人免除赔偿责任。但基金管理人应当积极采取必要的措施消除由此造成的影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17" w:name="_Toc243660443"/>
      <w:r>
        <w:rPr>
          <w:rFonts w:ascii="Times New Roman" w:hAnsi="Times New Roman"/>
          <w:sz w:val="30"/>
        </w:rPr>
        <w:lastRenderedPageBreak/>
        <w:t>十四、基金的收益与分配</w:t>
      </w:r>
      <w:bookmarkEnd w:id="17"/>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（一）基金收益的构成</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1、买卖证券差价；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2、基金投资所得红利、股息、债券利息；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3、银行存款利息；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4、已实现的其他合法收入；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5、持有期间产生的公允价值变动；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因运用基金财产带来的成本或费用的节约应计入收益。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（二）基金净收益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基金净收益为基金收益扣除按照有关规定可以在基金收益中扣除的费用后的余额。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1、由于本基金A类、B类和D类基金份额不收取销售服务费，C类基金份额收取销售服务费，各基金份额类别对应的可分配收益将有所不同，本基金同一基金份额类别内的每一份基金份额享有同等分配权；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分配时所发生的银行转账或其他手续费用由投资人自行承担。当投资人的现金红利小于一定金额，不足以支付银行转账或其他手续费用时，基金登记结算机构可将投资人的现金红利按红利发放日的基金份额净值自动转为对应类别基金份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3、本基金每年收益分配次数最多为12次，基金年度收益分配比例不低于年度可分配收益的90%；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4、若基金合同生效不满3个月则可不进行收益分配；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收益分配方式分为两种：现金分红与红利再投资，投资人可选择现金红利或将现金红利按红利除息日的基金份额净值自动转为对应类别基金份额进行再投资；若投资人不选择，本基金默认的收益分配方式是现金分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可对各类基金份额分别选择不同的分红方式。选择采取红利再投资形式的，同一类别基金份额的分红资金将按除息日该类别的基金份额净值转成相应的同一类别的基金份额，持有A/B/D类基金份额的投资人选择红利再投</w:t>
      </w:r>
      <w:r>
        <w:rPr>
          <w:rFonts w:ascii="宋体" w:hAnsi="宋体"/>
          <w:sz w:val="24"/>
        </w:rPr>
        <w:lastRenderedPageBreak/>
        <w:t>资，红利再投资的份额免收申购费；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7、基金投资当期出现净亏损，则不进行收益分配；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8、基金当期收益应先弥补上期亏损后，方可进行当期收益分配；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9、基金收益分配后各类基金份额净值不能低于初始面值；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10、在符合有关基金分红条件的前提下，本基金收益每年至少分配两次；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11、法律法规或监管机构另有规定的从其规定。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基金收益分配方案中应载明基金收益分配对象、分配时间、分配数额及比例、分配方式、支付方式等内容。由于不同基金份额类别对应的可分配收益不同，基金管理人可相应制定不同的收益分配方案。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收益分配方案由基金管理人拟定，并由基金托管人复核，依照《信息披露办法》的有关规定在指定媒介上分别就不同基金份额类别的基金收益分配方案进行公告。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在收益分配方案公布后，基金管理人依据具体方案的规定就支付的现金红利向基金托管人发送划款指令，基金托管人按照基金管理人的指令及时进行分红资金的划付。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现金红利分配时所发生的银行转账或其他手续费用由投资人自行承担。当投资人的现金红利小于一定金额，不足于支付银行转账或其他手续费用时，基金登记结算机构可将投资人的现金红利按红利发放日的基金份额净值自动转为基金份额。红利再投资的计算方法，依照交银施罗德基金管理有限公司开放式基金有关业务规定执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不同的交易账户可设置不同的收益分配方式。投资者同一日多次申报分红方式变更的，按照《业务规则》执行，最终确认的分红方式以登记结算机构记录为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18" w:name="_Toc243660444"/>
      <w:r>
        <w:rPr>
          <w:rFonts w:ascii="Times New Roman" w:hAnsi="Times New Roman"/>
          <w:sz w:val="30"/>
        </w:rPr>
        <w:lastRenderedPageBreak/>
        <w:t>十五、基金的费用与税收</w:t>
      </w:r>
      <w:bookmarkEnd w:id="18"/>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3、基金财产拨划支付的银行费用；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4、基金合同生效后的基金信息披露费用；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6、基金合同生效后与基金相关的会计师费和律师费；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7、基金的证券交易费用；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8、本基金从C类基金份额的基金财产中计提销售服务费；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9、依法可以在基金财产中列支的其他费用。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上述基金费用由基金管理人在法律规定的范围内参照公允的市场价格确定，法律法规另有规定时从其规定。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本基金基金合同终止基金财产清算时所发生费用，按实际支出额从基金财产总值中扣除。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在通常情况下，基金管理费按前一日基金资产净值的0.3%的年费率计提。管理费的计算方法如下：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在通常情况下，基金的托管费按前一日基金资产净值的0.1%的年费率计提。托管费的计算方法如下：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H＝E×年托管费率÷当年天数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（3）除管理费和托管费之外的基金费用由基金托管人根据其他有关法规及相应协议的规定，按费用实际支出金额支付，列入或摊入当期基金费用。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（4）销售服务费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本基金A类、B类和D类基金份额不收取销售服务费，C类基金份额的销售服务费按前一日C类基金资产净值的0.4%年费率计提。计算方法如下：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H＝E×年销售费率÷当年天数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服务费每日计提，按月支付。由基金管理人向基金托管人发送销售服务费划付指令，基金托管人复核后于次月首日起3个工作日内从基金财产中一次性支付给基金管理人，若遇法定节假日、休息日等，支付日期顺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本基金销售服务费将专门用于本基金的销售与基金份额持有人服务，基金管理人将在基金年度报告中对该项费用的列支情况作专项说明。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w:t>
      </w:r>
      <w:r>
        <w:rPr>
          <w:rFonts w:ascii="宋体" w:hAnsi="宋体"/>
          <w:sz w:val="24"/>
        </w:rPr>
        <w:lastRenderedPageBreak/>
        <w:t>产的损失，以及处理与基金运作无关的事项发生的费用等不列入基金费用。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基金合同生效前所发生的信息披露费、会计师费、律师费及其他费用，不得从基金财产中列支。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（四）基金管理费、托管费和销售服务费的调整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协商调整基金管理费率、基金托管费率和销售服务费率等相关费率或改变收费模式。降低基金管理费率、基金托管费率和销售服务费率等相关费率或在不提高整体费率水平的情况下改变收费模式，此项调整不需要基金份额持有人大会决议通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基金管理人必须最迟于新的费率或收费模式实施日前依照《信息披露办法》的有关规定在指定媒介上公告。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19" w:name="_Toc243660445"/>
      <w:r>
        <w:rPr>
          <w:rFonts w:ascii="Times New Roman" w:hAnsi="Times New Roman"/>
          <w:sz w:val="30"/>
        </w:rPr>
        <w:lastRenderedPageBreak/>
        <w:t>十六、基金的会计与审计</w:t>
      </w:r>
      <w:bookmarkEnd w:id="19"/>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6、基金管理人保留完整的会计账目、凭证并进行日常的会计核算，按照有关规定编制基金会计报表；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（二）基金的审计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1、基金管理人聘请具有证券、期货相关从业资格的会计师事务所及其注册会计师对本基金的年度财务报表及其他规定事项进行审计。会计师事务所及其注册会计师与基金管理人、基金托管人相互独立。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3、基金管理人（或基金托管人）认为有充足理由更换会计师事务所，经基金托管人（或基金管理人）同意后可以更换。更换会计师事务所，基金管理人应当依照《信息披露办法》的有关规定在指定媒介上公告。</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20" w:name="_Toc243660446"/>
      <w:r>
        <w:rPr>
          <w:rFonts w:ascii="Times New Roman" w:hAnsi="Times New Roman"/>
          <w:sz w:val="30"/>
        </w:rPr>
        <w:lastRenderedPageBreak/>
        <w:t>十七、基金的信息披露</w:t>
      </w:r>
      <w:bookmarkEnd w:id="20"/>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的信息披露应符合《基金法》、《运作办法》、《信息披露办法》、《流动性规定》、基金合同及其他有关规定。基金管理人、基金托管人和其他基金信息披露义务人应当以保护基金份额持有人利益为根本出发点，依法披露基金信息，并保证所披露信息的真实性、准确性、完整性、及时性、简明性和易得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4、诋毁其他基金管理人、基金托管人或者基金份额发售机构；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1、招募说明书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招募说明书是基金向社会公开销售时对基金情况进行说明的法律文件。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基金合同》生效后，基金招募说明书的信息发生重大变更的，基金管理人应当</w:t>
      </w:r>
      <w:r>
        <w:rPr>
          <w:rFonts w:ascii="宋体" w:hAnsi="宋体"/>
          <w:sz w:val="24"/>
        </w:rPr>
        <w:lastRenderedPageBreak/>
        <w:t>在三个工作日内，更新基金招募说明书并登载在指定网站上；基金招募说明书其他信息发生变更的，基金管理人至少每年更新一次。基金终止运作的，基金管理人不再更新基金招募说明书。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2、基金合同、托管协议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基金管理人应在基金份额发售的3日前，将基金合同摘要登载在指定报刊和网站上；基金管理人、基金托管人应将基金合同、托管协议登载在各自网站上。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3、基金产品资料概要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4、基金份额发售公告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基金管理人将按照《基金法》、《信息披露办法》的有关规定，就基金份额发售的具体事宜编制基金份额发售公告，并在披露招募说明书的当日登载于指定报刊和网站上。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基金管理人将在基金合同生效的次日在指定报刊和网站上登载基金合同生效公告。基金合同生效公告中将说明基金募集情况。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6、基金净值信息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1）《基金合同》生效后，在开始办理基金份额申购或者赎回前，基金管理人应当至少每周在指定网站披露一次各类基金份额所对应的基金份额净值和基金份额累计净值；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2）在开始办理基金份额申购或者赎回后，基金管理人应当在不晚于每个开放日的次日，通过指定网站、销售机构网站或者营业网点披露开放日的各类基金份额所对应的基金份额净值和基金份额累计净值；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3）基金管理人应当在不晚于半年度和年度最后一日的次日，在指定网站披露半年度和年度最后一日的各类基金份额所对应的基金份额净值和基金份额累计净值。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7、基金份额申购、赎回价格公告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基金管理人应当在《基金合同》、招募说明书等信息披露文件上载明基金份额申购、赎回价格的计算方式及有关申购、赎回费率，并保证投资者能够在基金销售机构网站或营业网点查阅或者复制前述信息资料。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8、基金年度报告、基金中期报告、基金季度报告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2）基金管理人应当在上半年结束之日起两个月内，编制完成基金中期报告，将中期报告登载在指定网站上，并将中期报告提示性公告登载在指定报刊上；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3）基金管理人应当在季度结束之日起15个工作日内，编制完成基金季度报告，将季度报告登载在指定网站上，并将季度报告提示性公告登载在指定报刊上；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4）《基金合同》生效不足2个月的，基金管理人可以不编制当期季度报告、中期报告或者年度报告。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6）基金管理人应当在基金年度报告和中期报告中披露基金组合资产情况及其流动性风险分析等。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9、临时报告与公告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在基金运作过程中发生如下可能对基金份额持有人权益或者基金份额的价格产生重大影响的事件时，有关信息披露义务人应当在2日内编制临时报告书，登载在指定报刊和指定网站上：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w:t>
      </w:r>
      <w:r>
        <w:rPr>
          <w:rFonts w:ascii="宋体" w:hAnsi="宋体"/>
          <w:sz w:val="24"/>
        </w:rPr>
        <w:lastRenderedPageBreak/>
        <w:t>项，基金托管人委托基金服务机构代为办理基金的核算、估值、复核等事项；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10、澄清公告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w:t>
      </w:r>
      <w:r>
        <w:rPr>
          <w:rFonts w:ascii="宋体" w:hAnsi="宋体"/>
          <w:sz w:val="24"/>
        </w:rPr>
        <w:lastRenderedPageBreak/>
        <w:t>有人权益的，相关信息披露义务人知悉后应当立即对该消息进行公开澄清，并将有关情况立即报告中国证监会。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11、基金份额持有人大会决议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12、清算报告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《基金合同》终止的，基金管理人应当依法组织基金财产清算小组对基金财产进行清算并作出清算报告。基金财产清算小组应当将清算报告登载在指定网站上，并将清算报告提示性公告登载在指定报刊上。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13、信息披露事务管理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14、实施侧袋机制期间的信息披露</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（六）信息披露文件的存放与查阅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（七）本基金信息披露事项以法律法规规定及本章节约定的内容为准。</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21" w:name="_Toc243660447"/>
      <w:r>
        <w:rPr>
          <w:rFonts w:ascii="Times New Roman" w:hAnsi="Times New Roman"/>
          <w:sz w:val="30"/>
        </w:rPr>
        <w:lastRenderedPageBreak/>
        <w:t>十八、侧袋机制</w:t>
      </w:r>
      <w:bookmarkEnd w:id="21"/>
    </w:p>
    <w:p w:rsidR="00E5327E" w:rsidRDefault="003A285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E5327E" w:rsidRDefault="003A285E">
      <w:pPr>
        <w:pStyle w:val="1"/>
        <w:snapToGrid w:val="0"/>
        <w:spacing w:beforeLines="0" w:before="240" w:after="240"/>
        <w:rPr>
          <w:rFonts w:ascii="宋体" w:hAnsi="宋体"/>
          <w:szCs w:val="30"/>
        </w:rPr>
      </w:pPr>
      <w:bookmarkStart w:id="22" w:name="_Toc243660448"/>
      <w:r>
        <w:rPr>
          <w:rFonts w:ascii="Times New Roman" w:hAnsi="Times New Roman"/>
          <w:sz w:val="30"/>
        </w:rPr>
        <w:lastRenderedPageBreak/>
        <w:t>十九、风险揭示</w:t>
      </w:r>
      <w:bookmarkEnd w:id="22"/>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超过基金总份额的百分之十时，投资人将可能无法及时赎回持有的全部基金份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w:t>
      </w:r>
      <w:r>
        <w:rPr>
          <w:rFonts w:ascii="宋体" w:hAnsi="宋体"/>
          <w:sz w:val="24"/>
        </w:rPr>
        <w:lastRenderedPageBreak/>
        <w:t>影响基金份额净值。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各类基金份额净值为基础计算赎回金额，以此类推，直到全部赎回为止。如投资人在提交赎回申请时未作明确选择，投资人未能赎回部分作自动延期赎回处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w:t>
      </w:r>
      <w:r>
        <w:rPr>
          <w:rFonts w:ascii="宋体" w:hAnsi="宋体"/>
          <w:sz w:val="24"/>
        </w:rPr>
        <w:lastRenderedPageBreak/>
        <w:t>主袋账户份额存在暂停申购的可能。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本基金属于债券型基金，将维持较高的债券持仓比例。如果债券市场出现整体下跌，本基金的净值表现将受到影响。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通过投资于承担一定信用风险、具有较高息票率的债券，实现基金资产的长期稳定增长。在债券投资中，本基金特有的风险主要来自两个方面：一是对宏观经济趋势、政策以及债券市场基本面研究是否准确、深入。二是对企业债券的优选和判断是否科学、准确。基本面研究及企业债券分析的错误均可能导致所选择的证券不能完全符合本基金的预期目标。三是本基金所投资的企业债券承载的信用风险要高于高信用等级的债券（如国债），若债券发行人出现违约、不能按时或全额支付本金和利息，将导致基金资产损失，发生信用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（六）本基金法律文件风险收益特征表述与销售机构基金风险评价可能不一致的风险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3、因人为因素而产生的风险、如内幕交易、欺诈行为等产生的风险；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23" w:name="_Toc243660449"/>
      <w:r>
        <w:rPr>
          <w:rFonts w:ascii="Times New Roman" w:hAnsi="Times New Roman"/>
          <w:sz w:val="30"/>
        </w:rPr>
        <w:lastRenderedPageBreak/>
        <w:t>二十、基金合同的终止与基金财产的清算</w:t>
      </w:r>
      <w:bookmarkEnd w:id="23"/>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有下列情形之一的，基金合同经中国证监会核准后将终止：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4、中国证监会规定的其他情况。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基金合同终止时，基金管理人应予公告并组织清算小组对基金财产进行清算。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3、基金财产清算小组职责：基金财产清算小组负责基金财产的保管、清理、估价、变现和分配。基金财产清算小组可以依法以基金的名义进行必要的民事活动。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（1）基金合同终止后，发布基金财产清算公告；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（2）基金合同终止时，由基金清算小组统一接管基金财产；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（6）聘请律师事务所出具法律意见书；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（7）将基金清算结果报告中国证监会；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（8）参加与基金财产有关的民事诉讼；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（9）公布基金财产清算结果；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（10）对基金剩余财产进行分配。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（五）基金财产的清偿、分配顺序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基金财产按照下列顺序清偿和分配：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基金财产未按前款（1）、（2）、（3）项规定清偿前，不分配给基金份额持有人。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报告经会计师事务所审计，律师事务所出具法律意见书后，由基金财产清算组报中国证监会备案并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24" w:name="_Toc243660450"/>
      <w:r>
        <w:rPr>
          <w:rFonts w:ascii="Times New Roman" w:hAnsi="Times New Roman"/>
          <w:sz w:val="30"/>
        </w:rPr>
        <w:lastRenderedPageBreak/>
        <w:t>二十一、基金合同内容摘要</w:t>
      </w:r>
      <w:bookmarkEnd w:id="24"/>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（一）基金合同当事人及权利义务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根据《基金法》及其他有关法律法规，基金管理人的权利为：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（2）依照基金合同获得基金管理费以及法律法规规定或监管部门批准的其他收入；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（3）发售基金份额；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（4）依照有关规定行使因基金财产投资于证券所产生的权利；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有关法律法规的前提下，制订和调整有关基金认购、申购、赎回、转换、非交易过户、转托管等业务的规则，在法律法规和本基金合同规定的范围内决定和调整基金的除调高托管费率和管理费率之外的相关费率结构和收费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根据本基金合同及有关规定监督基金托管人，对于基金托管人违反了本基金合同或有关法律法规规定的行为，对基金财产、其他当事人的利益造成重大损失的情形，应及时呈报中国证监会，并采取必要措施保护基金及相关当事人的利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（7）在基金合同约定的范围内，拒绝或暂停受理申购和赎回申请；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（8）在法律法规允许的前提下，为基金的利益依法为基金进行融资、融券；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（9）自行担任或选择、更换登记结算机构，获取基金份额持有人名册，并对登记结算机构的代理行为进行必要的监督和检查；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（10）选择、更换代销机构，并依据基金销售服务代理协议和有关法律法规，对其行为进行必要的监督和检查；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（11）选择、更换律师、审计师、证券经纪商或其他为基金提供服务的外部机构；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（12）在基金托管人更换时，提名新的基金托管人；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（13）依法召集基金份额持有人大会；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（14）法律法规和基金合同规定的其他权利。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根据《基金法》及其他有关法律法规，基金管理人的义务为：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（5）建立健全内部风险控制、监察与稽核、财务管理及人事管理等制度，保证所管理的基金财产和管理人的财产相互独立，对所管理的不同基金分别管理，分别记账，进行证券投资；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（8）计算并公告基金净值信息，确定基金份额申购、赎回价格；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（9）采取适当合理的措施使计算基金份额认购、申购、赎回和注销价格的方法符合基金合同等法律文件的规定；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（10）按规定受理申购和赎回申请，及时、足额支付赎回款项；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（11）进行基金会计核算并编制基金财务会计报告；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（12）编制季度报告、中期报告和年度报告；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（13）严格按照《基金法》、基金合同及其他有关规定，履行信息披露及报告义务；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（15）按照基金合同的约定确定基金收益分配方案，及时向基金份额持有人分配收益；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（17）保存基金财产管理业务活动的记录、账册、报表和其他相关资料；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（18）以基金管理人名义，代表基金份额持有人利益行使诉讼权利或者实施其他法律行为；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（19）组织并参加基金财产清算小组，参与基金财产的保管、清理、估价、变现和分配；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（21）基金托管人违反基金合同造成基金财产损失时，应为基金份额持有人利益向基金托管人追偿；</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（22）按规定向基金托管人提供基金份额持有人名册资料；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（23）面临解散、依法被撤销或者被依法宣告破产时，及时报告中国证监会并通知基金托管人；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（24）执行生效的基金份额持有人大会决议；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（25）不从事任何有损基金及其他基金当事人利益的活动；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（26）依照法律法规为基金的利益对被投资公司行使股东权利，为基金的利益行使因基金财产投资于证券所产生的权利，不谋求对上市公司的控股和直接管理；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（27）法律法规、中国证监会和基金合同规定的其他义务。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根据《基金法》及其他有关法律法规，基金托管人的权利为：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（1）依基金合同约定获得基金托管费以及法律法规规定或监管部门批准的其他收入；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（2）监督基金管理人对本基金的投资运作；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（3）自本基金合同生效之日起，依法保管基金资产；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（4）在基金管理人更换时，提名新任基金管理人；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资产、其他当事人的利益造成重大损失的情形，应及时呈报中国证监会，并采取必要措施保护基金及相关当事人的利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（6）依法召集基金份额持有人大会；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（7）按规定取得基金份额持有人名册资料；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（8）法律法规和基金合同规定的其他权利。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根据《基金法》及其他有关法律法规，基金托管人的义务为：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（1）安全保管基金财产；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（3）对所托管的不同基金财产分别设置账户，确保基金财产的完整与独立；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（9）保存基金托管业务活动的记录、账册、报表和其他相关资料；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（10）按照基金合同的约定，根据基金管理人的投资指令，及时办理清算、交割事宜；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（11）办理与基金托管业务活动有关的信息披露事项；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（12）复核、审查基金管理人计算的基金资产净值、各类基金份额净值、基金份额申购、赎回价格；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（13）按照规定监督基金管理人的投资运作；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（14）按规定制作相关账册并与基金管理人核对；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（15）依据基金管理人的指令或有关规定向基金份额持有人支付基金收益和赎回款项；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（16）按照规定召集基金份额持有人大会或配合基金份额持有人依法自行召集基金份额持有人大会；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（17）因违反基金合同导致基金财产损失，应承担赔偿责任，其赔偿责任不因其退任而免除；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（18）基金管理人因违反基金合同造成基金财产损失时，应为基金向基金管理人追偿；</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（19）参加基金财产清算小组，参与基金财产的保管、清理、估价、变现和分</w:t>
      </w:r>
      <w:r>
        <w:rPr>
          <w:rFonts w:ascii="宋体" w:hAnsi="宋体"/>
          <w:sz w:val="24"/>
        </w:rPr>
        <w:lastRenderedPageBreak/>
        <w:t>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（20）面临解散、依法被撤销或者被依法宣告破产时，及时报告中国证监会和银行业监督管理机构，并通知基金管理人；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（21）执行生效的基金份额持有人大会决议；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（22）不从事任何有损基金及其他基金当事人利益的活动；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（23）建立并保存基金份额持有人名册；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（24）法律法规、中国证监会和基金合同规定的其他义务。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根据《基金法》及其他有关法律法规，基金份额持有人的权利为：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（1）同类基金份额的每份基金份额具有同等的合法权益；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（2）分享基金财产收益；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（3）参与分配清算后的剩余基金财产；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（4）依法申请赎回其持有的基金份额；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（5）按照规定要求召开基金份额持有人大会；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（6）出席或者委派代表出席基金份额持有人大会，对基金份额持有人大会审议事项行使表决权；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（7）查阅或者复制公开披露的基金信息资料；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（8）监督基金管理人的投资运作；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（9）对基金管理人、基金托管人、基金份额发售机构损害其合法权益的行为依法提起诉讼；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（10）法律法规和基金合同规定的其他权利。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根据《基金法》及其他有关法律法规，基金份额持有人的义务为：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（2）交纳基金认购、申购款项及法律法规和基金合同所规定的费用；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（3）在持有的基金份额范围内，承担基金亏损或者基金合同终止的有限责任；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（4）不从事任何有损基金及其他基金份额持有人合法权益的活动；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（5）执行生效的基金份额持有人大会决议；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（6）返还在基金交易过程中因任何原因，自基金管理人及基金管理人的代理人、基金托管人、代销机构、其他基金份额持有人处获得的不当得利；</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（7）法律法规和基金合同规定的其他义务。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本基金合同当事各方的权利义务以本基金合同为依据，不因基金财产账户名称而有所改变。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1、基金份额持有人大会由基金份额持有人组成。基金份额持有人持有的每一基金份额具有同等的投票权。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2、召开事由</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当出现或需要决定下列事由之一的，经基金管理人、基金托管人或持有基金份额10%以上(含10%，下同)的基金份额持有人(以基金管理人收到提议当日的基金份额计算，下同)提议时，应当召开基金份额持有人大会：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（7）提高基金管理人、基金托管人的报酬标准，提高销售服务费用标准，但法律法规要求提高该等报酬标准的除外；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（9）对基金合同当事人权利、义务产生重大影响的其他事项；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（10）法律法规、基金合同或中国证监会规定的其他情形。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出现以下情形之一的，可由基金管理人和基金托管人协商后修改基金合同，不需召开基金份额持有人大会：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（1）调低基金管理费、基金托管费、销售服务费和其他应由基金承担的费用；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（2）在法律法规和本基金合同规定的范围内变更基金的申购费率、赎回费率或收费方式；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（3）因相应的法律法规发生变动必须对基金合同进行修改；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（4）对基金合同的修改不涉及本基金合同当事人权利义务关系发生变化；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（5）基金合同的修改对基金份额持有人利益无实质性不利影响；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（6）按照法律法规或本基金合同规定不需召开基金份额持有人大会的其他情形。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3、召集人及召集方式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以下简称“召集人”）负责选择确定开会时间、地点、方式和权益登记日。召开基金份额持有人大会，召集人必须于会议召开日前30日在指定媒介公告。基金份额持有人大会通知须至少载明以下内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（2）会议拟审议的主要事项；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（4）议事程序；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（5）有权出席基金份额持有人大会的基金份额持有人权益登记日；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（6）代理投票的授权委托书的内容要求（包括但不限于代理人身份、代理权限和代理有效期限等）、送达时间和地点；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用通讯方式开会并进行表决的情况下，由召集人决定通讯方式和书面表决方式，并在会议通知中说明本次基金份额持有人大会所采取的具体通讯方式、委托的公证机关及其联系方式和联系人、书面表决意见寄交的截止时间和收取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1）基金份额持有人大会的召开方式包括现场开会和通讯方式开会。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2）现场开会由基金份额持有人本人出席或通过授权委托书委派其代理人出席，现场开会时基金管理人和基金托管人的授权代表应当出席，如基金管理人或基金托管人拒不派代表出席的，不影响表决效力。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3）通讯方式开会指按照本基金合同的相关规定以通讯的书面方式进行表决。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4）会议的召开方式由召集人确定，但决定基金管理人更换或基金托管人更换、终止基金合同的事宜必须以现场开会方式召开基金份额持有人大会。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①对到会者在权益登记日持有基金份额的统计显示，全部有效凭证所对应的基</w:t>
      </w:r>
      <w:r>
        <w:rPr>
          <w:rFonts w:ascii="宋体" w:hAnsi="宋体"/>
          <w:sz w:val="24"/>
        </w:rPr>
        <w:lastRenderedPageBreak/>
        <w:t>金份额应占权益登记日基金总份额的50%以上(含50%，下同）；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注册登记资料相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②召集人按基金合同规定通知基金托管人或/和基金管理人(分别或共同称为“监督人”）到指定地点对书面表决意见的计票进行监督；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③召集人在监督人和公证机关的监督下按照会议通知规定的方式收取和统计基金份额持有人的书面表决意见，如基金管理人或基金托管人经通知拒不到场监督的，不影响表决效力；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④本人直接出具书面意见和授权他人代表出具书面意见的基金份额持有人所代表的基金份额占权益登记日基金总份额的50%以上；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⑤直接出具书面意见的基金份额持有人或受托代表他人出具书面意见的代理人提交的持有基金份额的凭证、授权委托书等文件符合法律法规、基金合同和会议通知的规定，并与登记结算机构记录相符。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3）对于基金份额持有人提交的提案，大会召集人应当按照以下原则对提案进行审核：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w:t>
      </w:r>
      <w:r>
        <w:rPr>
          <w:rFonts w:ascii="宋体" w:hAnsi="宋体"/>
          <w:sz w:val="24"/>
        </w:rPr>
        <w:lastRenderedPageBreak/>
        <w:t>审议；对于不符合上述要求的，不提交基金份额持有人大会审议。如果召集人决定不将基金份额持有人提案提交大会表决，应当在该次基金份额持有人大会上进行解释和说明。</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做出决定。如将其提案进行分拆或合并表决，需征得原提案人同意；原提案人不同意变更的，大会主持人可以就程序性问题提请基金份额持有人大会做出决定，并按照基金份额持有人大会决定的程序进行审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5）基金份额持有人大会的召集人发出召开会议的通知后，如果需要对原有提案进行修改，应当在基金份额持有人大会召开前30日及时公告。否则，会议的召开日期应当顺延并保证至少与公告日期有30日的间隔期。</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召集人授权代表主持。基金管理人为召集人的，其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召集人应当制作出席会议人员的签名册。签名册载明参加会议人员姓名(或单位名称)、身份证号码、持有或代表有表决权的基金份额数量、委托人姓名(或单位名称)等事项。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表决开会的方式下，首先由召集人提前30日公布提案，在所通知的表决截止日期后第2个工作日在公证机关及监督人的监督下由召集人统计全部有效表决并形成决议。如监督人经通知但拒绝到场监督，则在公证机关监督下形成的决议有</w:t>
      </w:r>
      <w:r>
        <w:rPr>
          <w:rFonts w:ascii="宋体" w:hAnsi="宋体"/>
          <w:sz w:val="24"/>
        </w:rPr>
        <w:lastRenderedPageBreak/>
        <w:t>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一般决议须经出席会议的基金份额持有人（或其代理人）所持表决权的50%以上通过方为有效，除下列2）所规定的须以特别决议通过事项以外的其他事项均以一般决议的方式通过；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或其代理人)所持表决权的三分之二以上(含三分之二)通过方为有效；更换基金管理人、更换基金托管人、转换基金运作方式、终止基金合同必须以特别决议通过方为有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（3）基金份额持有人大会决定的事项，应当依法报中国证监会核准或者备案，并予以公告。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基金份额持有人大会的主持人应当在会议开始后宣布在出席会议的基金份额持有人和代理人中推举两名基金份额持有人代表与基金管理人、基金托管人授权的一名监督员共同担任监票人；但如果基金管理人和基金托</w:t>
      </w:r>
      <w:r>
        <w:rPr>
          <w:rFonts w:ascii="宋体" w:hAnsi="宋体"/>
          <w:sz w:val="24"/>
        </w:rPr>
        <w:lastRenderedPageBreak/>
        <w:t>管人的授权代表未出席，则大会主持人可自行选举三名基金份额持有人代表担任监票人。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大会主持人对于提交的表决结果有异议，可以对投票数进行重新清点；如大会主持人未进行重新清点，而出席大会的基金份额持有人或代理人对大会主持人宣布的表决结果有异议，其有权在宣布表决结果后立即要求重新清点，大会主持人应当立即重新清点并公布重新清点结果。重新清点仅限一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票人在监督人派出的授权代表的监督下进行计票，并由公证机关对其计票过程予以公证；如监督人经通知但拒绝到场监督，则大会召集人可自行授权3名监票人进行计票，并由公证机关对其计票过程予以公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9、基金份额持有人大会决议报中国证监会核准或备案后的公告时间、方式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关于本章第2条所规定的第（1）-（8）项召开事由的基金份额持有人大会决议经中国证监会核准生效后方可执行，关于本章第2条所规定的第（9）、（10）项召开事由的基金份额持有人大会决议经中国证监会核准或出具无异议意见后方可执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（2）生效的基金份额持有人大会决议对全体基金份额持有人、基金管理人、基金托管人均有约束力。基金管理人、基金托管人和基金份额持有人应当执行生效的基金份额持有人大会决议。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（3）基金份额持有人大会决议应自生效之日起2日内在指定媒介公告。如果采用通讯方式进行表决，在公告基金份额持有人大会决议时，必须将公证书全文、公证机构、公证员姓名等一同公告。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w:t>
      </w:r>
      <w:r>
        <w:rPr>
          <w:rFonts w:ascii="宋体" w:hAnsi="宋体"/>
          <w:sz w:val="24"/>
        </w:rPr>
        <w:lastRenderedPageBreak/>
        <w:t>代表的基金份额或表决权符合该等比例：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11、法律法规或监管部门对基金份额持有人大会另有规定的，从其规定。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（三）基金合同的变更、终止与基金财产的清算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（1）基金合同变更内容对基金合同当事人权利、义务产生重大影响的，应召开基金份额持有人大会，基金合同变更的内容应经基金份额持有人大会决议同意。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1）转换基金运作方式；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2）变更基金类别；</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3）变更基金投资目标、投资范围或投资策略；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4）变更基金份额持有人大会程序；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5）更换基金管理人、基金托管人；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6）提高基金管理人、基金托管人的报酬标准，提高销售服务费用标准。但根据适用的相关规定提高该等报酬标准的除外；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8）对基金合同当事人权利、义务产生重大影响的其他事项；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9）法律法规、基金合同或中国证监会规定的其他情形。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但出现下列情况时，可不经基金份额持有人大会决议，由基金管理人和基金托管人同意变更后公布，并报中国证监会备案：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1）调低基金管理费、基金托管费、销售服务费和其他应由基金承担的费用；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2）在法律法规和本基金合同规定的范围内变更基金的申购费率、赎回费率或收费方式；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3）因相应的法律法规发生变动必须对基金合同进行修改；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4）对基金合同的修改不涉及本基金合同当事人权利义务关系发生变化；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5）基金合同的修改对基金份额持有人利益无实质性不利影响；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6）按照法律法规或本基金合同规定不需召开基金份额持有人大会的其他情形。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（2）关于变更基金合同的基金份额持有人大会决议应报中国证监会核准或备案，并于中国证监会核准或出具无异议意见后生效执行，并自生效之日起2日内在指定媒介公告。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有下列情形之一的，本基金合同经中国证监会核准后将终止：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（4）中国证监会规定的其他情况。</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1)基金合同终止时，成立基金财产清算组，基金财产清算组在中国证监会的监</w:t>
      </w:r>
      <w:r>
        <w:rPr>
          <w:rFonts w:ascii="宋体" w:hAnsi="宋体"/>
          <w:sz w:val="24"/>
        </w:rPr>
        <w:lastRenderedPageBreak/>
        <w:t>督下进行基金清算。</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2)基金财产清算组成员由基金管理人、基金托管人、具有从事证券相关业务资格的注册会计师、律师以及中国证监会指定的人员组成。基金财产清算组可以聘用必要的工作人员。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3)基金财产清算组负责基金财产的保管、清理、估价、变现和分配。基金财产清算组可以依法进行必要的民事活动。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1)基金合同终止后，发布基金财产清算公告；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2)基金合同终止时，由基金财产清算组统一接管基金财产；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聘请会计师事务所对清算报告进行审计；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6)聘请律师事务所出具法律意见书；</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7)将基金财产清算结果报告中国证监会；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8)参加与基金财产有关的民事诉讼；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9)公布基金财产清算结果；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10)对基金剩余财产进行分配。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清算费用是指基金财产清算组在进行基金财产清算过程中发生的所有合理费用，清算费用由基金财产清算组优先从基金财产中支付。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w:t>
      </w:r>
      <w:r>
        <w:rPr>
          <w:rFonts w:ascii="宋体" w:hAnsi="宋体"/>
          <w:sz w:val="24"/>
        </w:rPr>
        <w:lastRenderedPageBreak/>
        <w:t>财产清算组公告；清算过程中的有关重大事项须及时公告；基金财产清算结果经会计师事务所审计，律师事务所出具法律意见书后，由基金财产清算组报中国证监会备案并公告。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本基金合同受中国法律管辖。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本基金合同正本一式八份，除中国证监会和银行业监督管理机构各持两份外，基金管理人和基金托管人各持有两份。每份均具有同等的法律效力。</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本基金合同可印制成册，供投资人在基金管理人、基金托管人、代销机构和登记结算机构办公场所查阅，但其效力应以基金合同正本为准。</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25" w:name="_Toc243660451"/>
      <w:r>
        <w:rPr>
          <w:rFonts w:ascii="Times New Roman" w:hAnsi="Times New Roman"/>
          <w:sz w:val="30"/>
        </w:rPr>
        <w:lastRenderedPageBreak/>
        <w:t>二十二、托管协议的内容摘要</w:t>
      </w:r>
      <w:bookmarkEnd w:id="25"/>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w:t>
      </w:r>
      <w:r>
        <w:rPr>
          <w:rFonts w:ascii="宋体" w:hAnsi="宋体"/>
          <w:sz w:val="24"/>
        </w:rPr>
        <w:lastRenderedPageBreak/>
        <w:t>业监督管理机构等监管部门批准的其他业务。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如法律法规或监管机构以后允许基金投资的其他品种，基金管理人在履行适当程序后，可以将其纳入投资范围。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1）本基金持有一家企业发行的债券，其市值不超过基金资产净值的10%；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2）本基金持有一家上市公司的股票，其市值不超过基金资产净值的10%；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3）本基金进入全国银行间同业市场进行债券回购的资金余额不得超过基金资产净值的40%；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股票、权证等资产占基金资产的比例为0-20%，其中权证资产占基金资产净值的比例为0-3%；</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5）基金保留的现金以及投资于到期日在一年以内的政府债券的比例合计不低于基金资产净值的5%，其中现金不包括结算备付金、存出保证金和应收申购款等；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7）本基金持有的全部资产支持证券，其市值不得超过基金资产净值的20%；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8）本基金持有的同一(指同一信用级别)资产支持证券的比例，不得超过该资产支持证券规模的10%；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10）基金财产参与股票发行申购，本基金所申报的股票数量不超过拟发行股票公司本次发行股票的总量；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11）本基金在任何交易日买入权证的总金额，不得超过上一交易日基金资产净值的0.5%；</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12）当本基金所持有的中签未卖出的新股市值占基金资产净值的比例达到或超过18%时，本基金将暂停进行新股申购，当该比例降低到18%以下时方可继续进行新股申购；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13）当本基金所持有的因网下申购而有锁定期限的股票的未流通市值占基金资产净值比例达到或超过5%时，本基金将暂停申购任何有锁定期的新股，当该比例降低到5%以下时方可继续进行有锁定期的新股申购；</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13）如果法律法规对上述投资组合比例限制进行变更的，以变更后的规定为</w:t>
      </w:r>
      <w:r>
        <w:rPr>
          <w:rFonts w:ascii="宋体" w:hAnsi="宋体"/>
          <w:sz w:val="24"/>
        </w:rPr>
        <w:lastRenderedPageBreak/>
        <w:t>准。法律法规或监管部门取消上述限制，如适用于本基金，则本基金投资不再受相关限制。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16）本基金与私募类证券资管产品及中国证监会认定的其他主体为交易对手开展逆回购交易的，可接受质押品的资质要求应当与基金合同约定的投资范围保持一致。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5）、9）、15）、16）项外，因证券市场波动、上市公司合并、基金规模变动、股权分置改革中支付对价等基金管理人之外的因素致使基金投资比例不符合上述规定投资比例的，基金管理人应当在10个交易日内进行调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投资资产配置比例外，基金托管人对基金的投资比例的监督与检查自本基金合同生效之日起开始。基金管理人应当自基金合同生效之日起6个月内使基金的投资组合比例符合基金合同的有关约定。法律法规或监管部门另有规定的，从其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若基金托管人发现基金管理人与关联交易名单中列示的关联方进行法律法规禁止基金从事的关联交易时，基金托管人应及时提醒基金管理人采取必要措施阻止该</w:t>
      </w:r>
      <w:r>
        <w:rPr>
          <w:rFonts w:ascii="宋体" w:hAnsi="宋体"/>
          <w:sz w:val="24"/>
        </w:rPr>
        <w:lastRenderedPageBreak/>
        <w:t>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发现基金管理人的上述事项及投资指令或实际投资运作违反法律法规、基金合同和本托管协议的规定，应及时以书面形式通知基金管理人限期纠正。基金管理人应积极配合和协助基金托管人的监督和核查。基金管理人收到通知后应在下一工作日前及时核对并以书面形式给基金托管人发出回函，就基金托管人</w:t>
      </w:r>
      <w:r>
        <w:rPr>
          <w:rFonts w:ascii="宋体" w:hAnsi="宋体"/>
          <w:sz w:val="24"/>
        </w:rPr>
        <w:lastRenderedPageBreak/>
        <w:t>的疑义进行解释或举证，说明违规原因及纠正期限，并保证在规定期限内及时改正。在上述规定期限内, 基金托管人有权随时对通知事项进行复查, 督促基金管理人改正。基金管理人对基金托管人通知的违规事项未能在限期内纠正的，基金托管人应报告中国证监会。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8、若基金托管人发现基金管理人依据交易程序已经生效的指令违反法律、行政法规和其他有关规定，或者违反基金合同约定的，应当立即通知基金管理人，由此造成的损失由基金管理人承担。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（1）基金募集期间募集的资金应存于中国证券登记结算有限责任公司的基金募集专户。该账户由基金管理人或基金管理人委托的登记结算机构开立并管理。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3、基金银行账户的开立和管理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（1）基金托管人可以基金的名义在其营业机构开立基金的银行账户，并根据基金管理人合法合规的指令办理资金收付。本基金的银行预留印鉴由基金托管人保管和使用。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（3）基金银行账户的开立和管理应符合银行业监督管理机构的有关规定。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在中央国债登记结算有限责任公司开立债券托管账户，并代表基金进行银行间市场债券的结算。基金管理人和基金托管人共同代表基金签订全国银行间债券市场债券回购主协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6、其他账户的开立和管理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（1）因业务发展需要而开立的其他账户，可以根据法律法规和基金合同的规定，由基金托管人负责开立。新账户按有关规定使用并管理。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由基金托管人存放于基金托管人的保管库，也可存入中央国债登记结算有限责任公司、中国证券登记结算有限责任公司上海分公司/深圳分公司或票据营业中心的代保管库，保管凭证由基金托管人持有。实物证券等有价凭证的购买和转让，由基金管理人和基金托管人共同办理。基金托管人对由基金托管人以外机构实际有效控制的证券不承担保管责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基金份额净值是指基金资产净值除以基金份额总数，各类基金份额净值的计算，均精确到0.0001元，小数点后第五位四舍五入，国家另有规定的，从其规定。</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基金管理人每个工作日分别计算本基金各类基金份额的基金资产净值及基金份额净值，经基金托管人复核，按规定公告。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基金管理人每开放日对基金资产进行估值后，将本基金各类基金份额的基金份额净值结果发送基金托管人，经基金托管人复核无误后，由基金管理人对外公布。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结算机构根据基金管理人的指令编制和保管，基金管理人和基金托管人应分别保管基金份额持有人名册，保存期不少于15年。如不能妥善保管，则按相关法规承担责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（八）托管协议的修改与终止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w:t>
      </w:r>
      <w:r>
        <w:rPr>
          <w:rFonts w:ascii="宋体" w:hAnsi="宋体"/>
          <w:sz w:val="24"/>
        </w:rPr>
        <w:lastRenderedPageBreak/>
        <w:t>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26" w:name="_Toc243660452"/>
      <w:r>
        <w:rPr>
          <w:rFonts w:ascii="Times New Roman" w:hAnsi="Times New Roman"/>
          <w:sz w:val="30"/>
        </w:rPr>
        <w:lastRenderedPageBreak/>
        <w:t>二十三、对基金份额持有人的服务</w:t>
      </w:r>
      <w:bookmarkEnd w:id="26"/>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公司网站的网上直销交易平台办理开户和本基金的申购、赎回、定期定额投资和转换等业务。本公司暂不开展网上直销B类基金份额的认/申购业务，通过转托管转入网上直销账户的B类基金份额只能办理赎回业务。通过网上直销交易平台办理本基金A类或D类基金份额申购和定期定额投资业务的个人投资者将享受前端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w:t>
      </w:r>
      <w:r>
        <w:rPr>
          <w:rFonts w:ascii="宋体" w:hAnsi="宋体"/>
          <w:sz w:val="24"/>
        </w:rPr>
        <w:lastRenderedPageBreak/>
        <w:t>资人通过客户服务电话查询基金账户下的账户和交易信息。投资人请在其知晓基金账号后，及时拨打本基金管理人客户服务电话修改基金查询密码。</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本基金收益分配时，投资人可以选择将当期分配所得的红利再投资于本基金，再投资红利按红利再投日（即除息日）除息后的基金份额净值自动转为基金份额，并免收申购费用。</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（五）定期定额投资计划和转换业务</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本基金已开通定期定额投资和转换业务，具体实施方法请参见相关公告。</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27" w:name="_Toc243660453"/>
      <w:r>
        <w:rPr>
          <w:rFonts w:ascii="Times New Roman" w:hAnsi="Times New Roman"/>
          <w:sz w:val="30"/>
        </w:rPr>
        <w:lastRenderedPageBreak/>
        <w:t>二十四、其他应披露事项</w:t>
      </w:r>
      <w:bookmarkEnd w:id="27"/>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基金合同如有未尽事宜，由基金合同各方当事人按有关法律法规协商解决。</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交银施罗德基金管理有限公司关于增加上海万得基金销售有限公司为旗下基金的销售机构的公告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交银施罗德基金管理有限公司关于增加北京汇成基金销售有限公司为旗下基金的销售机构的公告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交银施罗德基金管理有限公司关于增加招商银行股份有限公司为旗下基金的销售机构的公告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交银施罗德基金管理有限公司关于增加上海天天基金销售有限公司为旗下基金的销售机构的公告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交银施罗德基金管理有限公司关于增加方正证券股份有限公司为旗下基金的销售机构的公告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2025-07-09</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交银施罗德基金管理有限公司关于增加宁波银行股份有限公司为旗下基金的销售机构的公告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交银施罗德基金管理有限公司关于增加珠海盈米基金销售有限公司为旗下基金的销售机构的公告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交银施罗德基金管理有限公司关于增加上海好买基金销售有限公司为旗下基金的销售机构的公告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交银施罗德基金管理有限公司关于调整交银施罗德增利债券证券投资基金管理费率和托管费率并修改基金合同等法律文件的公告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D</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D</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2026-01-12</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2026-01-14</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交银施罗德基金管理有限公司关于交银施罗德增利债券证券投资基金于</w:t>
            </w:r>
            <w:r>
              <w:rPr>
                <w:rFonts w:ascii="Times New Roman" w:hAnsi="Times New Roman"/>
                <w:color w:val="000000"/>
                <w:kern w:val="0"/>
                <w:sz w:val="25"/>
                <w:szCs w:val="24"/>
              </w:rPr>
              <w:t>2026</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春节</w:t>
            </w:r>
            <w:r>
              <w:rPr>
                <w:rFonts w:ascii="Times New Roman" w:hAnsi="Times New Roman"/>
                <w:color w:val="000000"/>
                <w:kern w:val="0"/>
                <w:sz w:val="25"/>
                <w:szCs w:val="24"/>
              </w:rPr>
              <w:t>”</w:t>
            </w:r>
            <w:r>
              <w:rPr>
                <w:rFonts w:ascii="Times New Roman" w:hAnsi="Times New Roman"/>
                <w:color w:val="000000"/>
                <w:kern w:val="0"/>
                <w:sz w:val="25"/>
                <w:szCs w:val="24"/>
              </w:rPr>
              <w:t>假期暂停大额申购（转换转入、定期定额投资）业务的公告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2026-02-10</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交银施罗德基金管理有限公司关于旗下部分基金投资范围增加存托凭证、开通同一基金不同类别基金份额转换业务并相应修改法律文件的公告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35</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D</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E5327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5327E" w:rsidRDefault="003A2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28" w:name="_Toc243660454"/>
      <w:r>
        <w:rPr>
          <w:rFonts w:ascii="Times New Roman" w:hAnsi="Times New Roman"/>
          <w:sz w:val="30"/>
        </w:rPr>
        <w:lastRenderedPageBreak/>
        <w:t>二十五、招募说明书的存放及查阅方式</w:t>
      </w:r>
      <w:bookmarkEnd w:id="28"/>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3A285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5327E" w:rsidRDefault="003A285E">
      <w:pPr>
        <w:pStyle w:val="1"/>
        <w:snapToGrid w:val="0"/>
        <w:spacing w:beforeLines="0" w:before="240" w:after="240"/>
        <w:rPr>
          <w:rFonts w:ascii="宋体" w:hAnsi="宋体"/>
          <w:szCs w:val="30"/>
        </w:rPr>
      </w:pPr>
      <w:bookmarkStart w:id="29" w:name="_Toc243660455"/>
      <w:r>
        <w:rPr>
          <w:rFonts w:ascii="Times New Roman" w:hAnsi="Times New Roman"/>
          <w:sz w:val="30"/>
        </w:rPr>
        <w:lastRenderedPageBreak/>
        <w:t>二十六、备查文件</w:t>
      </w:r>
      <w:bookmarkEnd w:id="29"/>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（一）中国证监会批准交银施罗德增利债券证券投资基金募集的文件</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（二）《交银施罗德增利债券证券投资基金基金合同》</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（三）《交银施罗德增利债券证券投资基金托管协议》</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E5327E" w:rsidRDefault="003A285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（六）关于申请募集交银施罗德增利债券证券投资基金之法律意见书</w:t>
      </w:r>
    </w:p>
    <w:sectPr w:rsidR="00E5327E">
      <w:footerReference w:type="default" r:id="rId20"/>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0E9" w:rsidRDefault="003A285E">
      <w:r>
        <w:separator/>
      </w:r>
    </w:p>
  </w:endnote>
  <w:endnote w:type="continuationSeparator" w:id="0">
    <w:p w:rsidR="00CD60E9" w:rsidRDefault="003A2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27E" w:rsidRDefault="00E5327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27E" w:rsidRDefault="00542DA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E5327E" w:rsidRDefault="003A285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42DA3">
                  <w:rPr>
                    <w:rFonts w:ascii="Times New Roman" w:hAnsi="Times New Roman"/>
                    <w:noProof/>
                    <w:kern w:val="0"/>
                    <w:sz w:val="18"/>
                    <w:szCs w:val="18"/>
                  </w:rPr>
                  <w:t>2</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27E" w:rsidRDefault="00E5327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27E" w:rsidRDefault="00542DA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E5327E" w:rsidRDefault="003A285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42DA3">
                  <w:rPr>
                    <w:rFonts w:ascii="Times New Roman" w:hAnsi="Times New Roman"/>
                    <w:noProof/>
                    <w:kern w:val="0"/>
                    <w:sz w:val="18"/>
                    <w:szCs w:val="18"/>
                  </w:rPr>
                  <w:t>169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0E9" w:rsidRDefault="003A285E">
      <w:r>
        <w:separator/>
      </w:r>
    </w:p>
  </w:footnote>
  <w:footnote w:type="continuationSeparator" w:id="0">
    <w:p w:rsidR="00CD60E9" w:rsidRDefault="003A28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27E" w:rsidRDefault="00E5327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27E" w:rsidRDefault="003A285E">
    <w:pPr>
      <w:pStyle w:val="a3"/>
      <w:jc w:val="right"/>
      <w:rPr>
        <w:rFonts w:ascii="宋体" w:hAnsi="宋体"/>
      </w:rPr>
    </w:pPr>
    <w:r>
      <w:rPr>
        <w:rFonts w:ascii="宋体" w:hAnsi="宋体" w:hint="eastAsia"/>
      </w:rPr>
      <w:t>交银施罗德增利债券证券投资基金招募说明书更新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27E" w:rsidRDefault="00E5327E">
    <w:pPr>
      <w:pStyle w:val="10"/>
      <w:jc w:val="right"/>
    </w:pPr>
  </w:p>
  <w:p w:rsidR="00E5327E" w:rsidRDefault="00E5327E">
    <w:pPr>
      <w:pStyle w:val="10"/>
      <w:jc w:val="right"/>
    </w:pPr>
  </w:p>
  <w:p w:rsidR="00E5327E" w:rsidRDefault="00E5327E">
    <w:pPr>
      <w:pStyle w:val="a3"/>
      <w:jc w:val="right"/>
    </w:pPr>
  </w:p>
  <w:p w:rsidR="00E5327E" w:rsidRDefault="003A285E">
    <w:pPr>
      <w:pStyle w:val="a3"/>
      <w:jc w:val="right"/>
      <w:rPr>
        <w:rFonts w:ascii="宋体" w:hAnsi="宋体"/>
      </w:rPr>
    </w:pPr>
    <w:r>
      <w:rPr>
        <w:rFonts w:ascii="宋体" w:hAnsi="宋体" w:hint="eastAsia"/>
      </w:rPr>
      <w:t>交银施罗德增利债券证券投资基金招募说明书更新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27E" w:rsidRDefault="00E5327E">
    <w:pPr>
      <w:pStyle w:val="a3"/>
      <w:jc w:val="right"/>
    </w:pPr>
  </w:p>
  <w:p w:rsidR="00E5327E" w:rsidRDefault="00E5327E">
    <w:pPr>
      <w:pStyle w:val="a3"/>
      <w:jc w:val="right"/>
    </w:pPr>
  </w:p>
  <w:p w:rsidR="00E5327E" w:rsidRDefault="00E5327E">
    <w:pPr>
      <w:pStyle w:val="a3"/>
      <w:jc w:val="right"/>
    </w:pPr>
  </w:p>
  <w:p w:rsidR="00E5327E" w:rsidRDefault="003A285E">
    <w:pPr>
      <w:pStyle w:val="a3"/>
      <w:jc w:val="right"/>
      <w:rPr>
        <w:rFonts w:ascii="宋体" w:hAnsi="宋体"/>
      </w:rPr>
    </w:pPr>
    <w:r>
      <w:rPr>
        <w:rFonts w:ascii="宋体" w:hAnsi="宋体" w:hint="eastAsia"/>
      </w:rPr>
      <w:t>交银施罗德增利债券证券投资基金招募说明书更新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9"/>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285E"/>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2DA3"/>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0E9"/>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327E"/>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9"/>
    <o:shapelayout v:ext="edit">
      <o:idmap v:ext="edit" data="3"/>
    </o:shapelayout>
  </w:shapeDefaults>
  <w:decimalSymbol w:val="."/>
  <w:listSeparator w:val=","/>
  <w15:docId w15:val="{15B2F87B-C24A-49CC-9FF4-0226F5567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170</Pages>
  <Words>17327</Words>
  <Characters>98766</Characters>
  <Application>Microsoft Office Word</Application>
  <DocSecurity>0</DocSecurity>
  <Lines>823</Lines>
  <Paragraphs>231</Paragraphs>
  <ScaleCrop>false</ScaleCrop>
  <Company>Microsoft</Company>
  <LinksUpToDate>false</LinksUpToDate>
  <CharactersWithSpaces>115862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2026-10-23T07:06:00Z</dcterms:created>
  <dcterms:modified xsi:type="dcterms:W3CDTF">2026-10-23T07:06:00Z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