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E0EF46">
      <w:pPr>
        <w:pStyle w:val="2"/>
        <w:spacing w:before="0" w:after="0"/>
        <w:jc w:val="center"/>
        <w:rPr>
          <w:rFonts w:asciiTheme="minorEastAsia" w:hAnsiTheme="minorEastAsia" w:eastAsiaTheme="minorEastAsia"/>
          <w:color w:val="auto"/>
          <w:sz w:val="30"/>
        </w:rPr>
      </w:pPr>
      <w:bookmarkStart w:id="3" w:name="_GoBack"/>
      <w:bookmarkEnd w:id="3"/>
      <w:r>
        <w:rPr>
          <w:rFonts w:hint="eastAsia" w:asciiTheme="minorEastAsia" w:hAnsiTheme="minorEastAsia" w:eastAsiaTheme="minorEastAsia"/>
          <w:color w:val="auto"/>
          <w:sz w:val="30"/>
        </w:rPr>
        <w:t>交银施罗德</w:t>
      </w:r>
      <w:r>
        <w:rPr>
          <w:rFonts w:hint="eastAsia" w:asciiTheme="minorEastAsia" w:hAnsiTheme="minorEastAsia" w:eastAsiaTheme="minorEastAsia"/>
          <w:color w:val="auto"/>
          <w:sz w:val="30"/>
          <w:lang w:val="en-US" w:eastAsia="zh-CN"/>
        </w:rPr>
        <w:t>低碳经济研选混合型发起式证券投资基金</w:t>
      </w:r>
      <w:r>
        <w:rPr>
          <w:rFonts w:hint="eastAsia" w:asciiTheme="minorEastAsia" w:hAnsiTheme="minorEastAsia" w:eastAsiaTheme="minorEastAsia"/>
          <w:color w:val="auto"/>
          <w:sz w:val="30"/>
        </w:rPr>
        <w:t>基金合同摘要</w:t>
      </w:r>
    </w:p>
    <w:p w14:paraId="721E9328">
      <w:pPr>
        <w:keepNext w:val="0"/>
        <w:keepLines w:val="0"/>
        <w:widowControl w:val="0"/>
        <w:suppressLineNumbers w:val="0"/>
        <w:spacing w:before="0" w:beforeAutospacing="0" w:after="0" w:afterAutospacing="0" w:line="360" w:lineRule="auto"/>
        <w:ind w:left="0" w:right="0" w:firstLine="482" w:firstLineChars="200"/>
        <w:jc w:val="both"/>
        <w:outlineLvl w:val="1"/>
        <w:rPr>
          <w:rFonts w:hint="eastAsia" w:ascii="宋体" w:hAnsi="宋体" w:eastAsia="宋体" w:cs="宋体"/>
          <w:b/>
          <w:bCs w:val="0"/>
          <w:kern w:val="2"/>
          <w:sz w:val="24"/>
          <w:szCs w:val="24"/>
          <w:lang w:val="en-US" w:eastAsia="zh-CN" w:bidi="ar"/>
        </w:rPr>
      </w:pPr>
    </w:p>
    <w:p w14:paraId="3796567E">
      <w:pPr>
        <w:spacing w:line="360" w:lineRule="auto"/>
        <w:ind w:firstLine="482" w:firstLineChars="200"/>
        <w:outlineLvl w:val="1"/>
        <w:rPr>
          <w:b/>
          <w:sz w:val="24"/>
          <w:szCs w:val="24"/>
        </w:rPr>
      </w:pPr>
      <w:r>
        <w:rPr>
          <w:rFonts w:hAnsi="宋体"/>
          <w:b/>
          <w:sz w:val="24"/>
          <w:szCs w:val="24"/>
        </w:rPr>
        <w:t>一、基金管理人、基金托管人和基金份额持有人的权利、义务</w:t>
      </w:r>
    </w:p>
    <w:p w14:paraId="5EDFD45E">
      <w:pPr>
        <w:spacing w:line="360" w:lineRule="auto"/>
        <w:ind w:firstLine="480" w:firstLineChars="200"/>
        <w:outlineLvl w:val="2"/>
        <w:rPr>
          <w:bCs/>
          <w:sz w:val="24"/>
        </w:rPr>
      </w:pPr>
      <w:r>
        <w:rPr>
          <w:rFonts w:hAnsi="宋体"/>
          <w:bCs/>
          <w:sz w:val="24"/>
        </w:rPr>
        <w:t>（一）基金管理人的权利</w:t>
      </w:r>
    </w:p>
    <w:p w14:paraId="6F060B65">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14:paraId="26593240">
      <w:pPr>
        <w:spacing w:line="360" w:lineRule="auto"/>
        <w:ind w:firstLine="480" w:firstLineChars="200"/>
        <w:rPr>
          <w:bCs/>
          <w:sz w:val="24"/>
        </w:rPr>
      </w:pPr>
      <w:r>
        <w:rPr>
          <w:bCs/>
          <w:sz w:val="24"/>
        </w:rPr>
        <w:t>（1）依法募集</w:t>
      </w:r>
      <w:r>
        <w:rPr>
          <w:rFonts w:hint="eastAsia"/>
          <w:bCs/>
          <w:sz w:val="24"/>
        </w:rPr>
        <w:t>资</w:t>
      </w:r>
      <w:r>
        <w:rPr>
          <w:bCs/>
          <w:sz w:val="24"/>
        </w:rPr>
        <w:t>金；</w:t>
      </w:r>
    </w:p>
    <w:p w14:paraId="42CA09FC">
      <w:pPr>
        <w:spacing w:line="360" w:lineRule="auto"/>
        <w:ind w:firstLine="480" w:firstLineChars="200"/>
        <w:rPr>
          <w:bCs/>
          <w:sz w:val="24"/>
        </w:rPr>
      </w:pPr>
      <w:r>
        <w:rPr>
          <w:bCs/>
          <w:sz w:val="24"/>
        </w:rPr>
        <w:t>（2）自《基金合同》生效之日起，根据法律法规和《基金合同》独立运用并管理基金财产；</w:t>
      </w:r>
    </w:p>
    <w:p w14:paraId="7DC4319E">
      <w:pPr>
        <w:spacing w:line="360" w:lineRule="auto"/>
        <w:ind w:firstLine="480" w:firstLineChars="200"/>
        <w:rPr>
          <w:bCs/>
          <w:sz w:val="24"/>
        </w:rPr>
      </w:pPr>
      <w:r>
        <w:rPr>
          <w:bCs/>
          <w:sz w:val="24"/>
        </w:rPr>
        <w:t>（3）依照《基金合同》收取基金管理费以及法律法规规定或中国证监会批准的其他费用；</w:t>
      </w:r>
    </w:p>
    <w:p w14:paraId="7DE3468D">
      <w:pPr>
        <w:spacing w:line="360" w:lineRule="auto"/>
        <w:ind w:firstLine="480" w:firstLineChars="200"/>
        <w:rPr>
          <w:bCs/>
          <w:sz w:val="24"/>
        </w:rPr>
      </w:pPr>
      <w:r>
        <w:rPr>
          <w:bCs/>
          <w:sz w:val="24"/>
        </w:rPr>
        <w:t>（4）销售基金份额；</w:t>
      </w:r>
    </w:p>
    <w:p w14:paraId="631B40F4">
      <w:pPr>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29A90E27">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2340C54F">
      <w:pPr>
        <w:spacing w:line="360" w:lineRule="auto"/>
        <w:ind w:firstLine="480" w:firstLineChars="200"/>
        <w:rPr>
          <w:bCs/>
          <w:sz w:val="24"/>
        </w:rPr>
      </w:pPr>
      <w:r>
        <w:rPr>
          <w:bCs/>
          <w:sz w:val="24"/>
        </w:rPr>
        <w:t>（7）在基金托管人更换时，提名新的基金托管人；</w:t>
      </w:r>
    </w:p>
    <w:p w14:paraId="75ECAFC8">
      <w:pPr>
        <w:spacing w:line="440" w:lineRule="atLeast"/>
        <w:ind w:firstLine="480" w:firstLineChars="200"/>
        <w:rPr>
          <w:bCs/>
          <w:sz w:val="24"/>
        </w:rPr>
      </w:pPr>
      <w:r>
        <w:rPr>
          <w:bCs/>
          <w:sz w:val="24"/>
        </w:rPr>
        <w:t>（8）选择、更换基金销售机构，对基金销售机构的相关行为进行监督和处理；</w:t>
      </w:r>
    </w:p>
    <w:p w14:paraId="11E10DBE">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5429AB61">
      <w:pPr>
        <w:spacing w:line="440" w:lineRule="atLeast"/>
        <w:ind w:firstLine="480" w:firstLineChars="200"/>
        <w:rPr>
          <w:bCs/>
          <w:sz w:val="24"/>
        </w:rPr>
      </w:pPr>
      <w:r>
        <w:rPr>
          <w:bCs/>
          <w:sz w:val="24"/>
        </w:rPr>
        <w:t>（10）依据《基金合同》及有关法律规定决定基金收益的分配方案；</w:t>
      </w:r>
    </w:p>
    <w:p w14:paraId="58EAF318">
      <w:pPr>
        <w:spacing w:line="440" w:lineRule="atLeast"/>
        <w:ind w:firstLine="480" w:firstLineChars="200"/>
        <w:rPr>
          <w:bCs/>
          <w:sz w:val="24"/>
        </w:rPr>
      </w:pPr>
      <w:r>
        <w:rPr>
          <w:bCs/>
          <w:sz w:val="24"/>
        </w:rPr>
        <w:t>（11）在《基金合同》约定的范围内，拒绝或暂停受理申购与赎回申请；</w:t>
      </w:r>
    </w:p>
    <w:p w14:paraId="617E98A6">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1F125FA5">
      <w:pPr>
        <w:spacing w:line="440" w:lineRule="atLeast"/>
        <w:ind w:firstLine="480" w:firstLineChars="200"/>
        <w:rPr>
          <w:bCs/>
          <w:sz w:val="24"/>
        </w:rPr>
      </w:pPr>
      <w:r>
        <w:rPr>
          <w:bCs/>
          <w:sz w:val="24"/>
        </w:rPr>
        <w:t>（13）在法律法规允许的前提下，为基金的利益依法为基金进行融资；</w:t>
      </w:r>
    </w:p>
    <w:p w14:paraId="1E465592">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421A31C8">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7A6F7E31">
      <w:pPr>
        <w:spacing w:line="440" w:lineRule="atLeast"/>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6EB46B90">
      <w:pPr>
        <w:spacing w:line="440" w:lineRule="atLeast"/>
        <w:ind w:firstLine="480" w:firstLineChars="200"/>
        <w:rPr>
          <w:bCs/>
          <w:sz w:val="24"/>
        </w:rPr>
      </w:pPr>
      <w:r>
        <w:rPr>
          <w:bCs/>
          <w:sz w:val="24"/>
        </w:rPr>
        <w:t>（17）法律法规及中国证监会规定的和《基金合同》约定的其他权利。</w:t>
      </w:r>
    </w:p>
    <w:p w14:paraId="5FC58FF4">
      <w:pPr>
        <w:spacing w:line="360" w:lineRule="auto"/>
        <w:ind w:firstLine="480" w:firstLineChars="200"/>
        <w:outlineLvl w:val="2"/>
        <w:rPr>
          <w:bCs/>
          <w:sz w:val="24"/>
        </w:rPr>
      </w:pPr>
      <w:r>
        <w:rPr>
          <w:rFonts w:hAnsi="宋体"/>
          <w:bCs/>
          <w:sz w:val="24"/>
        </w:rPr>
        <w:t>（二）基金管理人的义务</w:t>
      </w:r>
    </w:p>
    <w:p w14:paraId="6AA2414C">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根据《基金法》、《运作办法》及其他有关规定，基金管理人的义务包括但不限于：</w:t>
      </w:r>
    </w:p>
    <w:p w14:paraId="72E940FF">
      <w:pPr>
        <w:spacing w:line="360" w:lineRule="auto"/>
        <w:ind w:firstLine="480" w:firstLineChars="200"/>
        <w:rPr>
          <w:rFonts w:hint="eastAsia"/>
          <w:bCs/>
          <w:sz w:val="24"/>
        </w:rPr>
      </w:pPr>
      <w:r>
        <w:rPr>
          <w:rFonts w:hint="eastAsia"/>
          <w:bCs/>
          <w:sz w:val="24"/>
        </w:rPr>
        <w:t>（1）依法募集资金，办理或者委托经中国证监会认定的其他机构办理基金份额的发售、申购、赎回和登记事宜；</w:t>
      </w:r>
    </w:p>
    <w:p w14:paraId="44BA0420">
      <w:pPr>
        <w:spacing w:line="360" w:lineRule="auto"/>
        <w:ind w:firstLine="480" w:firstLineChars="200"/>
        <w:rPr>
          <w:rFonts w:hint="eastAsia"/>
          <w:bCs/>
          <w:sz w:val="24"/>
        </w:rPr>
      </w:pPr>
      <w:r>
        <w:rPr>
          <w:rFonts w:hint="eastAsia"/>
          <w:bCs/>
          <w:sz w:val="24"/>
        </w:rPr>
        <w:t>（2）办理基金备案手续；</w:t>
      </w:r>
    </w:p>
    <w:p w14:paraId="4D89AF29">
      <w:pPr>
        <w:spacing w:line="360" w:lineRule="auto"/>
        <w:ind w:firstLine="480" w:firstLineChars="200"/>
        <w:rPr>
          <w:rFonts w:hint="eastAsia"/>
          <w:bCs/>
          <w:sz w:val="24"/>
        </w:rPr>
      </w:pPr>
      <w:r>
        <w:rPr>
          <w:rFonts w:hint="eastAsia"/>
          <w:bCs/>
          <w:sz w:val="24"/>
        </w:rPr>
        <w:t>（3）自《基金合同》生效之日起，以诚实信用、谨慎勤勉的原则管理和运用基金财产；</w:t>
      </w:r>
    </w:p>
    <w:p w14:paraId="3610B455">
      <w:pPr>
        <w:spacing w:line="360" w:lineRule="auto"/>
        <w:ind w:firstLine="480" w:firstLineChars="200"/>
        <w:rPr>
          <w:rFonts w:hint="eastAsia"/>
          <w:bCs/>
          <w:sz w:val="24"/>
        </w:rPr>
      </w:pPr>
      <w:r>
        <w:rPr>
          <w:rFonts w:hint="eastAsia"/>
          <w:bCs/>
          <w:sz w:val="24"/>
        </w:rPr>
        <w:t>（4）配备足够的具有专业资格的人员进行基金投资分析、决策，以专业化的经营方式管理和运作基金财产；</w:t>
      </w:r>
    </w:p>
    <w:p w14:paraId="6A1552F7">
      <w:pPr>
        <w:spacing w:line="360" w:lineRule="auto"/>
        <w:ind w:firstLine="480" w:firstLineChars="200"/>
        <w:rPr>
          <w:rFonts w:hint="eastAsia"/>
          <w:bCs/>
          <w:sz w:val="24"/>
        </w:rPr>
      </w:pPr>
      <w:r>
        <w:rPr>
          <w:rFonts w:hint="eastAsia"/>
          <w:bCs/>
          <w:sz w:val="24"/>
        </w:rPr>
        <w:t>（5）建立健全内部风险控制、监察与稽核、财务管理及人事管理等制度，保证所管理的基金财产和基金管理人的财产相互独立，对所管理的不同基金分别管理，分别记账，进行证券投资；</w:t>
      </w:r>
    </w:p>
    <w:p w14:paraId="5588ADD0">
      <w:pPr>
        <w:spacing w:line="360" w:lineRule="auto"/>
        <w:ind w:firstLine="480" w:firstLineChars="200"/>
        <w:rPr>
          <w:rFonts w:hint="eastAsia"/>
          <w:bCs/>
          <w:sz w:val="24"/>
        </w:rPr>
      </w:pPr>
      <w:r>
        <w:rPr>
          <w:rFonts w:hint="eastAsia"/>
          <w:bCs/>
          <w:sz w:val="24"/>
        </w:rPr>
        <w:t>（6）除依据《基金法》、《基金合同》及其他有关规定外，不得利用基金财产为自己及任何第三人谋取利益，不得委托第三人运作基金财产；</w:t>
      </w:r>
    </w:p>
    <w:p w14:paraId="757F4655">
      <w:pPr>
        <w:spacing w:line="360" w:lineRule="auto"/>
        <w:ind w:firstLine="480" w:firstLineChars="200"/>
        <w:rPr>
          <w:rFonts w:hint="eastAsia"/>
          <w:bCs/>
          <w:sz w:val="24"/>
        </w:rPr>
      </w:pPr>
      <w:r>
        <w:rPr>
          <w:rFonts w:hint="eastAsia"/>
          <w:bCs/>
          <w:sz w:val="24"/>
        </w:rPr>
        <w:t>（7）依法接受基金托管人的监督；</w:t>
      </w:r>
    </w:p>
    <w:p w14:paraId="6F86903D">
      <w:pPr>
        <w:spacing w:line="360" w:lineRule="auto"/>
        <w:ind w:firstLine="480" w:firstLineChars="200"/>
        <w:rPr>
          <w:rFonts w:hint="eastAsia"/>
          <w:bCs/>
          <w:sz w:val="24"/>
        </w:rPr>
      </w:pPr>
      <w:r>
        <w:rPr>
          <w:rFonts w:hint="eastAsia"/>
          <w:bCs/>
          <w:sz w:val="24"/>
        </w:rPr>
        <w:t>（8）采取适当合理的措施使计算基金份额认购、申购、赎回和注销价格的方法符合《基金合同》等法律文件的规定，按有关规定计算并公告基金净值信息，确定基金份额申购、赎回的价格；</w:t>
      </w:r>
    </w:p>
    <w:p w14:paraId="5BCAD399">
      <w:pPr>
        <w:spacing w:line="360" w:lineRule="auto"/>
        <w:ind w:firstLine="480" w:firstLineChars="200"/>
        <w:rPr>
          <w:rFonts w:hint="eastAsia"/>
          <w:bCs/>
          <w:sz w:val="24"/>
        </w:rPr>
      </w:pPr>
      <w:r>
        <w:rPr>
          <w:rFonts w:hint="eastAsia"/>
          <w:bCs/>
          <w:sz w:val="24"/>
        </w:rPr>
        <w:t>（9）进行基金会计核算并编制基金财务会计报告；</w:t>
      </w:r>
    </w:p>
    <w:p w14:paraId="31820B28">
      <w:pPr>
        <w:spacing w:line="360" w:lineRule="auto"/>
        <w:ind w:firstLine="480" w:firstLineChars="200"/>
        <w:rPr>
          <w:rFonts w:hint="eastAsia"/>
          <w:bCs/>
          <w:sz w:val="24"/>
        </w:rPr>
      </w:pPr>
      <w:r>
        <w:rPr>
          <w:rFonts w:hint="eastAsia"/>
          <w:bCs/>
          <w:sz w:val="24"/>
        </w:rPr>
        <w:t>（10）编制季度报告、中期报告和年度报告；</w:t>
      </w:r>
    </w:p>
    <w:p w14:paraId="30ACD166">
      <w:pPr>
        <w:spacing w:line="360" w:lineRule="auto"/>
        <w:ind w:firstLine="480" w:firstLineChars="200"/>
        <w:rPr>
          <w:rFonts w:hint="eastAsia"/>
          <w:bCs/>
          <w:sz w:val="24"/>
        </w:rPr>
      </w:pPr>
      <w:r>
        <w:rPr>
          <w:rFonts w:hint="eastAsia"/>
          <w:bCs/>
          <w:sz w:val="24"/>
        </w:rPr>
        <w:t>（11）严格按照《基金法》、《基金合同》及其他有关规定，履行信息披露及报告义务；</w:t>
      </w:r>
    </w:p>
    <w:p w14:paraId="45BC7660">
      <w:pPr>
        <w:spacing w:line="360" w:lineRule="auto"/>
        <w:ind w:firstLine="480" w:firstLineChars="200"/>
        <w:rPr>
          <w:rFonts w:hint="eastAsia"/>
          <w:bCs/>
          <w:sz w:val="24"/>
        </w:rPr>
      </w:pPr>
      <w:r>
        <w:rPr>
          <w:rFonts w:hint="eastAsia"/>
          <w:bCs/>
          <w:sz w:val="24"/>
        </w:rPr>
        <w:t>（12）保守基金商业秘密，不泄露基金投资计划、投资意向等。除《基金法》、《基金合同》及其他有关规定另有规定外，在基金信息公开披露前应予保密，不向他人泄露；但根据监管机构、司法机关等有权机关的要求提供，或因审计、法律等外部专业顾问提供服务需要提供的情况除外；</w:t>
      </w:r>
    </w:p>
    <w:p w14:paraId="73B91C84">
      <w:pPr>
        <w:spacing w:line="360" w:lineRule="auto"/>
        <w:ind w:firstLine="480" w:firstLineChars="200"/>
        <w:rPr>
          <w:rFonts w:hint="eastAsia"/>
          <w:bCs/>
          <w:sz w:val="24"/>
        </w:rPr>
      </w:pPr>
      <w:r>
        <w:rPr>
          <w:rFonts w:hint="eastAsia"/>
          <w:bCs/>
          <w:sz w:val="24"/>
        </w:rPr>
        <w:t>（13）按《基金合同》的约定确定基金收益分配方案，及时向基金份额持有人分配基金收益；</w:t>
      </w:r>
    </w:p>
    <w:p w14:paraId="49E6032E">
      <w:pPr>
        <w:spacing w:line="360" w:lineRule="auto"/>
        <w:ind w:firstLine="480" w:firstLineChars="200"/>
        <w:rPr>
          <w:rFonts w:hint="eastAsia"/>
          <w:bCs/>
          <w:sz w:val="24"/>
        </w:rPr>
      </w:pPr>
      <w:r>
        <w:rPr>
          <w:rFonts w:hint="eastAsia"/>
          <w:bCs/>
          <w:sz w:val="24"/>
        </w:rPr>
        <w:t>（14）按规定受理申购与赎回申请，及时、足额支付赎回款项；</w:t>
      </w:r>
    </w:p>
    <w:p w14:paraId="5230C9E4">
      <w:pPr>
        <w:spacing w:line="360" w:lineRule="auto"/>
        <w:ind w:firstLine="480" w:firstLineChars="200"/>
        <w:rPr>
          <w:rFonts w:hint="eastAsia"/>
          <w:bCs/>
          <w:sz w:val="24"/>
        </w:rPr>
      </w:pPr>
      <w:r>
        <w:rPr>
          <w:rFonts w:hint="eastAsia"/>
          <w:bCs/>
          <w:sz w:val="24"/>
        </w:rPr>
        <w:t>（15）依据《基金法》、《基金合同》及其他有关规定召集基金份额持有人大会或配合基金托管人、基金份额持有人依法召集基金份额持有人大会；</w:t>
      </w:r>
    </w:p>
    <w:p w14:paraId="2BE5AB55">
      <w:pPr>
        <w:spacing w:line="360" w:lineRule="auto"/>
        <w:ind w:firstLine="480" w:firstLineChars="200"/>
        <w:rPr>
          <w:rFonts w:hint="eastAsia"/>
          <w:bCs/>
          <w:sz w:val="24"/>
        </w:rPr>
      </w:pPr>
      <w:r>
        <w:rPr>
          <w:rFonts w:hint="eastAsia"/>
          <w:bCs/>
          <w:sz w:val="24"/>
        </w:rPr>
        <w:t>（16）按规定保存基金财产管理业务活动的会计账册、报表、记录和其他相关资料不低于法律法规规定的最低期限；</w:t>
      </w:r>
    </w:p>
    <w:p w14:paraId="2B782D60">
      <w:pPr>
        <w:spacing w:line="360" w:lineRule="auto"/>
        <w:ind w:firstLine="480" w:firstLineChars="200"/>
        <w:rPr>
          <w:rFonts w:hint="eastAsia"/>
          <w:bCs/>
          <w:sz w:val="24"/>
        </w:rPr>
      </w:pPr>
      <w:r>
        <w:rPr>
          <w:rFonts w:hint="eastAsia"/>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90B4C87">
      <w:pPr>
        <w:spacing w:line="360" w:lineRule="auto"/>
        <w:ind w:firstLine="480" w:firstLineChars="200"/>
        <w:rPr>
          <w:rFonts w:hint="eastAsia"/>
          <w:bCs/>
          <w:sz w:val="24"/>
        </w:rPr>
      </w:pPr>
      <w:r>
        <w:rPr>
          <w:rFonts w:hint="eastAsia"/>
          <w:bCs/>
          <w:sz w:val="24"/>
        </w:rPr>
        <w:t>（18）组织并参加基金财产清算小组，参与基金财产的保管、清理、估价、变现和分配；</w:t>
      </w:r>
    </w:p>
    <w:p w14:paraId="25389503">
      <w:pPr>
        <w:spacing w:line="360" w:lineRule="auto"/>
        <w:ind w:firstLine="480" w:firstLineChars="200"/>
        <w:rPr>
          <w:rFonts w:hint="eastAsia"/>
          <w:bCs/>
          <w:sz w:val="24"/>
        </w:rPr>
      </w:pPr>
      <w:r>
        <w:rPr>
          <w:rFonts w:hint="eastAsia"/>
          <w:bCs/>
          <w:sz w:val="24"/>
        </w:rPr>
        <w:t>（19）面临解散、依法被撤销或者被依法宣告破产时，及时报告中国证监会，并通知基金托管人；</w:t>
      </w:r>
    </w:p>
    <w:p w14:paraId="3F6F75B1">
      <w:pPr>
        <w:spacing w:line="360" w:lineRule="auto"/>
        <w:ind w:firstLine="480" w:firstLineChars="200"/>
        <w:rPr>
          <w:rFonts w:hint="eastAsia"/>
          <w:bCs/>
          <w:sz w:val="24"/>
        </w:rPr>
      </w:pPr>
      <w:r>
        <w:rPr>
          <w:rFonts w:hint="eastAsia"/>
          <w:bCs/>
          <w:sz w:val="24"/>
        </w:rPr>
        <w:t>（20）因违反《基金合同》导致基金财产的损失或损害基金份额持有人合法权益时，应当承担赔偿责任，其赔偿责任不因其退任而免除；</w:t>
      </w:r>
    </w:p>
    <w:p w14:paraId="07713C28">
      <w:pPr>
        <w:spacing w:line="360" w:lineRule="auto"/>
        <w:ind w:firstLine="480" w:firstLineChars="200"/>
        <w:rPr>
          <w:rFonts w:hint="eastAsia"/>
          <w:bCs/>
          <w:sz w:val="24"/>
        </w:rPr>
      </w:pPr>
      <w:r>
        <w:rPr>
          <w:rFonts w:hint="eastAsia"/>
          <w:bCs/>
          <w:sz w:val="24"/>
        </w:rPr>
        <w:t>（21）监督基金托管人按法律法规和《基金合同》规定履行自己的义务，基金托管人违反《基金合同》造成基金财产损失时，基金管理人应为基金份额持有人利益向基金托管人追偿；</w:t>
      </w:r>
    </w:p>
    <w:p w14:paraId="4C55F8BA">
      <w:pPr>
        <w:spacing w:line="360" w:lineRule="auto"/>
        <w:ind w:firstLine="480" w:firstLineChars="200"/>
        <w:rPr>
          <w:rFonts w:hint="eastAsia"/>
          <w:bCs/>
          <w:sz w:val="24"/>
        </w:rPr>
      </w:pPr>
      <w:r>
        <w:rPr>
          <w:rFonts w:hint="eastAsia"/>
          <w:bCs/>
          <w:sz w:val="24"/>
        </w:rPr>
        <w:t>（22）当基金管理人将其义务委托第三方处理时，应当对第三方处理有关基金事务的行为承担责任；</w:t>
      </w:r>
    </w:p>
    <w:p w14:paraId="765E63F6">
      <w:pPr>
        <w:spacing w:line="360" w:lineRule="auto"/>
        <w:ind w:firstLine="480" w:firstLineChars="200"/>
        <w:rPr>
          <w:rFonts w:hint="eastAsia"/>
          <w:bCs/>
          <w:sz w:val="24"/>
        </w:rPr>
      </w:pPr>
      <w:r>
        <w:rPr>
          <w:rFonts w:hint="eastAsia"/>
          <w:bCs/>
          <w:sz w:val="24"/>
        </w:rPr>
        <w:t>（23）以基金管理人名义，代表基金份额持有人利益行使诉讼权利或实施其他法律行为；</w:t>
      </w:r>
      <w:r>
        <w:rPr>
          <w:rFonts w:hint="eastAsia"/>
          <w:bCs/>
          <w:sz w:val="24"/>
        </w:rPr>
        <w:tab/>
      </w:r>
    </w:p>
    <w:p w14:paraId="3959FF4C">
      <w:pPr>
        <w:spacing w:line="360" w:lineRule="auto"/>
        <w:ind w:firstLine="480" w:firstLineChars="200"/>
        <w:rPr>
          <w:rFonts w:hint="eastAsia"/>
          <w:bCs/>
          <w:sz w:val="24"/>
        </w:rPr>
      </w:pPr>
      <w:r>
        <w:rPr>
          <w:rFonts w:hint="eastAsia"/>
          <w:bCs/>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14:paraId="4C0D2462">
      <w:pPr>
        <w:spacing w:line="360" w:lineRule="auto"/>
        <w:ind w:firstLine="480" w:firstLineChars="200"/>
        <w:rPr>
          <w:rFonts w:hint="eastAsia"/>
          <w:bCs/>
          <w:sz w:val="24"/>
        </w:rPr>
      </w:pPr>
      <w:r>
        <w:rPr>
          <w:rFonts w:hint="eastAsia"/>
          <w:bCs/>
          <w:sz w:val="24"/>
        </w:rPr>
        <w:t>（25）执行生效的基金份额持有人大会的决议；</w:t>
      </w:r>
    </w:p>
    <w:p w14:paraId="78C97F4E">
      <w:pPr>
        <w:spacing w:line="360" w:lineRule="auto"/>
        <w:ind w:firstLine="480" w:firstLineChars="200"/>
        <w:rPr>
          <w:rFonts w:hint="eastAsia"/>
          <w:bCs/>
          <w:sz w:val="24"/>
        </w:rPr>
      </w:pPr>
      <w:r>
        <w:rPr>
          <w:rFonts w:hint="eastAsia"/>
          <w:bCs/>
          <w:sz w:val="24"/>
        </w:rPr>
        <w:t>（26）建立并保存基金份额持有人名册；</w:t>
      </w:r>
    </w:p>
    <w:p w14:paraId="7AC20FB3">
      <w:pPr>
        <w:spacing w:line="360" w:lineRule="auto"/>
        <w:ind w:firstLine="480" w:firstLineChars="200"/>
        <w:rPr>
          <w:rFonts w:hint="eastAsia"/>
          <w:bCs/>
          <w:sz w:val="24"/>
        </w:rPr>
      </w:pPr>
      <w:r>
        <w:rPr>
          <w:rFonts w:hint="eastAsia"/>
          <w:bCs/>
          <w:sz w:val="24"/>
        </w:rPr>
        <w:t>（27）法律法规及中国证监会规定的和《基金合同》约定的其他义务。</w:t>
      </w:r>
    </w:p>
    <w:p w14:paraId="7FC49796">
      <w:pPr>
        <w:spacing w:line="360" w:lineRule="auto"/>
        <w:ind w:firstLine="480" w:firstLineChars="200"/>
        <w:outlineLvl w:val="2"/>
        <w:rPr>
          <w:bCs/>
          <w:sz w:val="24"/>
        </w:rPr>
      </w:pPr>
      <w:r>
        <w:rPr>
          <w:rFonts w:hAnsi="宋体"/>
          <w:bCs/>
          <w:sz w:val="24"/>
        </w:rPr>
        <w:t>（三）基金托管人的权利</w:t>
      </w:r>
    </w:p>
    <w:p w14:paraId="74A32F1D">
      <w:pPr>
        <w:spacing w:line="360" w:lineRule="auto"/>
        <w:ind w:firstLine="480" w:firstLineChars="200"/>
        <w:rPr>
          <w:rFonts w:hAnsi="宋体"/>
          <w:bCs/>
          <w:sz w:val="24"/>
        </w:rPr>
      </w:pPr>
      <w:r>
        <w:rPr>
          <w:rFonts w:hAnsi="宋体"/>
          <w:bCs/>
          <w:sz w:val="24"/>
        </w:rPr>
        <w:t>根据《基金法》、《运作办法》及其他有关规定，基金托管人的权利包括但不限于：</w:t>
      </w:r>
    </w:p>
    <w:p w14:paraId="0BDB68BD">
      <w:pPr>
        <w:spacing w:line="360" w:lineRule="auto"/>
        <w:ind w:firstLine="480" w:firstLineChars="200"/>
        <w:rPr>
          <w:bCs/>
          <w:sz w:val="24"/>
        </w:rPr>
      </w:pPr>
      <w:r>
        <w:rPr>
          <w:bCs/>
          <w:sz w:val="24"/>
        </w:rPr>
        <w:t>（1）自《基金合同》生效之日起，依法律法规和《基金合同》的规定安全保管基金财产；</w:t>
      </w:r>
    </w:p>
    <w:p w14:paraId="1BC2C469">
      <w:pPr>
        <w:spacing w:line="360" w:lineRule="auto"/>
        <w:ind w:firstLine="480" w:firstLineChars="200"/>
        <w:rPr>
          <w:bCs/>
          <w:sz w:val="24"/>
        </w:rPr>
      </w:pPr>
      <w:r>
        <w:rPr>
          <w:bCs/>
          <w:sz w:val="24"/>
        </w:rPr>
        <w:t>（2）依《基金合同》约定获得基金托管费以及法律法规规定或监管部门批准的其他费用；</w:t>
      </w:r>
    </w:p>
    <w:p w14:paraId="506CA808">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A518C17">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w:t>
      </w:r>
      <w:r>
        <w:rPr>
          <w:rFonts w:hint="eastAsia"/>
          <w:bCs/>
          <w:sz w:val="24"/>
        </w:rPr>
        <w:t>、期货</w:t>
      </w:r>
      <w:r>
        <w:rPr>
          <w:bCs/>
          <w:sz w:val="24"/>
        </w:rPr>
        <w:t>交易资金清算</w:t>
      </w:r>
      <w:r>
        <w:rPr>
          <w:rFonts w:hint="eastAsia"/>
          <w:bCs/>
          <w:sz w:val="24"/>
        </w:rPr>
        <w:t>；</w:t>
      </w:r>
    </w:p>
    <w:p w14:paraId="62251749">
      <w:pPr>
        <w:spacing w:line="360" w:lineRule="auto"/>
        <w:ind w:firstLine="480" w:firstLineChars="200"/>
        <w:rPr>
          <w:bCs/>
          <w:sz w:val="24"/>
        </w:rPr>
      </w:pPr>
      <w:r>
        <w:rPr>
          <w:bCs/>
          <w:sz w:val="24"/>
        </w:rPr>
        <w:t>（5）提议召开或召集基金份额持有人大会；</w:t>
      </w:r>
    </w:p>
    <w:p w14:paraId="23F6DB6E">
      <w:pPr>
        <w:spacing w:line="360" w:lineRule="auto"/>
        <w:ind w:firstLine="480" w:firstLineChars="200"/>
        <w:rPr>
          <w:bCs/>
          <w:sz w:val="24"/>
        </w:rPr>
      </w:pPr>
      <w:r>
        <w:rPr>
          <w:bCs/>
          <w:sz w:val="24"/>
        </w:rPr>
        <w:t>（6）在基金管理人更换时，提名新的基金管理人；</w:t>
      </w:r>
    </w:p>
    <w:p w14:paraId="4B67D147">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5FC1B5D0">
      <w:pPr>
        <w:spacing w:line="360" w:lineRule="auto"/>
        <w:ind w:firstLine="480" w:firstLineChars="200"/>
        <w:outlineLvl w:val="2"/>
        <w:rPr>
          <w:sz w:val="24"/>
        </w:rPr>
      </w:pPr>
      <w:r>
        <w:rPr>
          <w:rFonts w:hAnsi="宋体"/>
          <w:bCs/>
          <w:sz w:val="24"/>
        </w:rPr>
        <w:t>（四）</w:t>
      </w:r>
      <w:r>
        <w:rPr>
          <w:rFonts w:hAnsi="宋体"/>
          <w:sz w:val="24"/>
        </w:rPr>
        <w:t>基金托管人的义务</w:t>
      </w:r>
    </w:p>
    <w:p w14:paraId="29818722">
      <w:pPr>
        <w:autoSpaceDE w:val="0"/>
        <w:autoSpaceDN w:val="0"/>
        <w:adjustRightInd w:val="0"/>
        <w:spacing w:line="360" w:lineRule="auto"/>
        <w:ind w:firstLine="480" w:firstLineChars="200"/>
        <w:jc w:val="left"/>
        <w:rPr>
          <w:rFonts w:hAnsi="宋体"/>
          <w:bCs/>
          <w:sz w:val="24"/>
        </w:rPr>
      </w:pPr>
      <w:r>
        <w:rPr>
          <w:rFonts w:hAnsi="宋体"/>
          <w:bCs/>
          <w:sz w:val="24"/>
        </w:rPr>
        <w:t>根据《基金法》、《运作办法》及其他有关规定，基金托管人的义务包括但不限于：</w:t>
      </w:r>
    </w:p>
    <w:p w14:paraId="29D2B89F">
      <w:pPr>
        <w:spacing w:line="360" w:lineRule="auto"/>
        <w:ind w:firstLine="480" w:firstLineChars="200"/>
        <w:rPr>
          <w:bCs/>
          <w:sz w:val="24"/>
        </w:rPr>
      </w:pPr>
      <w:r>
        <w:rPr>
          <w:bCs/>
          <w:sz w:val="24"/>
        </w:rPr>
        <w:t>（1）以诚实信用、勤勉尽责的原则持有并安全保管基金财产；</w:t>
      </w:r>
    </w:p>
    <w:p w14:paraId="2D585EE1">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26A23374">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2A1C697">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745B41B2">
      <w:pPr>
        <w:spacing w:line="360" w:lineRule="auto"/>
        <w:ind w:firstLine="480" w:firstLineChars="200"/>
        <w:rPr>
          <w:bCs/>
          <w:sz w:val="24"/>
        </w:rPr>
      </w:pPr>
      <w:r>
        <w:rPr>
          <w:bCs/>
          <w:sz w:val="24"/>
        </w:rPr>
        <w:t>（5）保管由基金管理人代表基金签订的与基金有关的重大合同及有关凭证；</w:t>
      </w:r>
    </w:p>
    <w:p w14:paraId="7FC76254">
      <w:pPr>
        <w:spacing w:line="360" w:lineRule="auto"/>
        <w:ind w:firstLine="480" w:firstLineChars="200"/>
        <w:rPr>
          <w:bCs/>
          <w:sz w:val="24"/>
        </w:rPr>
      </w:pPr>
      <w:r>
        <w:rPr>
          <w:bCs/>
          <w:sz w:val="24"/>
        </w:rPr>
        <w:t>（6）按规定开设基金财产的资金账户</w:t>
      </w:r>
      <w:r>
        <w:rPr>
          <w:rFonts w:hint="eastAsia"/>
          <w:bCs/>
          <w:sz w:val="24"/>
        </w:rPr>
        <w:t>、</w:t>
      </w:r>
      <w:r>
        <w:rPr>
          <w:bCs/>
          <w:sz w:val="24"/>
        </w:rPr>
        <w:t>证券账户</w:t>
      </w:r>
      <w:r>
        <w:rPr>
          <w:rFonts w:hint="eastAsia"/>
          <w:bCs/>
          <w:sz w:val="24"/>
        </w:rPr>
        <w:t>等投资所需账户，</w:t>
      </w:r>
      <w:r>
        <w:rPr>
          <w:bCs/>
          <w:sz w:val="24"/>
        </w:rPr>
        <w:t>按照《基金合同》的约定，根据基金管理人的投资指令，及时办理清算、交割事宜；</w:t>
      </w:r>
    </w:p>
    <w:p w14:paraId="73B4F38C">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r>
        <w:rPr>
          <w:rFonts w:hint="eastAsia"/>
          <w:bCs/>
          <w:sz w:val="24"/>
        </w:rPr>
        <w:t>但根据监管机构、司法机关等有权机关的要求提供，或因审计、法律等外部专业顾问提供服务需要提供的情况除外；</w:t>
      </w:r>
    </w:p>
    <w:p w14:paraId="59CD7D0A">
      <w:pPr>
        <w:spacing w:line="360" w:lineRule="auto"/>
        <w:ind w:firstLine="480" w:firstLineChars="200"/>
        <w:rPr>
          <w:bCs/>
          <w:sz w:val="24"/>
        </w:rPr>
      </w:pPr>
      <w:r>
        <w:rPr>
          <w:bCs/>
          <w:sz w:val="24"/>
        </w:rPr>
        <w:t>（8）复核、审查基金管理人计算的基金资产净值、</w:t>
      </w:r>
      <w:r>
        <w:rPr>
          <w:rFonts w:hint="eastAsia"/>
          <w:bCs/>
          <w:sz w:val="24"/>
        </w:rPr>
        <w:t>各类基金份额净值、</w:t>
      </w:r>
      <w:r>
        <w:rPr>
          <w:bCs/>
          <w:sz w:val="24"/>
        </w:rPr>
        <w:t>基金份额申购、赎回价格；</w:t>
      </w:r>
    </w:p>
    <w:p w14:paraId="6C946F43">
      <w:pPr>
        <w:spacing w:line="360" w:lineRule="auto"/>
        <w:ind w:firstLine="480" w:firstLineChars="200"/>
        <w:rPr>
          <w:bCs/>
          <w:sz w:val="24"/>
        </w:rPr>
      </w:pPr>
      <w:r>
        <w:rPr>
          <w:bCs/>
          <w:sz w:val="24"/>
        </w:rPr>
        <w:t>（9）办理与基金托管业务活动有关的信息披露事项；</w:t>
      </w:r>
    </w:p>
    <w:p w14:paraId="6C368BA0">
      <w:pPr>
        <w:spacing w:line="360" w:lineRule="auto"/>
        <w:ind w:firstLine="480" w:firstLineChars="200"/>
        <w:rPr>
          <w:bCs/>
          <w:sz w:val="24"/>
        </w:rPr>
      </w:pPr>
      <w:r>
        <w:rPr>
          <w:bCs/>
          <w:sz w:val="24"/>
        </w:rPr>
        <w:t>（10）对基金财务会计报告、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2FCE293F">
      <w:pPr>
        <w:spacing w:line="360" w:lineRule="auto"/>
        <w:ind w:firstLine="480" w:firstLineChars="200"/>
        <w:rPr>
          <w:bCs/>
          <w:sz w:val="24"/>
        </w:rPr>
      </w:pPr>
      <w:r>
        <w:rPr>
          <w:bCs/>
          <w:sz w:val="24"/>
        </w:rPr>
        <w:t>（11）保存基金托管业务活动的记录、账册、报表和其他相关资料</w:t>
      </w:r>
      <w:r>
        <w:rPr>
          <w:rFonts w:hint="eastAsia"/>
          <w:bCs/>
          <w:sz w:val="24"/>
        </w:rPr>
        <w:t>不低于法律法规规定的最低期限</w:t>
      </w:r>
      <w:r>
        <w:rPr>
          <w:bCs/>
          <w:sz w:val="24"/>
        </w:rPr>
        <w:t>；</w:t>
      </w:r>
    </w:p>
    <w:p w14:paraId="35672E5A">
      <w:pPr>
        <w:spacing w:line="360" w:lineRule="auto"/>
        <w:ind w:firstLine="480" w:firstLineChars="200"/>
        <w:rPr>
          <w:bCs/>
          <w:sz w:val="24"/>
        </w:rPr>
      </w:pPr>
      <w:r>
        <w:rPr>
          <w:bCs/>
          <w:sz w:val="24"/>
        </w:rPr>
        <w:t>（12）</w:t>
      </w:r>
      <w:r>
        <w:rPr>
          <w:rFonts w:hint="eastAsia"/>
          <w:bCs/>
          <w:sz w:val="24"/>
        </w:rPr>
        <w:t>建立并</w:t>
      </w:r>
      <w:r>
        <w:rPr>
          <w:bCs/>
          <w:sz w:val="24"/>
        </w:rPr>
        <w:t>保存基金份额持有人名册；</w:t>
      </w:r>
    </w:p>
    <w:p w14:paraId="633CEBBA">
      <w:pPr>
        <w:spacing w:line="360" w:lineRule="auto"/>
        <w:ind w:firstLine="480" w:firstLineChars="200"/>
        <w:rPr>
          <w:bCs/>
          <w:sz w:val="24"/>
        </w:rPr>
      </w:pPr>
      <w:r>
        <w:rPr>
          <w:bCs/>
          <w:sz w:val="24"/>
        </w:rPr>
        <w:t>（13）按规定制作相关账册并与基金管理人核对；</w:t>
      </w:r>
    </w:p>
    <w:p w14:paraId="1650A197">
      <w:pPr>
        <w:spacing w:line="360" w:lineRule="auto"/>
        <w:ind w:firstLine="480" w:firstLineChars="200"/>
        <w:rPr>
          <w:bCs/>
          <w:sz w:val="24"/>
        </w:rPr>
      </w:pPr>
      <w:r>
        <w:rPr>
          <w:bCs/>
          <w:sz w:val="24"/>
        </w:rPr>
        <w:t>（14）依据基金管理人的指令或有关规定向基金份额持有人支付基金收益和赎回款项；</w:t>
      </w:r>
    </w:p>
    <w:p w14:paraId="72DD197F">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w:t>
      </w:r>
      <w:r>
        <w:rPr>
          <w:bCs/>
          <w:sz w:val="24"/>
        </w:rPr>
        <w:t>管理人、基金份额持有人依法召集基金份额持有人大会；</w:t>
      </w:r>
    </w:p>
    <w:p w14:paraId="21D82A0C">
      <w:pPr>
        <w:spacing w:line="360" w:lineRule="auto"/>
        <w:ind w:firstLine="480" w:firstLineChars="200"/>
        <w:rPr>
          <w:bCs/>
          <w:sz w:val="24"/>
        </w:rPr>
      </w:pPr>
      <w:r>
        <w:rPr>
          <w:bCs/>
          <w:sz w:val="24"/>
        </w:rPr>
        <w:t>（16）按照法律法规和《基金合同》的规定监督基金管理人的投资运作；</w:t>
      </w:r>
    </w:p>
    <w:p w14:paraId="0DC336ED">
      <w:pPr>
        <w:spacing w:line="360" w:lineRule="auto"/>
        <w:ind w:firstLine="480" w:firstLineChars="200"/>
        <w:rPr>
          <w:bCs/>
          <w:sz w:val="24"/>
        </w:rPr>
      </w:pPr>
      <w:r>
        <w:rPr>
          <w:bCs/>
          <w:sz w:val="24"/>
        </w:rPr>
        <w:t>（17）参加基金财产清算小组，参与基金财产的保管、清理、估价、变现和分配；</w:t>
      </w:r>
    </w:p>
    <w:p w14:paraId="604F9DEA">
      <w:pPr>
        <w:spacing w:line="360" w:lineRule="auto"/>
        <w:ind w:firstLine="480" w:firstLineChars="200"/>
        <w:rPr>
          <w:bCs/>
          <w:sz w:val="24"/>
        </w:rPr>
      </w:pPr>
      <w:r>
        <w:rPr>
          <w:bCs/>
          <w:sz w:val="24"/>
        </w:rPr>
        <w:t>（18）面临解散、依法被撤销或者被依法宣告破产时，及时报告中国证监会和银行</w:t>
      </w:r>
      <w:r>
        <w:rPr>
          <w:rFonts w:hint="eastAsia"/>
          <w:bCs/>
          <w:sz w:val="24"/>
        </w:rPr>
        <w:t>业监督管理</w:t>
      </w:r>
      <w:r>
        <w:rPr>
          <w:bCs/>
          <w:sz w:val="24"/>
        </w:rPr>
        <w:t>机构，并通知基金管理人；</w:t>
      </w:r>
    </w:p>
    <w:p w14:paraId="5AAF4A61">
      <w:pPr>
        <w:spacing w:line="360" w:lineRule="auto"/>
        <w:ind w:firstLine="480" w:firstLineChars="200"/>
        <w:rPr>
          <w:bCs/>
          <w:sz w:val="24"/>
        </w:rPr>
      </w:pPr>
      <w:r>
        <w:rPr>
          <w:bCs/>
          <w:sz w:val="24"/>
        </w:rPr>
        <w:t>（19）因违反《基金合同》导致基金财产损失时，应承担赔偿责任，其赔偿责任不因其退任而免除；</w:t>
      </w:r>
    </w:p>
    <w:p w14:paraId="140ADD6C">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47106AC9">
      <w:pPr>
        <w:spacing w:line="360" w:lineRule="auto"/>
        <w:ind w:firstLine="480" w:firstLineChars="200"/>
        <w:rPr>
          <w:bCs/>
          <w:sz w:val="24"/>
        </w:rPr>
      </w:pPr>
      <w:r>
        <w:rPr>
          <w:bCs/>
          <w:sz w:val="24"/>
        </w:rPr>
        <w:t>（21）执行生效的基金份额持有人大会的</w:t>
      </w:r>
      <w:r>
        <w:rPr>
          <w:rFonts w:hint="eastAsia"/>
          <w:bCs/>
          <w:sz w:val="24"/>
        </w:rPr>
        <w:t>决议</w:t>
      </w:r>
      <w:r>
        <w:rPr>
          <w:bCs/>
          <w:sz w:val="24"/>
        </w:rPr>
        <w:t>；</w:t>
      </w:r>
    </w:p>
    <w:p w14:paraId="71A4BE01">
      <w:pPr>
        <w:autoSpaceDE w:val="0"/>
        <w:autoSpaceDN w:val="0"/>
        <w:adjustRightInd w:val="0"/>
        <w:spacing w:line="360" w:lineRule="auto"/>
        <w:ind w:firstLine="480" w:firstLineChars="200"/>
        <w:jc w:val="left"/>
        <w:rPr>
          <w:rFonts w:hint="eastAsia"/>
          <w:bCs/>
          <w:sz w:val="24"/>
        </w:rPr>
      </w:pPr>
      <w:r>
        <w:rPr>
          <w:bCs/>
          <w:sz w:val="24"/>
        </w:rPr>
        <w:t>（22）法律法规及中国证监会规定的和《基金合同》约定的其他义务。</w:t>
      </w:r>
    </w:p>
    <w:p w14:paraId="2CBCCFEA">
      <w:pPr>
        <w:autoSpaceDE w:val="0"/>
        <w:autoSpaceDN w:val="0"/>
        <w:adjustRightInd w:val="0"/>
        <w:spacing w:line="360" w:lineRule="auto"/>
        <w:ind w:firstLine="480" w:firstLineChars="200"/>
        <w:jc w:val="left"/>
        <w:outlineLvl w:val="2"/>
        <w:rPr>
          <w:bCs/>
          <w:sz w:val="24"/>
        </w:rPr>
      </w:pPr>
      <w:r>
        <w:rPr>
          <w:bCs/>
          <w:sz w:val="24"/>
        </w:rPr>
        <w:t>（五）基金份额持有人的权利</w:t>
      </w:r>
    </w:p>
    <w:p w14:paraId="51A7F912">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w:t>
      </w:r>
      <w:r>
        <w:rPr>
          <w:rFonts w:hint="eastAsia"/>
          <w:bCs/>
          <w:sz w:val="24"/>
        </w:rPr>
        <w:t>本基金</w:t>
      </w:r>
      <w:r>
        <w:rPr>
          <w:bCs/>
          <w:sz w:val="24"/>
        </w:rPr>
        <w:t>基金份额，即成为本</w:t>
      </w:r>
      <w:r>
        <w:rPr>
          <w:rFonts w:hint="eastAsia"/>
          <w:bCs/>
          <w:sz w:val="24"/>
        </w:rPr>
        <w:t>基金</w:t>
      </w:r>
      <w:r>
        <w:rPr>
          <w:bCs/>
          <w:sz w:val="24"/>
        </w:rPr>
        <w:t>基金份额持有人和《基金合同》的当事人，直至其不再持有本基金的基金份额。基金份额持有人作为《基金合同》当事人并不以在《基金合同》上书面签章或签字为必要条件。</w:t>
      </w:r>
    </w:p>
    <w:p w14:paraId="05C2385C">
      <w:pPr>
        <w:spacing w:line="360" w:lineRule="auto"/>
        <w:ind w:firstLine="480" w:firstLineChars="200"/>
        <w:rPr>
          <w:bCs/>
          <w:sz w:val="24"/>
        </w:rPr>
      </w:pPr>
      <w:r>
        <w:rPr>
          <w:rFonts w:hint="eastAsia"/>
          <w:bCs/>
          <w:sz w:val="24"/>
        </w:rPr>
        <w:t>同一类别</w:t>
      </w:r>
      <w:r>
        <w:rPr>
          <w:bCs/>
          <w:sz w:val="24"/>
        </w:rPr>
        <w:t>每份基金份额具有同等的合法权益。</w:t>
      </w:r>
    </w:p>
    <w:p w14:paraId="4740BD02">
      <w:pPr>
        <w:autoSpaceDE w:val="0"/>
        <w:autoSpaceDN w:val="0"/>
        <w:adjustRightInd w:val="0"/>
        <w:spacing w:line="360" w:lineRule="auto"/>
        <w:ind w:firstLine="480" w:firstLineChars="200"/>
        <w:jc w:val="left"/>
        <w:rPr>
          <w:bCs/>
          <w:sz w:val="24"/>
          <w:szCs w:val="24"/>
        </w:rPr>
      </w:pPr>
      <w:r>
        <w:rPr>
          <w:rFonts w:hAnsi="宋体"/>
          <w:bCs/>
          <w:sz w:val="24"/>
          <w:szCs w:val="24"/>
        </w:rPr>
        <w:t>根据《基金法》、《运作办法》及其他有关规定，基金份额持有人的权利包括但不限于：</w:t>
      </w:r>
    </w:p>
    <w:p w14:paraId="1E5F6E86">
      <w:pPr>
        <w:spacing w:line="360" w:lineRule="auto"/>
        <w:ind w:firstLine="480" w:firstLineChars="200"/>
        <w:rPr>
          <w:bCs/>
          <w:sz w:val="24"/>
        </w:rPr>
      </w:pPr>
      <w:r>
        <w:rPr>
          <w:bCs/>
          <w:sz w:val="24"/>
        </w:rPr>
        <w:t>（1）分享基金财产收益；</w:t>
      </w:r>
    </w:p>
    <w:p w14:paraId="3E044CAB">
      <w:pPr>
        <w:spacing w:line="360" w:lineRule="auto"/>
        <w:ind w:firstLine="480" w:firstLineChars="200"/>
        <w:rPr>
          <w:bCs/>
          <w:sz w:val="24"/>
        </w:rPr>
      </w:pPr>
      <w:r>
        <w:rPr>
          <w:bCs/>
          <w:sz w:val="24"/>
        </w:rPr>
        <w:t>（2）参与分配清算后的剩余基金财产；</w:t>
      </w:r>
    </w:p>
    <w:p w14:paraId="4F93F8B7">
      <w:pPr>
        <w:spacing w:line="360" w:lineRule="auto"/>
        <w:ind w:firstLine="480" w:firstLineChars="200"/>
        <w:rPr>
          <w:bCs/>
          <w:sz w:val="24"/>
        </w:rPr>
      </w:pPr>
      <w:r>
        <w:rPr>
          <w:bCs/>
          <w:sz w:val="24"/>
        </w:rPr>
        <w:t>（3）依法</w:t>
      </w:r>
      <w:r>
        <w:rPr>
          <w:rFonts w:hint="eastAsia"/>
          <w:bCs/>
          <w:sz w:val="24"/>
        </w:rPr>
        <w:t>并按照基金合同和招募说明书的规定转让或者</w:t>
      </w:r>
      <w:r>
        <w:rPr>
          <w:bCs/>
          <w:sz w:val="24"/>
        </w:rPr>
        <w:t>申请赎回其持有的基金份额；</w:t>
      </w:r>
    </w:p>
    <w:p w14:paraId="65C92932">
      <w:pPr>
        <w:spacing w:line="360" w:lineRule="auto"/>
        <w:ind w:firstLine="480" w:firstLineChars="200"/>
        <w:rPr>
          <w:bCs/>
          <w:sz w:val="24"/>
        </w:rPr>
      </w:pPr>
      <w:r>
        <w:rPr>
          <w:bCs/>
          <w:sz w:val="24"/>
        </w:rPr>
        <w:t>（4）按照规定要求召开基金份额持有人大会或者召集基金份额持有人大会；</w:t>
      </w:r>
    </w:p>
    <w:p w14:paraId="2643EA8A">
      <w:pPr>
        <w:spacing w:line="360" w:lineRule="auto"/>
        <w:ind w:firstLine="480" w:firstLineChars="200"/>
        <w:rPr>
          <w:bCs/>
          <w:sz w:val="24"/>
        </w:rPr>
      </w:pPr>
      <w:r>
        <w:rPr>
          <w:bCs/>
          <w:sz w:val="24"/>
        </w:rPr>
        <w:t>（5）出席或者委派代表出席基金份额持有人大会，对基金份额持有人大会审议事项行使表决权；</w:t>
      </w:r>
    </w:p>
    <w:p w14:paraId="71D3684E">
      <w:pPr>
        <w:spacing w:line="360" w:lineRule="auto"/>
        <w:ind w:firstLine="480" w:firstLineChars="200"/>
        <w:rPr>
          <w:bCs/>
          <w:sz w:val="24"/>
        </w:rPr>
      </w:pPr>
      <w:r>
        <w:rPr>
          <w:bCs/>
          <w:sz w:val="24"/>
        </w:rPr>
        <w:t>（6）查阅或者复制公开披露的基金信息资料；</w:t>
      </w:r>
    </w:p>
    <w:p w14:paraId="1CA166A7">
      <w:pPr>
        <w:spacing w:line="360" w:lineRule="auto"/>
        <w:ind w:firstLine="480" w:firstLineChars="200"/>
        <w:rPr>
          <w:bCs/>
          <w:sz w:val="24"/>
        </w:rPr>
      </w:pPr>
      <w:r>
        <w:rPr>
          <w:bCs/>
          <w:sz w:val="24"/>
        </w:rPr>
        <w:t>（7）监督基金管理人的投资运作；</w:t>
      </w:r>
    </w:p>
    <w:p w14:paraId="50F569CF">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00DBAA4D">
      <w:pPr>
        <w:spacing w:line="360" w:lineRule="auto"/>
        <w:ind w:firstLine="480" w:firstLineChars="200"/>
        <w:rPr>
          <w:bCs/>
          <w:sz w:val="24"/>
        </w:rPr>
      </w:pPr>
      <w:r>
        <w:rPr>
          <w:bCs/>
          <w:sz w:val="24"/>
        </w:rPr>
        <w:t>（9）法律法规及中国证监会规定的和《基金合同》约定的其他权利。</w:t>
      </w:r>
    </w:p>
    <w:p w14:paraId="18DAD27F">
      <w:pPr>
        <w:spacing w:line="360" w:lineRule="auto"/>
        <w:ind w:firstLine="480" w:firstLineChars="200"/>
        <w:outlineLvl w:val="2"/>
        <w:rPr>
          <w:sz w:val="24"/>
          <w:szCs w:val="24"/>
        </w:rPr>
      </w:pPr>
      <w:r>
        <w:rPr>
          <w:rFonts w:hAnsi="宋体"/>
          <w:bCs/>
          <w:sz w:val="24"/>
          <w:szCs w:val="24"/>
        </w:rPr>
        <w:t>（六）</w:t>
      </w:r>
      <w:r>
        <w:rPr>
          <w:rFonts w:hAnsi="宋体"/>
          <w:sz w:val="24"/>
          <w:szCs w:val="24"/>
        </w:rPr>
        <w:t>基金份额持有人的义务</w:t>
      </w:r>
    </w:p>
    <w:p w14:paraId="17EBC2B4">
      <w:pPr>
        <w:autoSpaceDE w:val="0"/>
        <w:autoSpaceDN w:val="0"/>
        <w:adjustRightInd w:val="0"/>
        <w:spacing w:line="360" w:lineRule="auto"/>
        <w:ind w:firstLine="480" w:firstLineChars="200"/>
        <w:jc w:val="left"/>
        <w:rPr>
          <w:rFonts w:hAnsi="宋体"/>
          <w:bCs/>
          <w:sz w:val="24"/>
          <w:szCs w:val="24"/>
        </w:rPr>
      </w:pPr>
      <w:r>
        <w:rPr>
          <w:rFonts w:hAnsi="宋体"/>
          <w:bCs/>
          <w:sz w:val="24"/>
          <w:szCs w:val="24"/>
        </w:rPr>
        <w:t>根据《基金法》、《运作办法》及其他有关规定，基金份额持有人的义务包括但不限于：</w:t>
      </w:r>
    </w:p>
    <w:p w14:paraId="2186CF19">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773E3E35">
      <w:pPr>
        <w:spacing w:line="360" w:lineRule="auto"/>
        <w:ind w:firstLine="480" w:firstLineChars="200"/>
        <w:rPr>
          <w:bCs/>
          <w:sz w:val="24"/>
        </w:rPr>
      </w:pPr>
      <w:r>
        <w:rPr>
          <w:bCs/>
          <w:sz w:val="24"/>
        </w:rPr>
        <w:t>（2）了解所投资基金产品，了解自身风险承受能力，自主判断基金的投资价值，自主做出投资决策，自行承担投资风险；</w:t>
      </w:r>
    </w:p>
    <w:p w14:paraId="1FBDF879">
      <w:pPr>
        <w:spacing w:line="360" w:lineRule="auto"/>
        <w:ind w:firstLine="480" w:firstLineChars="200"/>
        <w:rPr>
          <w:bCs/>
          <w:sz w:val="24"/>
        </w:rPr>
      </w:pPr>
      <w:r>
        <w:rPr>
          <w:bCs/>
          <w:sz w:val="24"/>
        </w:rPr>
        <w:t>（3）关注基金信息披露，及时行使权利和履行义务；</w:t>
      </w:r>
    </w:p>
    <w:p w14:paraId="76AD7F96">
      <w:pPr>
        <w:spacing w:line="360" w:lineRule="auto"/>
        <w:ind w:firstLine="480" w:firstLineChars="200"/>
        <w:rPr>
          <w:bCs/>
          <w:sz w:val="24"/>
        </w:rPr>
      </w:pPr>
      <w:r>
        <w:rPr>
          <w:bCs/>
          <w:sz w:val="24"/>
        </w:rPr>
        <w:t>（4）</w:t>
      </w:r>
      <w:r>
        <w:rPr>
          <w:rFonts w:hint="eastAsia"/>
          <w:bCs/>
          <w:sz w:val="24"/>
        </w:rPr>
        <w:t>交纳</w:t>
      </w:r>
      <w:r>
        <w:rPr>
          <w:bCs/>
          <w:sz w:val="24"/>
        </w:rPr>
        <w:t>基金认购、申购款项及法律法规和《基金合同》所规定的费用；</w:t>
      </w:r>
    </w:p>
    <w:p w14:paraId="2CDCBA05">
      <w:pPr>
        <w:spacing w:line="360" w:lineRule="auto"/>
        <w:ind w:firstLine="480" w:firstLineChars="200"/>
        <w:rPr>
          <w:bCs/>
          <w:sz w:val="24"/>
        </w:rPr>
      </w:pPr>
      <w:r>
        <w:rPr>
          <w:bCs/>
          <w:sz w:val="24"/>
        </w:rPr>
        <w:t>（5）在其持有的基金份额范围内，承担基金亏损或者《基金合同》终止的有限责任；</w:t>
      </w:r>
    </w:p>
    <w:p w14:paraId="4CFFB2A9">
      <w:pPr>
        <w:spacing w:line="360" w:lineRule="auto"/>
        <w:ind w:firstLine="480" w:firstLineChars="200"/>
        <w:rPr>
          <w:bCs/>
          <w:sz w:val="24"/>
        </w:rPr>
      </w:pPr>
      <w:r>
        <w:rPr>
          <w:bCs/>
          <w:sz w:val="24"/>
        </w:rPr>
        <w:t>（6）不从事任何有损基金及其他《基金合同》当事人合法权益的活动；</w:t>
      </w:r>
    </w:p>
    <w:p w14:paraId="22E20091">
      <w:pPr>
        <w:spacing w:line="360" w:lineRule="auto"/>
        <w:ind w:firstLine="480" w:firstLineChars="200"/>
        <w:rPr>
          <w:bCs/>
          <w:sz w:val="24"/>
        </w:rPr>
      </w:pPr>
      <w:r>
        <w:rPr>
          <w:bCs/>
          <w:sz w:val="24"/>
        </w:rPr>
        <w:t>（7）执行生效的基金份额持有人大会的</w:t>
      </w:r>
      <w:r>
        <w:rPr>
          <w:rFonts w:hint="eastAsia"/>
          <w:bCs/>
          <w:sz w:val="24"/>
        </w:rPr>
        <w:t>决议</w:t>
      </w:r>
      <w:r>
        <w:rPr>
          <w:bCs/>
          <w:sz w:val="24"/>
        </w:rPr>
        <w:t>；</w:t>
      </w:r>
    </w:p>
    <w:p w14:paraId="6A609265">
      <w:pPr>
        <w:spacing w:line="360" w:lineRule="auto"/>
        <w:ind w:firstLine="480" w:firstLineChars="200"/>
        <w:rPr>
          <w:bCs/>
          <w:sz w:val="24"/>
        </w:rPr>
      </w:pPr>
      <w:r>
        <w:rPr>
          <w:bCs/>
          <w:sz w:val="24"/>
        </w:rPr>
        <w:t>（8）返还在基金交易过程中因任何原因获得的不当得利；</w:t>
      </w:r>
    </w:p>
    <w:p w14:paraId="339F05C5">
      <w:pPr>
        <w:spacing w:line="360" w:lineRule="auto"/>
        <w:ind w:firstLine="480" w:firstLineChars="200"/>
        <w:rPr>
          <w:rFonts w:hint="eastAsia"/>
          <w:bCs/>
          <w:sz w:val="24"/>
        </w:rPr>
      </w:pPr>
      <w:r>
        <w:rPr>
          <w:rFonts w:hint="eastAsia"/>
          <w:bCs/>
          <w:sz w:val="24"/>
        </w:rPr>
        <w:t>（9）遵守基金管理人、基金托管人、销售机构和登记机构的相关交易及业务规则；</w:t>
      </w:r>
    </w:p>
    <w:p w14:paraId="433EA5CD">
      <w:pPr>
        <w:spacing w:line="360" w:lineRule="auto"/>
        <w:ind w:firstLine="480" w:firstLineChars="200"/>
        <w:rPr>
          <w:rFonts w:hint="eastAsia"/>
          <w:bCs/>
          <w:sz w:val="24"/>
        </w:rPr>
      </w:pPr>
      <w:r>
        <w:rPr>
          <w:rFonts w:hint="eastAsia"/>
          <w:bCs/>
          <w:sz w:val="24"/>
        </w:rPr>
        <w:t>（10）提供基金管理人和监管机构依法要求提供的信息，以及不时的更新和补充，并保证其真实性；</w:t>
      </w:r>
    </w:p>
    <w:p w14:paraId="4C08E405">
      <w:pPr>
        <w:spacing w:line="360" w:lineRule="auto"/>
        <w:ind w:firstLine="480" w:firstLineChars="200"/>
        <w:rPr>
          <w:rFonts w:hint="eastAsia"/>
          <w:bCs/>
          <w:sz w:val="24"/>
        </w:rPr>
      </w:pPr>
      <w:r>
        <w:rPr>
          <w:rFonts w:hint="eastAsia"/>
          <w:bCs/>
          <w:sz w:val="24"/>
        </w:rPr>
        <w:t>（11）发起资金提供方持有认购的基金份额的期限自《基金合同》生效日起不少于3年；</w:t>
      </w:r>
    </w:p>
    <w:p w14:paraId="1B2B4B40">
      <w:pPr>
        <w:spacing w:line="360" w:lineRule="auto"/>
        <w:ind w:firstLine="480" w:firstLineChars="200"/>
        <w:rPr>
          <w:bCs/>
          <w:sz w:val="24"/>
        </w:rPr>
      </w:pPr>
      <w:r>
        <w:rPr>
          <w:bCs/>
          <w:sz w:val="24"/>
        </w:rPr>
        <w:t>（1</w:t>
      </w:r>
      <w:r>
        <w:rPr>
          <w:rFonts w:hint="eastAsia"/>
          <w:bCs/>
          <w:sz w:val="24"/>
        </w:rPr>
        <w:t>2</w:t>
      </w:r>
      <w:r>
        <w:rPr>
          <w:bCs/>
          <w:sz w:val="24"/>
        </w:rPr>
        <w:t>）法律法规及中国证监会规定的和《基金合同》约定的其他义务。</w:t>
      </w:r>
    </w:p>
    <w:p w14:paraId="734E48E9">
      <w:pPr>
        <w:spacing w:line="360" w:lineRule="auto"/>
        <w:ind w:firstLine="482" w:firstLineChars="200"/>
        <w:outlineLvl w:val="1"/>
        <w:rPr>
          <w:b/>
          <w:bCs/>
          <w:sz w:val="24"/>
        </w:rPr>
      </w:pPr>
      <w:r>
        <w:rPr>
          <w:rFonts w:hAnsi="宋体"/>
          <w:b/>
          <w:bCs/>
          <w:sz w:val="24"/>
        </w:rPr>
        <w:t>二、基金份额持有人大会召集、议事及表决的程序和规则</w:t>
      </w:r>
    </w:p>
    <w:p w14:paraId="6306115E">
      <w:pPr>
        <w:spacing w:line="360" w:lineRule="auto"/>
        <w:ind w:firstLine="480" w:firstLineChars="200"/>
        <w:rPr>
          <w:bCs/>
          <w:sz w:val="24"/>
        </w:rPr>
      </w:pPr>
      <w:bookmarkStart w:id="0" w:name="_Hlk50385544"/>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0B945F51">
      <w:pPr>
        <w:spacing w:line="360" w:lineRule="auto"/>
        <w:ind w:firstLine="480" w:firstLineChars="200"/>
        <w:rPr>
          <w:bCs/>
          <w:sz w:val="24"/>
        </w:rPr>
      </w:pPr>
      <w:r>
        <w:rPr>
          <w:rFonts w:hint="eastAsia"/>
          <w:bCs/>
          <w:sz w:val="24"/>
        </w:rPr>
        <w:t>本基金份额持有人大会不设日常机构。</w:t>
      </w:r>
    </w:p>
    <w:p w14:paraId="4AF75CC0">
      <w:pPr>
        <w:spacing w:line="360" w:lineRule="auto"/>
        <w:ind w:firstLine="480" w:firstLineChars="200"/>
        <w:outlineLvl w:val="2"/>
        <w:rPr>
          <w:bCs/>
          <w:sz w:val="24"/>
        </w:rPr>
      </w:pPr>
      <w:r>
        <w:rPr>
          <w:rFonts w:hAnsi="宋体"/>
          <w:bCs/>
          <w:sz w:val="24"/>
        </w:rPr>
        <w:t>（一）召开事由</w:t>
      </w:r>
    </w:p>
    <w:p w14:paraId="7812F566">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r>
        <w:rPr>
          <w:bCs/>
          <w:sz w:val="24"/>
        </w:rPr>
        <w:t>：</w:t>
      </w:r>
    </w:p>
    <w:p w14:paraId="073EAEF3">
      <w:pPr>
        <w:spacing w:line="440" w:lineRule="atLeast"/>
        <w:ind w:firstLine="480" w:firstLineChars="200"/>
        <w:rPr>
          <w:bCs/>
          <w:sz w:val="24"/>
        </w:rPr>
      </w:pPr>
      <w:r>
        <w:rPr>
          <w:bCs/>
          <w:sz w:val="24"/>
        </w:rPr>
        <w:t>（1）终止《基金合同》；</w:t>
      </w:r>
    </w:p>
    <w:p w14:paraId="07ABA642">
      <w:pPr>
        <w:spacing w:line="440" w:lineRule="atLeast"/>
        <w:ind w:firstLine="480" w:firstLineChars="200"/>
        <w:rPr>
          <w:bCs/>
          <w:sz w:val="24"/>
        </w:rPr>
      </w:pPr>
      <w:r>
        <w:rPr>
          <w:bCs/>
          <w:sz w:val="24"/>
        </w:rPr>
        <w:t>（2）更换基金管理人；</w:t>
      </w:r>
    </w:p>
    <w:p w14:paraId="26956C2C">
      <w:pPr>
        <w:spacing w:line="440" w:lineRule="atLeast"/>
        <w:ind w:firstLine="480" w:firstLineChars="200"/>
        <w:rPr>
          <w:bCs/>
          <w:sz w:val="24"/>
        </w:rPr>
      </w:pPr>
      <w:r>
        <w:rPr>
          <w:bCs/>
          <w:sz w:val="24"/>
        </w:rPr>
        <w:t>（3）更换基金托管人；</w:t>
      </w:r>
    </w:p>
    <w:p w14:paraId="54809B67">
      <w:pPr>
        <w:spacing w:line="440" w:lineRule="atLeast"/>
        <w:ind w:firstLine="480" w:firstLineChars="200"/>
        <w:rPr>
          <w:bCs/>
          <w:sz w:val="24"/>
        </w:rPr>
      </w:pPr>
      <w:r>
        <w:rPr>
          <w:bCs/>
          <w:sz w:val="24"/>
        </w:rPr>
        <w:t>（4）转换基金运作方式；</w:t>
      </w:r>
    </w:p>
    <w:p w14:paraId="412CED38">
      <w:pPr>
        <w:spacing w:line="440" w:lineRule="atLeast"/>
        <w:ind w:firstLine="480" w:firstLineChars="200"/>
        <w:rPr>
          <w:bCs/>
          <w:sz w:val="24"/>
        </w:rPr>
      </w:pPr>
      <w:r>
        <w:rPr>
          <w:bCs/>
          <w:sz w:val="24"/>
        </w:rPr>
        <w:t>（5）</w:t>
      </w:r>
      <w:r>
        <w:rPr>
          <w:rFonts w:hint="eastAsia"/>
          <w:bCs/>
          <w:sz w:val="24"/>
        </w:rPr>
        <w:t>调整</w:t>
      </w:r>
      <w:r>
        <w:rPr>
          <w:bCs/>
          <w:sz w:val="24"/>
        </w:rPr>
        <w:t>基金管理人、基金托管人的报酬标准</w:t>
      </w:r>
      <w:r>
        <w:rPr>
          <w:rFonts w:hint="eastAsia"/>
          <w:bCs/>
          <w:sz w:val="24"/>
        </w:rPr>
        <w:t>或提高销售服务费率</w:t>
      </w:r>
      <w:r>
        <w:rPr>
          <w:bCs/>
          <w:sz w:val="24"/>
        </w:rPr>
        <w:t>；</w:t>
      </w:r>
    </w:p>
    <w:p w14:paraId="4D078ABB">
      <w:pPr>
        <w:spacing w:line="440" w:lineRule="atLeast"/>
        <w:ind w:firstLine="480" w:firstLineChars="200"/>
        <w:rPr>
          <w:bCs/>
          <w:sz w:val="24"/>
        </w:rPr>
      </w:pPr>
      <w:r>
        <w:rPr>
          <w:bCs/>
          <w:sz w:val="24"/>
        </w:rPr>
        <w:t>（6）变更基金类别；</w:t>
      </w:r>
    </w:p>
    <w:p w14:paraId="0BF72D85">
      <w:pPr>
        <w:spacing w:line="440" w:lineRule="atLeast"/>
        <w:ind w:firstLine="480" w:firstLineChars="200"/>
        <w:rPr>
          <w:bCs/>
          <w:sz w:val="24"/>
        </w:rPr>
      </w:pPr>
      <w:r>
        <w:rPr>
          <w:bCs/>
          <w:sz w:val="24"/>
        </w:rPr>
        <w:t>（7）本基金与其他基金的合并；</w:t>
      </w:r>
    </w:p>
    <w:p w14:paraId="3C93AEE0">
      <w:pPr>
        <w:spacing w:line="440" w:lineRule="atLeast"/>
        <w:ind w:firstLine="480" w:firstLineChars="200"/>
        <w:rPr>
          <w:bCs/>
          <w:sz w:val="24"/>
        </w:rPr>
      </w:pPr>
      <w:r>
        <w:rPr>
          <w:bCs/>
          <w:sz w:val="24"/>
        </w:rPr>
        <w:t>（8）变更基金投资目标、范围或策略；</w:t>
      </w:r>
    </w:p>
    <w:p w14:paraId="7A9AD83A">
      <w:pPr>
        <w:spacing w:line="440" w:lineRule="atLeast"/>
        <w:ind w:firstLine="480" w:firstLineChars="200"/>
        <w:rPr>
          <w:bCs/>
          <w:sz w:val="24"/>
        </w:rPr>
      </w:pPr>
      <w:r>
        <w:rPr>
          <w:bCs/>
          <w:sz w:val="24"/>
        </w:rPr>
        <w:t>（9）变更基金份额持有人大会程序；</w:t>
      </w:r>
    </w:p>
    <w:p w14:paraId="1B1B6BA7">
      <w:pPr>
        <w:spacing w:line="440" w:lineRule="atLeast"/>
        <w:ind w:firstLine="480" w:firstLineChars="200"/>
        <w:rPr>
          <w:bCs/>
          <w:sz w:val="24"/>
        </w:rPr>
      </w:pPr>
      <w:r>
        <w:rPr>
          <w:bCs/>
          <w:sz w:val="24"/>
        </w:rPr>
        <w:t>（10）基金管理人或基金托管人要求召开基金份额持有人大会；</w:t>
      </w:r>
    </w:p>
    <w:p w14:paraId="0056BEBF">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686BC65E">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622DCB40">
      <w:pPr>
        <w:spacing w:line="440" w:lineRule="atLeast"/>
        <w:ind w:firstLine="480" w:firstLineChars="200"/>
        <w:rPr>
          <w:bCs/>
          <w:sz w:val="24"/>
        </w:rPr>
      </w:pPr>
      <w:r>
        <w:rPr>
          <w:bCs/>
          <w:sz w:val="24"/>
        </w:rPr>
        <w:t>（13）法律法规、《基金合同》或中国证监会规定的其他应当召开基金份额持有人大会的事项。</w:t>
      </w:r>
    </w:p>
    <w:p w14:paraId="426036B3">
      <w:pPr>
        <w:spacing w:line="360" w:lineRule="auto"/>
        <w:ind w:firstLine="480" w:firstLineChars="200"/>
        <w:rPr>
          <w:bCs/>
          <w:sz w:val="24"/>
        </w:rPr>
      </w:pPr>
      <w:r>
        <w:rPr>
          <w:bCs/>
          <w:sz w:val="24"/>
        </w:rPr>
        <w:t>2、在法律法规</w:t>
      </w:r>
      <w:r>
        <w:rPr>
          <w:rFonts w:hint="eastAsia"/>
          <w:bCs/>
          <w:sz w:val="24"/>
        </w:rPr>
        <w:t>规定</w:t>
      </w:r>
      <w:r>
        <w:rPr>
          <w:bCs/>
          <w:sz w:val="24"/>
        </w:rPr>
        <w:t>和《基金合同》</w:t>
      </w:r>
      <w:r>
        <w:rPr>
          <w:rFonts w:hint="eastAsia"/>
          <w:bCs/>
          <w:sz w:val="24"/>
        </w:rPr>
        <w:t>约</w:t>
      </w:r>
      <w:r>
        <w:rPr>
          <w:bCs/>
          <w:sz w:val="24"/>
        </w:rPr>
        <w:t>定的范围内且对基金份额持有人利益无实质性不利影响的前提下</w:t>
      </w:r>
      <w:r>
        <w:rPr>
          <w:rFonts w:hint="eastAsia"/>
          <w:bCs/>
          <w:sz w:val="24"/>
        </w:rPr>
        <w:t>，</w:t>
      </w:r>
      <w:r>
        <w:rPr>
          <w:bCs/>
          <w:sz w:val="24"/>
        </w:rPr>
        <w:t>以下情况可由基金管理人和基金托管人协商后修改，不需召开基金份额持有人大会：</w:t>
      </w:r>
    </w:p>
    <w:p w14:paraId="1FDD7B2B">
      <w:pPr>
        <w:spacing w:line="360" w:lineRule="auto"/>
        <w:ind w:firstLine="480" w:firstLineChars="200"/>
        <w:rPr>
          <w:bCs/>
          <w:sz w:val="24"/>
        </w:rPr>
      </w:pPr>
      <w:r>
        <w:rPr>
          <w:bCs/>
          <w:sz w:val="24"/>
        </w:rPr>
        <w:t>（</w:t>
      </w:r>
      <w:r>
        <w:rPr>
          <w:rFonts w:hint="eastAsia"/>
          <w:bCs/>
          <w:sz w:val="24"/>
        </w:rPr>
        <w:t>1</w:t>
      </w:r>
      <w:r>
        <w:rPr>
          <w:bCs/>
          <w:sz w:val="24"/>
        </w:rPr>
        <w:t>）</w:t>
      </w:r>
      <w:r>
        <w:rPr>
          <w:rFonts w:hint="eastAsia"/>
          <w:bCs/>
          <w:sz w:val="24"/>
        </w:rPr>
        <w:t>调低基金销售</w:t>
      </w:r>
      <w:r>
        <w:rPr>
          <w:bCs/>
          <w:sz w:val="24"/>
        </w:rPr>
        <w:t>服务费</w:t>
      </w:r>
      <w:r>
        <w:rPr>
          <w:rFonts w:hint="eastAsia"/>
          <w:bCs/>
          <w:sz w:val="24"/>
        </w:rPr>
        <w:t>率</w:t>
      </w:r>
      <w:r>
        <w:rPr>
          <w:bCs/>
          <w:sz w:val="24"/>
        </w:rPr>
        <w:t>；</w:t>
      </w:r>
    </w:p>
    <w:p w14:paraId="3DBFFBF4">
      <w:pPr>
        <w:spacing w:line="360" w:lineRule="auto"/>
        <w:ind w:firstLine="480" w:firstLineChars="200"/>
        <w:rPr>
          <w:bCs/>
          <w:sz w:val="24"/>
        </w:rPr>
      </w:pPr>
      <w:r>
        <w:rPr>
          <w:rFonts w:hint="eastAsia"/>
          <w:bCs/>
          <w:sz w:val="24"/>
        </w:rPr>
        <w:t>（2）</w:t>
      </w:r>
      <w:r>
        <w:rPr>
          <w:bCs/>
          <w:sz w:val="24"/>
        </w:rPr>
        <w:t>法律法规要求增加的基金费用的收取；</w:t>
      </w:r>
    </w:p>
    <w:p w14:paraId="18EFC1F4">
      <w:pPr>
        <w:spacing w:line="360" w:lineRule="auto"/>
        <w:ind w:firstLine="480" w:firstLineChars="200"/>
        <w:rPr>
          <w:bCs/>
          <w:sz w:val="24"/>
        </w:rPr>
      </w:pPr>
      <w:r>
        <w:rPr>
          <w:rFonts w:hint="eastAsia"/>
          <w:bCs/>
          <w:sz w:val="24"/>
        </w:rPr>
        <w:t>（</w:t>
      </w:r>
      <w:r>
        <w:rPr>
          <w:bCs/>
          <w:sz w:val="24"/>
        </w:rPr>
        <w:t>3</w:t>
      </w:r>
      <w:r>
        <w:rPr>
          <w:rFonts w:hint="eastAsia"/>
          <w:bCs/>
          <w:sz w:val="24"/>
        </w:rPr>
        <w:t>）</w:t>
      </w:r>
      <w:r>
        <w:rPr>
          <w:bCs/>
          <w:sz w:val="24"/>
        </w:rPr>
        <w:t>在法律法规和《基金合同》规定的范围内调整本基金的申购费率、</w:t>
      </w:r>
      <w:r>
        <w:rPr>
          <w:rFonts w:hint="eastAsia"/>
          <w:bCs/>
          <w:sz w:val="24"/>
        </w:rPr>
        <w:t>在对现有基金份额持有人利益无实质性不利影响的前提下变更收费方式</w:t>
      </w:r>
      <w:r>
        <w:rPr>
          <w:bCs/>
          <w:sz w:val="24"/>
        </w:rPr>
        <w:t>；</w:t>
      </w:r>
    </w:p>
    <w:p w14:paraId="39CFF7D5">
      <w:pPr>
        <w:spacing w:line="360" w:lineRule="auto"/>
        <w:ind w:firstLine="480" w:firstLineChars="200"/>
        <w:rPr>
          <w:bCs/>
          <w:sz w:val="24"/>
        </w:rPr>
      </w:pPr>
      <w:r>
        <w:rPr>
          <w:bCs/>
          <w:sz w:val="24"/>
        </w:rPr>
        <w:t>（4）因相应的法律法规</w:t>
      </w:r>
      <w:r>
        <w:rPr>
          <w:rFonts w:hint="eastAsia"/>
          <w:bCs/>
          <w:sz w:val="24"/>
        </w:rPr>
        <w:t>、登记机构的相关业务规则</w:t>
      </w:r>
      <w:r>
        <w:rPr>
          <w:bCs/>
          <w:sz w:val="24"/>
        </w:rPr>
        <w:t>发生变动而应当对《基金合同》进行修改；</w:t>
      </w:r>
    </w:p>
    <w:p w14:paraId="2055CC97">
      <w:pPr>
        <w:spacing w:line="360" w:lineRule="auto"/>
        <w:ind w:firstLine="480" w:firstLineChars="200"/>
        <w:rPr>
          <w:bCs/>
          <w:sz w:val="24"/>
        </w:rPr>
      </w:pPr>
      <w:r>
        <w:rPr>
          <w:bCs/>
          <w:sz w:val="24"/>
        </w:rPr>
        <w:t>（5）对《基金合同》的修改对基金份额持有人利益无实质性不利影响或修改不涉及《基金合同》当事人权利义务关系发生</w:t>
      </w:r>
      <w:r>
        <w:rPr>
          <w:rFonts w:hint="eastAsia"/>
          <w:bCs/>
          <w:sz w:val="24"/>
        </w:rPr>
        <w:t>重大</w:t>
      </w:r>
      <w:r>
        <w:rPr>
          <w:bCs/>
          <w:sz w:val="24"/>
        </w:rPr>
        <w:t>变化；</w:t>
      </w:r>
    </w:p>
    <w:p w14:paraId="7E576D23">
      <w:pPr>
        <w:spacing w:line="360" w:lineRule="auto"/>
        <w:ind w:firstLine="480" w:firstLineChars="200"/>
        <w:rPr>
          <w:rFonts w:hint="eastAsia"/>
          <w:bCs/>
          <w:sz w:val="24"/>
        </w:rPr>
      </w:pPr>
      <w:r>
        <w:rPr>
          <w:rFonts w:hint="eastAsia"/>
          <w:bCs/>
          <w:sz w:val="24"/>
        </w:rPr>
        <w:t>（</w:t>
      </w:r>
      <w:r>
        <w:rPr>
          <w:bCs/>
          <w:sz w:val="24"/>
        </w:rPr>
        <w:t>6</w:t>
      </w:r>
      <w:r>
        <w:rPr>
          <w:rFonts w:hint="eastAsia"/>
          <w:bCs/>
          <w:sz w:val="24"/>
        </w:rPr>
        <w:t>）在法律法规允许的情况下，且在对现有基金份额持有人利益无实质性不利影响的前提下，在履行适当程序后，基金推出新业务或服务；</w:t>
      </w:r>
    </w:p>
    <w:p w14:paraId="07C3A5D0">
      <w:pPr>
        <w:spacing w:line="360" w:lineRule="auto"/>
        <w:ind w:firstLine="480" w:firstLineChars="200"/>
        <w:rPr>
          <w:rFonts w:hint="eastAsia"/>
          <w:bCs/>
          <w:sz w:val="24"/>
        </w:rPr>
      </w:pPr>
      <w:r>
        <w:rPr>
          <w:rFonts w:hint="eastAsia"/>
          <w:bCs/>
          <w:sz w:val="24"/>
        </w:rPr>
        <w:t>（</w:t>
      </w:r>
      <w:r>
        <w:rPr>
          <w:bCs/>
          <w:sz w:val="24"/>
        </w:rPr>
        <w:t>7</w:t>
      </w:r>
      <w:r>
        <w:rPr>
          <w:rFonts w:hint="eastAsia"/>
          <w:bCs/>
          <w:sz w:val="24"/>
        </w:rPr>
        <w:t>）在符合法律法规及本基金合同规定、并且对基金份额持有人利益无实质性不利影响的前提下，增加或调整本基金份额类别的设置、对基金份额分类办法及规则进行调整；</w:t>
      </w:r>
    </w:p>
    <w:p w14:paraId="667E9454">
      <w:pPr>
        <w:spacing w:line="360" w:lineRule="auto"/>
        <w:ind w:firstLine="480" w:firstLineChars="200"/>
        <w:rPr>
          <w:rFonts w:hint="eastAsia"/>
          <w:bCs/>
          <w:sz w:val="24"/>
        </w:rPr>
      </w:pPr>
      <w:r>
        <w:rPr>
          <w:rFonts w:hint="eastAsia"/>
          <w:bCs/>
          <w:sz w:val="24"/>
        </w:rPr>
        <w:t>（</w:t>
      </w:r>
      <w:r>
        <w:rPr>
          <w:bCs/>
          <w:sz w:val="24"/>
        </w:rPr>
        <w:t>8</w:t>
      </w:r>
      <w:r>
        <w:rPr>
          <w:rFonts w:hint="eastAsia"/>
          <w:bCs/>
          <w:sz w:val="24"/>
        </w:rPr>
        <w:t>）在不违反法律法规及对基金份额持有人利益无实质性不利影响的前提下，基金管理人、登记机构、销售机构调整有关基金认购、申购、赎回、转换、收益分配、非交易过户、转托管等业务的规则；</w:t>
      </w:r>
    </w:p>
    <w:p w14:paraId="7BBAEB98">
      <w:pPr>
        <w:spacing w:line="360" w:lineRule="auto"/>
        <w:ind w:firstLine="480" w:firstLineChars="200"/>
        <w:rPr>
          <w:bCs/>
          <w:sz w:val="24"/>
        </w:rPr>
      </w:pPr>
      <w:r>
        <w:rPr>
          <w:bCs/>
          <w:sz w:val="24"/>
        </w:rPr>
        <w:t>（9）按照法律法规和《基金合同》规定不需召开基金份额持有人大会的其他情形。</w:t>
      </w:r>
    </w:p>
    <w:p w14:paraId="74F15E4F">
      <w:pPr>
        <w:spacing w:line="360" w:lineRule="auto"/>
        <w:ind w:firstLine="480" w:firstLineChars="200"/>
        <w:outlineLvl w:val="2"/>
        <w:rPr>
          <w:bCs/>
          <w:sz w:val="24"/>
        </w:rPr>
      </w:pPr>
      <w:r>
        <w:rPr>
          <w:rFonts w:hAnsi="宋体"/>
          <w:bCs/>
          <w:sz w:val="24"/>
        </w:rPr>
        <w:t>（二）</w:t>
      </w:r>
      <w:r>
        <w:rPr>
          <w:rFonts w:hint="eastAsia" w:hAnsi="宋体"/>
          <w:bCs/>
          <w:sz w:val="24"/>
        </w:rPr>
        <w:t>会议</w:t>
      </w:r>
      <w:r>
        <w:rPr>
          <w:rFonts w:hAnsi="宋体"/>
          <w:bCs/>
          <w:sz w:val="24"/>
        </w:rPr>
        <w:t>召集人及召集方式</w:t>
      </w:r>
    </w:p>
    <w:p w14:paraId="046C9852">
      <w:pPr>
        <w:spacing w:line="360" w:lineRule="auto"/>
        <w:ind w:firstLine="480" w:firstLineChars="200"/>
        <w:rPr>
          <w:bCs/>
          <w:sz w:val="24"/>
        </w:rPr>
      </w:pPr>
      <w:r>
        <w:rPr>
          <w:bCs/>
          <w:sz w:val="24"/>
        </w:rPr>
        <w:t>1、除法律法规规定或《基金合同》另有约定外，基金份额持有人大会由基金管理人召集；</w:t>
      </w:r>
    </w:p>
    <w:p w14:paraId="61181A9D">
      <w:pPr>
        <w:spacing w:line="360" w:lineRule="auto"/>
        <w:ind w:firstLine="480" w:firstLineChars="200"/>
        <w:rPr>
          <w:bCs/>
          <w:sz w:val="24"/>
        </w:rPr>
      </w:pPr>
      <w:r>
        <w:rPr>
          <w:bCs/>
          <w:sz w:val="24"/>
        </w:rPr>
        <w:t>2、基金管理人未按规定召集或不能召</w:t>
      </w:r>
      <w:r>
        <w:rPr>
          <w:rFonts w:hint="eastAsia"/>
          <w:bCs/>
          <w:sz w:val="24"/>
        </w:rPr>
        <w:t>集</w:t>
      </w:r>
      <w:r>
        <w:rPr>
          <w:bCs/>
          <w:sz w:val="24"/>
        </w:rPr>
        <w:t>时，由基金托管人召集；</w:t>
      </w:r>
    </w:p>
    <w:p w14:paraId="72322CF7">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日内召开；基金管理人决定不召集，基金托管人仍认为有必要召开的，应当由基金托管人自行召集，并自出具书面决定之日起60日内召开并告知基金管理人，基金管理人应当配合</w:t>
      </w:r>
      <w:r>
        <w:rPr>
          <w:rFonts w:hint="eastAsia"/>
          <w:bCs/>
          <w:sz w:val="24"/>
        </w:rPr>
        <w:t>；</w:t>
      </w:r>
    </w:p>
    <w:p w14:paraId="0951D887">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日内决定是否召集，并书面告知提出提议的基金份额持有人代表和基金管理人；基金托管人决定召集的，应当自出具书面决定之日起60日内召开并告知基金管理人，基金管理人应当配合</w:t>
      </w:r>
      <w:r>
        <w:rPr>
          <w:rFonts w:hint="eastAsia"/>
          <w:bCs/>
          <w:sz w:val="24"/>
        </w:rPr>
        <w:t>；</w:t>
      </w:r>
    </w:p>
    <w:p w14:paraId="71A3F384">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01DD38EE">
      <w:pPr>
        <w:spacing w:line="360" w:lineRule="auto"/>
        <w:ind w:firstLine="480" w:firstLineChars="200"/>
        <w:rPr>
          <w:bCs/>
          <w:sz w:val="24"/>
        </w:rPr>
      </w:pPr>
      <w:r>
        <w:rPr>
          <w:bCs/>
          <w:sz w:val="24"/>
        </w:rPr>
        <w:t>6、基金份额持有人会议的召集人负责选择确定开会时间、地点、方式和权益登记日。</w:t>
      </w:r>
    </w:p>
    <w:p w14:paraId="4B3EFB99">
      <w:pPr>
        <w:spacing w:line="360" w:lineRule="auto"/>
        <w:ind w:firstLine="480" w:firstLineChars="200"/>
        <w:outlineLvl w:val="2"/>
        <w:rPr>
          <w:bCs/>
          <w:sz w:val="24"/>
        </w:rPr>
      </w:pPr>
      <w:r>
        <w:rPr>
          <w:rFonts w:hAnsi="宋体"/>
          <w:bCs/>
          <w:sz w:val="24"/>
        </w:rPr>
        <w:t>（三）召开基金份额持有人大会的通知时间、通知内容、通知方式</w:t>
      </w:r>
    </w:p>
    <w:p w14:paraId="26DBDC00">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日，在规定媒介公告。基金份额持有人大会通知应至少载明以下内容：</w:t>
      </w:r>
    </w:p>
    <w:p w14:paraId="7A7BBA26">
      <w:pPr>
        <w:spacing w:line="360" w:lineRule="auto"/>
        <w:ind w:firstLine="480" w:firstLineChars="200"/>
        <w:rPr>
          <w:bCs/>
          <w:sz w:val="24"/>
        </w:rPr>
      </w:pPr>
      <w:r>
        <w:rPr>
          <w:bCs/>
          <w:sz w:val="24"/>
        </w:rPr>
        <w:t>（1）会议召开的时间、地点和会议形式；</w:t>
      </w:r>
    </w:p>
    <w:p w14:paraId="41E314F9">
      <w:pPr>
        <w:spacing w:line="360" w:lineRule="auto"/>
        <w:ind w:firstLine="480" w:firstLineChars="200"/>
        <w:rPr>
          <w:bCs/>
          <w:sz w:val="24"/>
        </w:rPr>
      </w:pPr>
      <w:r>
        <w:rPr>
          <w:bCs/>
          <w:sz w:val="24"/>
        </w:rPr>
        <w:t>（2）会议拟审议的事项、议事程序和表决方式；</w:t>
      </w:r>
    </w:p>
    <w:p w14:paraId="5BDDDDE3">
      <w:pPr>
        <w:spacing w:line="360" w:lineRule="auto"/>
        <w:ind w:firstLine="480" w:firstLineChars="200"/>
        <w:rPr>
          <w:bCs/>
          <w:sz w:val="24"/>
        </w:rPr>
      </w:pPr>
      <w:r>
        <w:rPr>
          <w:bCs/>
          <w:sz w:val="24"/>
        </w:rPr>
        <w:t>（3）有权出席基金份额持有人大会的基金份额持有人的权益登记日；</w:t>
      </w:r>
    </w:p>
    <w:p w14:paraId="75ACB62D">
      <w:pPr>
        <w:spacing w:line="360" w:lineRule="auto"/>
        <w:ind w:firstLine="480" w:firstLineChars="200"/>
        <w:rPr>
          <w:rFonts w:hint="eastAsia"/>
          <w:bCs/>
          <w:sz w:val="24"/>
        </w:rPr>
      </w:pPr>
      <w:r>
        <w:rPr>
          <w:bCs/>
          <w:sz w:val="24"/>
        </w:rPr>
        <w:t>（4）授权委托证明的内容要求（包括但不限于代理人身份，代理权限和代理有效期限等）、送达时间和地点</w:t>
      </w:r>
      <w:r>
        <w:rPr>
          <w:rFonts w:hint="eastAsia"/>
          <w:bCs/>
          <w:sz w:val="24"/>
        </w:rPr>
        <w:t>；</w:t>
      </w:r>
    </w:p>
    <w:p w14:paraId="7968FBB6">
      <w:pPr>
        <w:spacing w:line="360" w:lineRule="auto"/>
        <w:ind w:firstLine="480" w:firstLineChars="200"/>
        <w:rPr>
          <w:bCs/>
          <w:sz w:val="24"/>
        </w:rPr>
      </w:pPr>
      <w:r>
        <w:rPr>
          <w:bCs/>
          <w:sz w:val="24"/>
        </w:rPr>
        <w:t>（5）会务常设联系人姓名及联系电话；</w:t>
      </w:r>
    </w:p>
    <w:p w14:paraId="1C309913">
      <w:pPr>
        <w:spacing w:line="360" w:lineRule="auto"/>
        <w:ind w:firstLine="480" w:firstLineChars="200"/>
        <w:rPr>
          <w:bCs/>
          <w:sz w:val="24"/>
        </w:rPr>
      </w:pPr>
      <w:r>
        <w:rPr>
          <w:bCs/>
          <w:sz w:val="24"/>
        </w:rPr>
        <w:t>（6）出席会议者必须准备的文件和必须履行的手续；</w:t>
      </w:r>
    </w:p>
    <w:p w14:paraId="38824BD6">
      <w:pPr>
        <w:spacing w:line="360" w:lineRule="auto"/>
        <w:ind w:firstLine="480" w:firstLineChars="200"/>
        <w:rPr>
          <w:bCs/>
          <w:sz w:val="24"/>
        </w:rPr>
      </w:pPr>
      <w:r>
        <w:rPr>
          <w:bCs/>
          <w:sz w:val="24"/>
        </w:rPr>
        <w:t>（7）召集人需要通知的其他事项。</w:t>
      </w:r>
    </w:p>
    <w:p w14:paraId="27842187">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8FB569B">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CFB2E2E">
      <w:pPr>
        <w:spacing w:line="360" w:lineRule="auto"/>
        <w:ind w:firstLine="480" w:firstLineChars="200"/>
        <w:outlineLvl w:val="2"/>
        <w:rPr>
          <w:bCs/>
          <w:sz w:val="24"/>
        </w:rPr>
      </w:pPr>
      <w:r>
        <w:rPr>
          <w:rFonts w:hAnsi="宋体"/>
          <w:bCs/>
          <w:sz w:val="24"/>
        </w:rPr>
        <w:t>（四）基金份额持有人出席会议的方式</w:t>
      </w:r>
    </w:p>
    <w:p w14:paraId="42E9BA4E">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通讯开会方式或法律法规、监管机构允许的其他方式召开，会议的召开方式由会议召集人确定。</w:t>
      </w:r>
    </w:p>
    <w:p w14:paraId="5848CA85">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48321347">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727B722">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2FB0DD98">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w:t>
      </w:r>
      <w:r>
        <w:rPr>
          <w:bCs/>
          <w:sz w:val="24"/>
        </w:rPr>
        <w:t>的形式</w:t>
      </w:r>
      <w:r>
        <w:rPr>
          <w:rFonts w:hint="eastAsia"/>
          <w:bCs/>
          <w:sz w:val="24"/>
        </w:rPr>
        <w:t>或基金合同约定的其他方式</w:t>
      </w:r>
      <w:r>
        <w:rPr>
          <w:bCs/>
          <w:sz w:val="24"/>
        </w:rPr>
        <w:t>在表决</w:t>
      </w:r>
      <w:r>
        <w:rPr>
          <w:rFonts w:hint="eastAsia"/>
          <w:bCs/>
          <w:sz w:val="24"/>
        </w:rPr>
        <w:t>截止</w:t>
      </w:r>
      <w:r>
        <w:rPr>
          <w:bCs/>
          <w:sz w:val="24"/>
        </w:rPr>
        <w:t>日以前送达至召集人指定的地址</w:t>
      </w:r>
      <w:r>
        <w:rPr>
          <w:rFonts w:hint="eastAsia"/>
          <w:bCs/>
          <w:sz w:val="24"/>
        </w:rPr>
        <w:t>或系统</w:t>
      </w:r>
      <w:r>
        <w:rPr>
          <w:bCs/>
          <w:sz w:val="24"/>
        </w:rPr>
        <w:t>。</w:t>
      </w:r>
    </w:p>
    <w:p w14:paraId="1A71C965">
      <w:pPr>
        <w:spacing w:line="360" w:lineRule="auto"/>
        <w:ind w:firstLine="480" w:firstLineChars="200"/>
        <w:rPr>
          <w:bCs/>
          <w:sz w:val="24"/>
        </w:rPr>
      </w:pPr>
      <w:r>
        <w:rPr>
          <w:bCs/>
          <w:sz w:val="24"/>
        </w:rPr>
        <w:t>在同时符合以下条件时，通讯开会的方式视为有效：</w:t>
      </w:r>
    </w:p>
    <w:p w14:paraId="1E7726CE">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17750780">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89A9E38">
      <w:pPr>
        <w:spacing w:line="360" w:lineRule="auto"/>
        <w:ind w:firstLine="540" w:firstLineChars="225"/>
        <w:rPr>
          <w:bCs/>
          <w:sz w:val="24"/>
        </w:rPr>
      </w:pPr>
      <w:r>
        <w:rPr>
          <w:bCs/>
          <w:sz w:val="24"/>
        </w:rPr>
        <w:t>（3）本人直接出具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bCs/>
          <w:sz w:val="24"/>
        </w:rPr>
        <w:t>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r>
        <w:rPr>
          <w:bCs/>
          <w:sz w:val="24"/>
        </w:rPr>
        <w:t>；</w:t>
      </w:r>
    </w:p>
    <w:p w14:paraId="3D09C9AE">
      <w:pPr>
        <w:spacing w:line="360" w:lineRule="auto"/>
        <w:ind w:firstLine="480" w:firstLineChars="200"/>
        <w:rPr>
          <w:bCs/>
          <w:sz w:val="24"/>
        </w:rPr>
      </w:pPr>
      <w:r>
        <w:rPr>
          <w:bCs/>
          <w:sz w:val="24"/>
        </w:rPr>
        <w:t>（4）上述第（3）项中直接出具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Pr>
          <w:rFonts w:hint="eastAsia"/>
          <w:bCs/>
          <w:sz w:val="24"/>
        </w:rPr>
        <w:t>。</w:t>
      </w:r>
    </w:p>
    <w:p w14:paraId="531C2336">
      <w:pPr>
        <w:spacing w:line="360" w:lineRule="auto"/>
        <w:ind w:firstLine="480" w:firstLineChars="200"/>
        <w:rPr>
          <w:rFonts w:hint="eastAsia"/>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3F3BFA63">
      <w:pPr>
        <w:spacing w:line="360" w:lineRule="auto"/>
        <w:ind w:firstLine="480" w:firstLineChars="200"/>
        <w:outlineLvl w:val="2"/>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14:paraId="77F4922A">
      <w:pPr>
        <w:spacing w:line="360" w:lineRule="auto"/>
        <w:ind w:firstLine="480" w:firstLineChars="200"/>
        <w:rPr>
          <w:bCs/>
          <w:sz w:val="24"/>
        </w:rPr>
      </w:pPr>
      <w:r>
        <w:rPr>
          <w:bCs/>
          <w:sz w:val="24"/>
        </w:rPr>
        <w:t>1、议事内容及提案权</w:t>
      </w:r>
    </w:p>
    <w:p w14:paraId="0CE4DF3E">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20B5744A">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5478F57B">
      <w:pPr>
        <w:spacing w:line="360" w:lineRule="auto"/>
        <w:ind w:firstLine="480" w:firstLineChars="200"/>
        <w:rPr>
          <w:bCs/>
          <w:sz w:val="24"/>
        </w:rPr>
      </w:pPr>
      <w:r>
        <w:rPr>
          <w:bCs/>
          <w:sz w:val="24"/>
        </w:rPr>
        <w:t>基金份额持有人大会不得对未事先公告的议事内容进行表决。</w:t>
      </w:r>
    </w:p>
    <w:p w14:paraId="1E9A72D5">
      <w:pPr>
        <w:spacing w:line="360" w:lineRule="auto"/>
        <w:ind w:firstLine="480" w:firstLineChars="200"/>
        <w:rPr>
          <w:bCs/>
          <w:sz w:val="24"/>
        </w:rPr>
      </w:pPr>
      <w:r>
        <w:rPr>
          <w:bCs/>
          <w:sz w:val="24"/>
        </w:rPr>
        <w:t>2、议事程序</w:t>
      </w:r>
    </w:p>
    <w:p w14:paraId="1FE6DFC2">
      <w:pPr>
        <w:spacing w:line="360" w:lineRule="auto"/>
        <w:ind w:firstLine="480" w:firstLineChars="200"/>
        <w:rPr>
          <w:bCs/>
          <w:sz w:val="24"/>
        </w:rPr>
      </w:pPr>
      <w:r>
        <w:rPr>
          <w:bCs/>
          <w:sz w:val="24"/>
        </w:rPr>
        <w:t>（1）现场开会</w:t>
      </w:r>
    </w:p>
    <w:p w14:paraId="701D05AD">
      <w:pPr>
        <w:spacing w:line="360" w:lineRule="auto"/>
        <w:ind w:firstLine="480" w:firstLineChars="20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177D816B">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3CCAA096">
      <w:pPr>
        <w:spacing w:line="360" w:lineRule="auto"/>
        <w:ind w:firstLine="480" w:firstLineChars="200"/>
        <w:rPr>
          <w:bCs/>
          <w:sz w:val="24"/>
        </w:rPr>
      </w:pPr>
      <w:r>
        <w:rPr>
          <w:bCs/>
          <w:sz w:val="24"/>
        </w:rPr>
        <w:t>（2）通讯开会</w:t>
      </w:r>
    </w:p>
    <w:p w14:paraId="2A668289">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1556A6C2">
      <w:pPr>
        <w:spacing w:line="360" w:lineRule="auto"/>
        <w:ind w:firstLine="480" w:firstLineChars="200"/>
        <w:outlineLvl w:val="2"/>
        <w:rPr>
          <w:rFonts w:hAnsi="宋体"/>
          <w:bCs/>
          <w:sz w:val="24"/>
        </w:rPr>
      </w:pPr>
      <w:r>
        <w:rPr>
          <w:rFonts w:hAnsi="宋体"/>
          <w:bCs/>
          <w:sz w:val="24"/>
        </w:rPr>
        <w:t>（六）</w:t>
      </w:r>
      <w:r>
        <w:rPr>
          <w:rFonts w:hint="eastAsia" w:hAnsi="宋体"/>
          <w:bCs/>
          <w:sz w:val="24"/>
        </w:rPr>
        <w:t>表决</w:t>
      </w:r>
    </w:p>
    <w:p w14:paraId="426A8E76">
      <w:pPr>
        <w:spacing w:line="360" w:lineRule="auto"/>
        <w:ind w:firstLine="480" w:firstLineChars="200"/>
        <w:rPr>
          <w:bCs/>
          <w:sz w:val="24"/>
        </w:rPr>
      </w:pPr>
      <w:r>
        <w:rPr>
          <w:bCs/>
          <w:sz w:val="24"/>
        </w:rPr>
        <w:t>基金份额持有人所持每份基金份额有一票表决权。</w:t>
      </w:r>
    </w:p>
    <w:p w14:paraId="24E00476">
      <w:pPr>
        <w:spacing w:line="360" w:lineRule="auto"/>
        <w:ind w:firstLine="480" w:firstLineChars="200"/>
        <w:rPr>
          <w:bCs/>
          <w:sz w:val="24"/>
        </w:rPr>
      </w:pPr>
      <w:r>
        <w:rPr>
          <w:bCs/>
          <w:sz w:val="24"/>
        </w:rPr>
        <w:t>基金份额持有人大会决议分为一般决议和特别决议：</w:t>
      </w:r>
    </w:p>
    <w:p w14:paraId="52900EEE">
      <w:pPr>
        <w:spacing w:line="360" w:lineRule="auto"/>
        <w:ind w:firstLine="480" w:firstLineChars="200"/>
        <w:rPr>
          <w:bCs/>
          <w:sz w:val="24"/>
        </w:rPr>
      </w:pPr>
      <w:r>
        <w:rPr>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486CD599">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）通过方可做出。转换基金运作方式、更换基金管理人或者基金托管人、终止《基金合同》、本基金与其他基金合并</w:t>
      </w:r>
      <w:r>
        <w:rPr>
          <w:rFonts w:hint="eastAsia"/>
          <w:bCs/>
          <w:sz w:val="24"/>
        </w:rPr>
        <w:t>（法律法规、《基金合同》和中国证监会另有规定的除外）</w:t>
      </w:r>
      <w:r>
        <w:rPr>
          <w:bCs/>
          <w:sz w:val="24"/>
        </w:rPr>
        <w:t>以特别决议通过方为有效。</w:t>
      </w:r>
    </w:p>
    <w:p w14:paraId="174E7BBA">
      <w:pPr>
        <w:spacing w:line="360" w:lineRule="auto"/>
        <w:ind w:firstLine="480" w:firstLineChars="200"/>
        <w:rPr>
          <w:bCs/>
          <w:sz w:val="24"/>
        </w:rPr>
      </w:pPr>
      <w:r>
        <w:rPr>
          <w:bCs/>
          <w:sz w:val="24"/>
        </w:rPr>
        <w:t>基金份额持有人大会采取记名方式进行投票表决。</w:t>
      </w:r>
    </w:p>
    <w:p w14:paraId="645FBAFB">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F91225D">
      <w:pPr>
        <w:spacing w:line="360" w:lineRule="auto"/>
        <w:ind w:firstLine="480" w:firstLineChars="200"/>
        <w:rPr>
          <w:bCs/>
          <w:sz w:val="24"/>
        </w:rPr>
      </w:pPr>
      <w:r>
        <w:rPr>
          <w:bCs/>
          <w:sz w:val="24"/>
        </w:rPr>
        <w:t>基金份额持有人大会的各项提案或同一项提案内并列的各项议题应当分开审议、逐项表决。</w:t>
      </w:r>
    </w:p>
    <w:p w14:paraId="4A704377">
      <w:pPr>
        <w:spacing w:line="360" w:lineRule="auto"/>
        <w:ind w:firstLine="480" w:firstLineChars="200"/>
        <w:outlineLvl w:val="2"/>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14:paraId="257599B2">
      <w:pPr>
        <w:spacing w:line="360" w:lineRule="auto"/>
        <w:ind w:firstLine="480" w:firstLineChars="200"/>
        <w:rPr>
          <w:bCs/>
          <w:sz w:val="24"/>
        </w:rPr>
      </w:pPr>
      <w:r>
        <w:rPr>
          <w:bCs/>
          <w:sz w:val="24"/>
        </w:rPr>
        <w:t>1、现场开会</w:t>
      </w:r>
    </w:p>
    <w:p w14:paraId="4DDF5EE3">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487DF755">
      <w:pPr>
        <w:spacing w:line="360" w:lineRule="auto"/>
        <w:ind w:firstLine="480" w:firstLineChars="200"/>
        <w:rPr>
          <w:bCs/>
          <w:sz w:val="24"/>
        </w:rPr>
      </w:pPr>
      <w:r>
        <w:rPr>
          <w:bCs/>
          <w:sz w:val="24"/>
        </w:rPr>
        <w:t>（2）监票人应当在基金份额持有人表决后立即进行清点并由大会主持人当场公布计票结果。</w:t>
      </w:r>
    </w:p>
    <w:p w14:paraId="4010EE48">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5BF01204">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0C2D05A5">
      <w:pPr>
        <w:spacing w:line="360" w:lineRule="auto"/>
        <w:ind w:firstLine="480" w:firstLineChars="200"/>
        <w:rPr>
          <w:bCs/>
          <w:sz w:val="24"/>
        </w:rPr>
      </w:pPr>
      <w:r>
        <w:rPr>
          <w:bCs/>
          <w:sz w:val="24"/>
        </w:rPr>
        <w:t>2、通讯开会</w:t>
      </w:r>
    </w:p>
    <w:p w14:paraId="54727762">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6F1099A8">
      <w:pPr>
        <w:spacing w:line="360" w:lineRule="auto"/>
        <w:ind w:firstLine="480" w:firstLineChars="200"/>
        <w:outlineLvl w:val="2"/>
        <w:rPr>
          <w:bCs/>
          <w:sz w:val="24"/>
        </w:rPr>
      </w:pPr>
      <w:r>
        <w:rPr>
          <w:rFonts w:hint="eastAsia"/>
          <w:bCs/>
          <w:sz w:val="24"/>
        </w:rPr>
        <w:t>（八）生效与公告</w:t>
      </w:r>
    </w:p>
    <w:p w14:paraId="2A5A6673">
      <w:pPr>
        <w:spacing w:line="360" w:lineRule="auto"/>
        <w:ind w:firstLine="480" w:firstLineChars="20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40914C79">
      <w:pPr>
        <w:spacing w:line="360" w:lineRule="auto"/>
        <w:ind w:firstLine="480" w:firstLineChars="200"/>
        <w:rPr>
          <w:bCs/>
          <w:sz w:val="24"/>
        </w:rPr>
      </w:pPr>
      <w:r>
        <w:rPr>
          <w:bCs/>
          <w:sz w:val="24"/>
        </w:rPr>
        <w:t>基金份额持有人大会的决议自表决通过之日起生效。</w:t>
      </w:r>
      <w:r>
        <w:rPr>
          <w:rFonts w:hint="eastAsia"/>
          <w:bCs/>
          <w:sz w:val="24"/>
        </w:rPr>
        <w:t>法律法规另有规定的，从其规定。</w:t>
      </w:r>
    </w:p>
    <w:p w14:paraId="53E77C32">
      <w:pPr>
        <w:spacing w:line="360" w:lineRule="auto"/>
        <w:ind w:firstLine="480" w:firstLineChars="200"/>
        <w:rPr>
          <w:bCs/>
          <w:sz w:val="24"/>
        </w:rPr>
      </w:pPr>
      <w:r>
        <w:rPr>
          <w:bCs/>
          <w:sz w:val="24"/>
        </w:rPr>
        <w:t>基金份额持有人大会决议自生效之日起</w:t>
      </w:r>
      <w:r>
        <w:rPr>
          <w:rFonts w:hint="eastAsia"/>
          <w:bCs/>
          <w:sz w:val="24"/>
        </w:rPr>
        <w:t>依照《信息披露办法》的规定</w:t>
      </w:r>
      <w:r>
        <w:rPr>
          <w:bCs/>
          <w:sz w:val="24"/>
        </w:rPr>
        <w:t>在</w:t>
      </w:r>
      <w:r>
        <w:rPr>
          <w:rFonts w:hint="eastAsia"/>
          <w:bCs/>
          <w:sz w:val="24"/>
        </w:rPr>
        <w:t>规定媒介</w:t>
      </w:r>
      <w:r>
        <w:rPr>
          <w:bCs/>
          <w:sz w:val="24"/>
        </w:rPr>
        <w:t>上公告。如果采用通讯方式进行表决，在公告基金份额持有人大会决议时，必须将公证书全文、公证机构、公证员姓名等一同公告。</w:t>
      </w:r>
    </w:p>
    <w:p w14:paraId="7E6EAD0C">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0B7BB38C">
      <w:pPr>
        <w:spacing w:line="360" w:lineRule="auto"/>
        <w:ind w:firstLine="480" w:firstLineChars="200"/>
        <w:outlineLvl w:val="2"/>
        <w:rPr>
          <w:rFonts w:hint="eastAsia"/>
          <w:bCs/>
          <w:sz w:val="24"/>
        </w:rPr>
      </w:pPr>
      <w:r>
        <w:rPr>
          <w:rFonts w:hint="eastAsia"/>
          <w:bCs/>
          <w:sz w:val="24"/>
        </w:rPr>
        <w:t>（九）实施侧袋机制期间基金份额持有人大会的特殊约定</w:t>
      </w:r>
    </w:p>
    <w:p w14:paraId="14D72E08">
      <w:pPr>
        <w:spacing w:line="360" w:lineRule="auto"/>
        <w:ind w:firstLine="480" w:firstLineChars="200"/>
        <w:rPr>
          <w:rFonts w:hint="eastAsia"/>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0985452">
      <w:pPr>
        <w:spacing w:line="360" w:lineRule="auto"/>
        <w:ind w:firstLine="480" w:firstLineChars="200"/>
        <w:rPr>
          <w:rFonts w:hint="eastAsia"/>
          <w:bCs/>
          <w:sz w:val="24"/>
        </w:rPr>
      </w:pPr>
      <w:r>
        <w:rPr>
          <w:rFonts w:hint="eastAsia"/>
          <w:bCs/>
          <w:sz w:val="24"/>
        </w:rPr>
        <w:t>1、基金份额持有人行使提议权、召集权、提名权所需单独或合计代表相关基金份额10%以上（含10%）；</w:t>
      </w:r>
    </w:p>
    <w:p w14:paraId="585B26D8">
      <w:pPr>
        <w:spacing w:line="360" w:lineRule="auto"/>
        <w:ind w:firstLine="480" w:firstLineChars="200"/>
        <w:rPr>
          <w:rFonts w:hint="eastAsia"/>
          <w:bCs/>
          <w:sz w:val="24"/>
        </w:rPr>
      </w:pPr>
      <w:r>
        <w:rPr>
          <w:rFonts w:hint="eastAsia"/>
          <w:bCs/>
          <w:sz w:val="24"/>
        </w:rPr>
        <w:t>2、现场开会的到会者在权益登记日代表的基金份额不少于本基金在权益登记日相关基金份额的二分之一（含二分之一）；</w:t>
      </w:r>
    </w:p>
    <w:p w14:paraId="0432B547">
      <w:pPr>
        <w:spacing w:line="360" w:lineRule="auto"/>
        <w:ind w:firstLine="480" w:firstLineChars="200"/>
        <w:rPr>
          <w:rFonts w:hint="eastAsia"/>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25E5AA03">
      <w:pPr>
        <w:spacing w:line="360" w:lineRule="auto"/>
        <w:ind w:firstLine="480" w:firstLineChars="200"/>
        <w:rPr>
          <w:rFonts w:hint="eastAsia"/>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2E234307">
      <w:pPr>
        <w:spacing w:line="360" w:lineRule="auto"/>
        <w:ind w:firstLine="480" w:firstLineChars="200"/>
        <w:rPr>
          <w:rFonts w:hint="eastAsia"/>
          <w:bCs/>
          <w:sz w:val="24"/>
        </w:rPr>
      </w:pPr>
      <w:r>
        <w:rPr>
          <w:rFonts w:hint="eastAsia"/>
          <w:bCs/>
          <w:sz w:val="24"/>
        </w:rPr>
        <w:t>5、现场开会由出席大会的基金份额持有人和代理人所持表决权的50%以上（含50%）选举产生一名基金份额持有人或</w:t>
      </w:r>
      <w:r>
        <w:rPr>
          <w:bCs/>
          <w:sz w:val="24"/>
        </w:rPr>
        <w:t>代理人</w:t>
      </w:r>
      <w:r>
        <w:rPr>
          <w:rFonts w:hint="eastAsia"/>
          <w:bCs/>
          <w:sz w:val="24"/>
        </w:rPr>
        <w:t>作为该次基金份额持有人大会的主持人；</w:t>
      </w:r>
    </w:p>
    <w:p w14:paraId="2C0BEAB3">
      <w:pPr>
        <w:spacing w:line="360" w:lineRule="auto"/>
        <w:ind w:firstLine="480" w:firstLineChars="200"/>
        <w:rPr>
          <w:rFonts w:hint="eastAsia"/>
          <w:bCs/>
          <w:sz w:val="24"/>
        </w:rPr>
      </w:pPr>
      <w:r>
        <w:rPr>
          <w:rFonts w:hint="eastAsia"/>
          <w:bCs/>
          <w:sz w:val="24"/>
        </w:rPr>
        <w:t>6、一般决议须经参加大会的基金份额持有人或其代理人所持表决权的二分之一以上（含二分之一）通过；</w:t>
      </w:r>
    </w:p>
    <w:p w14:paraId="299823B9">
      <w:pPr>
        <w:spacing w:line="360" w:lineRule="auto"/>
        <w:ind w:firstLine="480" w:firstLineChars="200"/>
        <w:rPr>
          <w:rFonts w:hint="eastAsia"/>
          <w:bCs/>
          <w:sz w:val="24"/>
        </w:rPr>
      </w:pPr>
      <w:r>
        <w:rPr>
          <w:rFonts w:hint="eastAsia"/>
          <w:bCs/>
          <w:sz w:val="24"/>
        </w:rPr>
        <w:t>7、特别决议应当经参加大会的基金份额持有人或其代理人所持表决权的三分之二以上（含三分之二）通过。</w:t>
      </w:r>
    </w:p>
    <w:p w14:paraId="26B28608">
      <w:pPr>
        <w:spacing w:line="360" w:lineRule="auto"/>
        <w:ind w:firstLine="480" w:firstLineChars="200"/>
        <w:rPr>
          <w:bCs/>
          <w:sz w:val="24"/>
        </w:rPr>
      </w:pPr>
      <w:r>
        <w:rPr>
          <w:rFonts w:hint="eastAsia"/>
          <w:bCs/>
          <w:sz w:val="24"/>
        </w:rPr>
        <w:t>同一主侧袋账户内的每份基金份额具有平等的表决权。</w:t>
      </w:r>
    </w:p>
    <w:p w14:paraId="1EA6F9ED">
      <w:pPr>
        <w:spacing w:line="360" w:lineRule="auto"/>
        <w:ind w:firstLine="480" w:firstLineChars="200"/>
        <w:rPr>
          <w:bCs/>
          <w:sz w:val="24"/>
        </w:rPr>
      </w:pPr>
      <w:r>
        <w:rPr>
          <w:rFonts w:hint="eastAsia"/>
          <w:bCs/>
          <w:sz w:val="24"/>
        </w:rPr>
        <w:t>十</w:t>
      </w:r>
      <w:r>
        <w:rPr>
          <w:bCs/>
          <w:sz w:val="24"/>
        </w:rPr>
        <w:t>、</w:t>
      </w:r>
      <w:r>
        <w:rPr>
          <w:rFonts w:hint="eastAsia"/>
          <w:bCs/>
          <w:sz w:val="24"/>
        </w:rPr>
        <w:t>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bookmarkEnd w:id="0"/>
    </w:p>
    <w:p w14:paraId="6F907992">
      <w:pPr>
        <w:spacing w:line="360" w:lineRule="auto"/>
        <w:ind w:firstLine="482" w:firstLineChars="200"/>
        <w:outlineLvl w:val="1"/>
        <w:rPr>
          <w:rFonts w:ascii="宋体" w:hAnsi="宋体"/>
          <w:b/>
          <w:sz w:val="24"/>
          <w:szCs w:val="24"/>
        </w:rPr>
      </w:pPr>
      <w:r>
        <w:rPr>
          <w:rFonts w:ascii="宋体" w:hAnsi="宋体"/>
          <w:b/>
          <w:sz w:val="24"/>
          <w:szCs w:val="24"/>
        </w:rPr>
        <w:t>三、基金收益分配原则、执行方式</w:t>
      </w:r>
    </w:p>
    <w:p w14:paraId="44937A94">
      <w:pPr>
        <w:spacing w:line="360" w:lineRule="auto"/>
        <w:ind w:firstLine="480" w:firstLineChars="200"/>
        <w:outlineLvl w:val="2"/>
        <w:rPr>
          <w:rFonts w:ascii="宋体" w:hAnsi="宋体"/>
          <w:sz w:val="24"/>
          <w:szCs w:val="24"/>
        </w:rPr>
      </w:pPr>
      <w:r>
        <w:rPr>
          <w:rFonts w:ascii="宋体" w:hAnsi="宋体"/>
          <w:sz w:val="24"/>
          <w:szCs w:val="24"/>
        </w:rPr>
        <w:t>（一）基金收益分配原则</w:t>
      </w:r>
    </w:p>
    <w:p w14:paraId="3B5C9958">
      <w:pPr>
        <w:spacing w:line="360" w:lineRule="auto"/>
        <w:ind w:firstLine="540" w:firstLineChars="225"/>
        <w:rPr>
          <w:rFonts w:hint="eastAsia"/>
          <w:bCs/>
          <w:sz w:val="24"/>
        </w:rPr>
      </w:pPr>
      <w:r>
        <w:rPr>
          <w:rFonts w:hint="eastAsia"/>
          <w:bCs/>
          <w:sz w:val="24"/>
        </w:rPr>
        <w:t>1、由于本基金A类基金份额不收取销售服务费，C类基金份额收取销售服务费，各基金份额类别对应的可供分配利润将有所不同；</w:t>
      </w:r>
    </w:p>
    <w:p w14:paraId="30B85668">
      <w:pPr>
        <w:spacing w:line="360" w:lineRule="auto"/>
        <w:ind w:firstLine="540" w:firstLineChars="225"/>
        <w:rPr>
          <w:bCs/>
          <w:sz w:val="24"/>
        </w:rPr>
      </w:pPr>
      <w:r>
        <w:rPr>
          <w:bCs/>
          <w:sz w:val="24"/>
        </w:rPr>
        <w:t>2、在符合有关基金分红条件的前提下，</w:t>
      </w:r>
      <w:r>
        <w:rPr>
          <w:rFonts w:hint="eastAsia"/>
          <w:bCs/>
          <w:sz w:val="24"/>
        </w:rPr>
        <w:t>本基金管理人可以根据实际情况进行收益分配，具体分配方案以公告为准，</w:t>
      </w:r>
      <w:r>
        <w:rPr>
          <w:bCs/>
          <w:sz w:val="24"/>
        </w:rPr>
        <w:t>若《基金合同》生效不满3个月可不进行收益分配；</w:t>
      </w:r>
    </w:p>
    <w:p w14:paraId="69B6D862">
      <w:pPr>
        <w:spacing w:line="360" w:lineRule="auto"/>
        <w:ind w:firstLine="540" w:firstLineChars="225"/>
        <w:rPr>
          <w:bCs/>
          <w:sz w:val="24"/>
        </w:rPr>
      </w:pPr>
      <w:r>
        <w:rPr>
          <w:bCs/>
          <w:sz w:val="24"/>
        </w:rPr>
        <w:t>3、本基金收益分配方式分两种：现金分红与红利再投资，投资者可选择现金红利或将现金红利自动转为</w:t>
      </w:r>
      <w:r>
        <w:rPr>
          <w:rFonts w:hint="eastAsia"/>
          <w:bCs/>
          <w:sz w:val="24"/>
        </w:rPr>
        <w:t>相应类别的</w:t>
      </w:r>
      <w:r>
        <w:rPr>
          <w:bCs/>
          <w:sz w:val="24"/>
        </w:rPr>
        <w:t>基金份额进行再投资；若投资者不选择，本基金默认的收益分配方式是现金分红；</w:t>
      </w:r>
      <w:r>
        <w:rPr>
          <w:rFonts w:hAnsi="宋体"/>
          <w:sz w:val="24"/>
        </w:rPr>
        <w:t>基金份额持有人可对</w:t>
      </w:r>
      <w:r>
        <w:rPr>
          <w:rFonts w:hint="eastAsia" w:hAnsi="宋体"/>
          <w:sz w:val="24"/>
        </w:rPr>
        <w:t>其持有的</w:t>
      </w:r>
      <w:r>
        <w:rPr>
          <w:sz w:val="24"/>
        </w:rPr>
        <w:t>A</w:t>
      </w:r>
      <w:r>
        <w:rPr>
          <w:rFonts w:hAnsi="宋体"/>
          <w:sz w:val="24"/>
        </w:rPr>
        <w:t>类</w:t>
      </w:r>
      <w:r>
        <w:rPr>
          <w:rFonts w:hint="eastAsia"/>
          <w:bCs/>
          <w:sz w:val="24"/>
        </w:rPr>
        <w:t>基金份额</w:t>
      </w:r>
      <w:r>
        <w:rPr>
          <w:rFonts w:hint="eastAsia" w:hAnsi="宋体"/>
          <w:sz w:val="24"/>
        </w:rPr>
        <w:t>和</w:t>
      </w:r>
      <w:r>
        <w:rPr>
          <w:sz w:val="24"/>
        </w:rPr>
        <w:t>C</w:t>
      </w:r>
      <w:r>
        <w:rPr>
          <w:rFonts w:hAnsi="宋体"/>
          <w:sz w:val="24"/>
        </w:rPr>
        <w:t>类基金份额分别选择不同的收益分配方式</w:t>
      </w:r>
      <w:r>
        <w:rPr>
          <w:rFonts w:hint="eastAsia" w:ascii="宋体" w:hAnsi="宋体"/>
          <w:sz w:val="24"/>
        </w:rPr>
        <w:t>；</w:t>
      </w:r>
    </w:p>
    <w:p w14:paraId="6FF16132">
      <w:pPr>
        <w:spacing w:line="360" w:lineRule="auto"/>
        <w:ind w:firstLine="540" w:firstLineChars="225"/>
        <w:rPr>
          <w:bCs/>
          <w:sz w:val="24"/>
        </w:rPr>
      </w:pPr>
      <w:r>
        <w:rPr>
          <w:bCs/>
          <w:sz w:val="24"/>
        </w:rPr>
        <w:t>4、基金收益分配后</w:t>
      </w:r>
      <w:r>
        <w:rPr>
          <w:rFonts w:hint="eastAsia"/>
          <w:bCs/>
          <w:sz w:val="24"/>
        </w:rPr>
        <w:t>任一类</w:t>
      </w:r>
      <w:r>
        <w:rPr>
          <w:bCs/>
          <w:sz w:val="24"/>
        </w:rPr>
        <w:t>基金份额净值不能低于面值；即基金收益分配基准日的</w:t>
      </w:r>
      <w:r>
        <w:rPr>
          <w:rFonts w:hint="eastAsia"/>
          <w:bCs/>
          <w:sz w:val="24"/>
        </w:rPr>
        <w:t>任一类</w:t>
      </w:r>
      <w:r>
        <w:rPr>
          <w:bCs/>
          <w:sz w:val="24"/>
        </w:rPr>
        <w:t>基金份额净值减去</w:t>
      </w:r>
      <w:r>
        <w:rPr>
          <w:rFonts w:hint="eastAsia"/>
          <w:bCs/>
          <w:sz w:val="24"/>
        </w:rPr>
        <w:t>该类</w:t>
      </w:r>
      <w:r>
        <w:rPr>
          <w:bCs/>
          <w:sz w:val="24"/>
        </w:rPr>
        <w:t>每单位基金份额收益分配金额后不能低于面值</w:t>
      </w:r>
      <w:r>
        <w:rPr>
          <w:rFonts w:hint="eastAsia"/>
          <w:bCs/>
          <w:sz w:val="24"/>
        </w:rPr>
        <w:t>；</w:t>
      </w:r>
    </w:p>
    <w:p w14:paraId="763D1E4A">
      <w:pPr>
        <w:spacing w:line="360" w:lineRule="auto"/>
        <w:ind w:firstLine="540" w:firstLineChars="225"/>
        <w:rPr>
          <w:bCs/>
          <w:sz w:val="24"/>
        </w:rPr>
      </w:pPr>
      <w:r>
        <w:rPr>
          <w:bCs/>
          <w:sz w:val="24"/>
        </w:rPr>
        <w:t>5、</w:t>
      </w:r>
      <w:r>
        <w:rPr>
          <w:rFonts w:hint="eastAsia"/>
          <w:bCs/>
          <w:sz w:val="24"/>
        </w:rPr>
        <w:t>本基金同一基金份额类别的</w:t>
      </w:r>
      <w:r>
        <w:rPr>
          <w:bCs/>
          <w:sz w:val="24"/>
        </w:rPr>
        <w:t>每一基金份额享有同等分配权；</w:t>
      </w:r>
    </w:p>
    <w:p w14:paraId="74E54C7A">
      <w:pPr>
        <w:spacing w:line="360" w:lineRule="auto"/>
        <w:ind w:firstLine="540" w:firstLineChars="225"/>
        <w:rPr>
          <w:bCs/>
          <w:sz w:val="24"/>
        </w:rPr>
      </w:pPr>
      <w:r>
        <w:rPr>
          <w:bCs/>
          <w:sz w:val="24"/>
        </w:rPr>
        <w:t>6、法律法规或监管机关另有规定的，从其规定。</w:t>
      </w:r>
    </w:p>
    <w:p w14:paraId="31C7D02D">
      <w:pPr>
        <w:spacing w:line="360" w:lineRule="auto"/>
        <w:ind w:firstLine="540" w:firstLineChars="225"/>
        <w:outlineLvl w:val="2"/>
        <w:rPr>
          <w:bCs/>
          <w:sz w:val="24"/>
        </w:rPr>
      </w:pPr>
      <w:r>
        <w:rPr>
          <w:bCs/>
          <w:sz w:val="24"/>
        </w:rPr>
        <w:t>（二）收益分配方案</w:t>
      </w:r>
    </w:p>
    <w:p w14:paraId="7EB14093">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117FFFC8">
      <w:pPr>
        <w:spacing w:line="360" w:lineRule="auto"/>
        <w:ind w:firstLine="540" w:firstLineChars="225"/>
        <w:outlineLvl w:val="2"/>
        <w:rPr>
          <w:bCs/>
          <w:sz w:val="24"/>
        </w:rPr>
      </w:pPr>
      <w:r>
        <w:rPr>
          <w:bCs/>
          <w:sz w:val="24"/>
        </w:rPr>
        <w:t>（三）收益分配方案的确定、公告与实施</w:t>
      </w:r>
    </w:p>
    <w:p w14:paraId="272A55A4">
      <w:pPr>
        <w:spacing w:line="360" w:lineRule="auto"/>
        <w:ind w:firstLine="540" w:firstLineChars="225"/>
        <w:rPr>
          <w:bCs/>
          <w:sz w:val="24"/>
        </w:rPr>
      </w:pPr>
      <w:r>
        <w:rPr>
          <w:bCs/>
          <w:sz w:val="24"/>
        </w:rPr>
        <w:t>本基金收益分配方案由基金管理人拟定，并由基金托管人复核，</w:t>
      </w:r>
      <w:r>
        <w:rPr>
          <w:rFonts w:hint="eastAsia"/>
          <w:bCs/>
          <w:sz w:val="24"/>
        </w:rPr>
        <w:t>依照《信息披露办法》的规定</w:t>
      </w:r>
      <w:r>
        <w:rPr>
          <w:bCs/>
          <w:sz w:val="24"/>
        </w:rPr>
        <w:t>在规定媒介公告。</w:t>
      </w:r>
    </w:p>
    <w:p w14:paraId="26BED5BF">
      <w:pPr>
        <w:spacing w:line="360" w:lineRule="auto"/>
        <w:ind w:firstLine="540" w:firstLineChars="225"/>
        <w:rPr>
          <w:rFonts w:hint="eastAsia"/>
          <w:bCs/>
          <w:sz w:val="24"/>
        </w:rPr>
      </w:pPr>
      <w:r>
        <w:rPr>
          <w:rFonts w:hint="eastAsia"/>
          <w:bCs/>
          <w:sz w:val="24"/>
        </w:rPr>
        <w:t>法律法规或监管机关另有规定的，从其规定。</w:t>
      </w:r>
    </w:p>
    <w:p w14:paraId="6210E6BD">
      <w:pPr>
        <w:spacing w:line="360" w:lineRule="auto"/>
        <w:ind w:firstLine="482" w:firstLineChars="200"/>
        <w:outlineLvl w:val="1"/>
        <w:rPr>
          <w:b/>
          <w:bCs/>
          <w:sz w:val="24"/>
        </w:rPr>
      </w:pPr>
      <w:r>
        <w:rPr>
          <w:b/>
          <w:bCs/>
          <w:sz w:val="24"/>
        </w:rPr>
        <w:t>四、与基金财产管理、运用有关费用的提取、支付方式与比例</w:t>
      </w:r>
    </w:p>
    <w:p w14:paraId="3AE154C7">
      <w:pPr>
        <w:spacing w:line="360" w:lineRule="auto"/>
        <w:ind w:firstLine="480" w:firstLineChars="200"/>
        <w:outlineLvl w:val="2"/>
        <w:rPr>
          <w:bCs/>
          <w:sz w:val="24"/>
        </w:rPr>
      </w:pPr>
      <w:r>
        <w:rPr>
          <w:rFonts w:hint="eastAsia"/>
          <w:bCs/>
          <w:sz w:val="24"/>
        </w:rPr>
        <w:t>（一）基金费用的种类</w:t>
      </w:r>
    </w:p>
    <w:p w14:paraId="3DFCCABD">
      <w:pPr>
        <w:spacing w:line="360" w:lineRule="auto"/>
        <w:ind w:firstLine="480" w:firstLineChars="200"/>
        <w:rPr>
          <w:bCs/>
          <w:sz w:val="24"/>
        </w:rPr>
      </w:pPr>
      <w:r>
        <w:rPr>
          <w:bCs/>
          <w:sz w:val="24"/>
        </w:rPr>
        <w:t>1、基金管理人的管理费；</w:t>
      </w:r>
    </w:p>
    <w:p w14:paraId="769AA4E8">
      <w:pPr>
        <w:spacing w:line="360" w:lineRule="auto"/>
        <w:ind w:firstLine="480" w:firstLineChars="200"/>
        <w:rPr>
          <w:bCs/>
          <w:sz w:val="24"/>
        </w:rPr>
      </w:pPr>
      <w:r>
        <w:rPr>
          <w:bCs/>
          <w:sz w:val="24"/>
        </w:rPr>
        <w:t>2、基金托管人的托管费；</w:t>
      </w:r>
    </w:p>
    <w:p w14:paraId="142B0ED0">
      <w:pPr>
        <w:spacing w:line="360" w:lineRule="auto"/>
        <w:ind w:firstLine="480" w:firstLineChars="200"/>
        <w:rPr>
          <w:bCs/>
          <w:sz w:val="24"/>
        </w:rPr>
      </w:pPr>
      <w:r>
        <w:rPr>
          <w:bCs/>
          <w:sz w:val="24"/>
        </w:rPr>
        <w:t>3、《基金合同》生效后与基金相关的信息披露费用；</w:t>
      </w:r>
    </w:p>
    <w:p w14:paraId="7F497664">
      <w:pPr>
        <w:spacing w:line="360" w:lineRule="auto"/>
        <w:ind w:firstLine="480" w:firstLineChars="200"/>
        <w:rPr>
          <w:bCs/>
          <w:sz w:val="24"/>
        </w:rPr>
      </w:pPr>
      <w:r>
        <w:rPr>
          <w:bCs/>
          <w:sz w:val="24"/>
        </w:rPr>
        <w:t>4、《基金合同》生效后与基金相关的会计师费、律师费</w:t>
      </w:r>
      <w:r>
        <w:rPr>
          <w:rFonts w:hint="eastAsia"/>
          <w:bCs/>
          <w:sz w:val="24"/>
        </w:rPr>
        <w:t>、</w:t>
      </w:r>
      <w:r>
        <w:rPr>
          <w:bCs/>
          <w:sz w:val="24"/>
        </w:rPr>
        <w:t>仲裁费和诉讼费；</w:t>
      </w:r>
    </w:p>
    <w:p w14:paraId="41BB450D">
      <w:pPr>
        <w:spacing w:line="360" w:lineRule="auto"/>
        <w:ind w:firstLine="480" w:firstLineChars="200"/>
        <w:rPr>
          <w:bCs/>
          <w:sz w:val="24"/>
        </w:rPr>
      </w:pPr>
      <w:r>
        <w:rPr>
          <w:bCs/>
          <w:sz w:val="24"/>
        </w:rPr>
        <w:t>5、基金份额持有人大会费用；</w:t>
      </w:r>
    </w:p>
    <w:p w14:paraId="517EAA00">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726DB565">
      <w:pPr>
        <w:spacing w:line="360" w:lineRule="auto"/>
        <w:ind w:firstLine="480" w:firstLineChars="200"/>
        <w:rPr>
          <w:bCs/>
          <w:sz w:val="24"/>
        </w:rPr>
      </w:pPr>
      <w:r>
        <w:rPr>
          <w:bCs/>
          <w:sz w:val="24"/>
        </w:rPr>
        <w:t>7、基金的银行汇划费用；</w:t>
      </w:r>
    </w:p>
    <w:p w14:paraId="41AE9436">
      <w:pPr>
        <w:spacing w:line="360" w:lineRule="auto"/>
        <w:ind w:firstLine="480" w:firstLineChars="200"/>
        <w:rPr>
          <w:bCs/>
          <w:sz w:val="24"/>
        </w:rPr>
      </w:pPr>
      <w:r>
        <w:rPr>
          <w:bCs/>
          <w:sz w:val="24"/>
        </w:rPr>
        <w:t>8、</w:t>
      </w:r>
      <w:r>
        <w:rPr>
          <w:rFonts w:hint="eastAsia"/>
          <w:bCs/>
          <w:sz w:val="24"/>
        </w:rPr>
        <w:t>基金的开户费用、账户维护费用；</w:t>
      </w:r>
    </w:p>
    <w:p w14:paraId="2133962E">
      <w:pPr>
        <w:spacing w:line="360" w:lineRule="auto"/>
        <w:ind w:firstLine="480" w:firstLineChars="200"/>
        <w:rPr>
          <w:bCs/>
          <w:sz w:val="24"/>
        </w:rPr>
      </w:pPr>
      <w:r>
        <w:rPr>
          <w:rFonts w:hint="eastAsia"/>
          <w:bCs/>
          <w:sz w:val="24"/>
        </w:rPr>
        <w:t>9</w:t>
      </w:r>
      <w:r>
        <w:rPr>
          <w:bCs/>
          <w:sz w:val="24"/>
        </w:rPr>
        <w:t>、</w:t>
      </w:r>
      <w:r>
        <w:rPr>
          <w:rFonts w:hint="eastAsia"/>
          <w:bCs/>
          <w:sz w:val="24"/>
        </w:rPr>
        <w:t>因投资港股通标的股票而产生的各项合理费用；</w:t>
      </w:r>
    </w:p>
    <w:p w14:paraId="38F02FA0">
      <w:pPr>
        <w:spacing w:line="360" w:lineRule="auto"/>
        <w:ind w:firstLine="480" w:firstLineChars="200"/>
        <w:rPr>
          <w:rFonts w:hint="eastAsia"/>
          <w:bCs/>
          <w:sz w:val="24"/>
        </w:rPr>
      </w:pPr>
      <w:r>
        <w:rPr>
          <w:bCs/>
          <w:sz w:val="24"/>
        </w:rPr>
        <w:t>10、</w:t>
      </w:r>
      <w:r>
        <w:rPr>
          <w:rFonts w:hint="eastAsia"/>
          <w:bCs/>
          <w:sz w:val="24"/>
        </w:rPr>
        <w:t>本基金从C类基金份额的基金财产中计提的销售服务费；</w:t>
      </w:r>
    </w:p>
    <w:p w14:paraId="0A40F977">
      <w:pPr>
        <w:spacing w:line="360" w:lineRule="auto"/>
        <w:ind w:firstLine="480" w:firstLineChars="200"/>
        <w:rPr>
          <w:bCs/>
          <w:sz w:val="24"/>
        </w:rPr>
      </w:pPr>
      <w:r>
        <w:rPr>
          <w:bCs/>
          <w:sz w:val="24"/>
        </w:rPr>
        <w:t>11、按照国家有关规定和《基金合同》约定，可以在基金财产中列支的其他费用。</w:t>
      </w:r>
    </w:p>
    <w:p w14:paraId="0139A8A7">
      <w:pPr>
        <w:spacing w:line="360" w:lineRule="auto"/>
        <w:ind w:firstLine="480" w:firstLineChars="200"/>
        <w:outlineLvl w:val="2"/>
        <w:rPr>
          <w:bCs/>
          <w:sz w:val="24"/>
        </w:rPr>
      </w:pPr>
      <w:r>
        <w:rPr>
          <w:rFonts w:hint="eastAsia"/>
          <w:bCs/>
          <w:sz w:val="24"/>
        </w:rPr>
        <w:t>（二）基金费用计提方法、计提标准和支付方式</w:t>
      </w:r>
    </w:p>
    <w:p w14:paraId="22562FDF">
      <w:pPr>
        <w:spacing w:line="360" w:lineRule="auto"/>
        <w:ind w:firstLine="480" w:firstLineChars="200"/>
        <w:rPr>
          <w:bCs/>
          <w:sz w:val="24"/>
        </w:rPr>
      </w:pPr>
      <w:r>
        <w:rPr>
          <w:bCs/>
          <w:sz w:val="24"/>
        </w:rPr>
        <w:t>1、基金管理人的管理费</w:t>
      </w:r>
    </w:p>
    <w:p w14:paraId="1D90B2AF">
      <w:pPr>
        <w:spacing w:line="360" w:lineRule="auto"/>
        <w:ind w:firstLine="480" w:firstLineChars="200"/>
        <w:rPr>
          <w:rFonts w:hint="eastAsia"/>
          <w:bCs/>
          <w:sz w:val="24"/>
        </w:rPr>
      </w:pPr>
      <w:r>
        <w:rPr>
          <w:rFonts w:hint="eastAsia"/>
          <w:bCs/>
          <w:sz w:val="24"/>
        </w:rPr>
        <w:t>本基金的管理费按前一日基金资产净值的1.2%年费率计提。管理费的计算方法如下：</w:t>
      </w:r>
    </w:p>
    <w:p w14:paraId="055B502A">
      <w:pPr>
        <w:spacing w:line="360" w:lineRule="auto"/>
        <w:ind w:firstLine="480" w:firstLineChars="200"/>
        <w:rPr>
          <w:rFonts w:hint="eastAsia"/>
          <w:bCs/>
          <w:sz w:val="24"/>
        </w:rPr>
      </w:pPr>
      <w:r>
        <w:rPr>
          <w:rFonts w:hint="eastAsia"/>
          <w:bCs/>
          <w:sz w:val="24"/>
        </w:rPr>
        <w:t>H＝E×年管理费率÷当年天数</w:t>
      </w:r>
    </w:p>
    <w:p w14:paraId="7F95BF82">
      <w:pPr>
        <w:spacing w:line="360" w:lineRule="auto"/>
        <w:ind w:firstLine="480" w:firstLineChars="200"/>
        <w:rPr>
          <w:rFonts w:hint="eastAsia"/>
          <w:bCs/>
          <w:sz w:val="24"/>
        </w:rPr>
      </w:pPr>
      <w:r>
        <w:rPr>
          <w:rFonts w:hint="eastAsia"/>
          <w:bCs/>
          <w:sz w:val="24"/>
        </w:rPr>
        <w:t>H为每日应计提的基金管理费</w:t>
      </w:r>
    </w:p>
    <w:p w14:paraId="12583200">
      <w:pPr>
        <w:spacing w:line="360" w:lineRule="auto"/>
        <w:ind w:firstLine="480" w:firstLineChars="200"/>
        <w:rPr>
          <w:rFonts w:hint="eastAsia"/>
          <w:bCs/>
          <w:sz w:val="24"/>
        </w:rPr>
      </w:pPr>
      <w:r>
        <w:rPr>
          <w:rFonts w:hint="eastAsia"/>
          <w:bCs/>
          <w:sz w:val="24"/>
        </w:rPr>
        <w:t>E为前一日的基金资产净值</w:t>
      </w:r>
    </w:p>
    <w:p w14:paraId="4552CE92">
      <w:pPr>
        <w:spacing w:line="360" w:lineRule="auto"/>
        <w:ind w:firstLine="480" w:firstLineChars="200"/>
        <w:rPr>
          <w:bCs/>
          <w:sz w:val="24"/>
        </w:rPr>
      </w:pPr>
      <w:r>
        <w:rPr>
          <w:rFonts w:hint="eastAsia"/>
          <w:bCs/>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14:paraId="3DB30AC6">
      <w:pPr>
        <w:spacing w:line="360" w:lineRule="auto"/>
        <w:ind w:firstLine="480" w:firstLineChars="200"/>
        <w:rPr>
          <w:bCs/>
          <w:sz w:val="24"/>
        </w:rPr>
      </w:pPr>
      <w:r>
        <w:rPr>
          <w:bCs/>
          <w:sz w:val="24"/>
        </w:rPr>
        <w:t>2、基金托管人的托管费</w:t>
      </w:r>
    </w:p>
    <w:p w14:paraId="0337E780">
      <w:pPr>
        <w:spacing w:line="360" w:lineRule="auto"/>
        <w:ind w:firstLine="480" w:firstLineChars="200"/>
        <w:rPr>
          <w:rFonts w:hint="eastAsia"/>
          <w:bCs/>
          <w:sz w:val="24"/>
        </w:rPr>
      </w:pPr>
      <w:r>
        <w:rPr>
          <w:rFonts w:hint="eastAsia"/>
          <w:bCs/>
          <w:sz w:val="24"/>
        </w:rPr>
        <w:t>本基金的托管费按前一日基金资产净值的0.2%年费率计提。托管费的计算方法如下：</w:t>
      </w:r>
    </w:p>
    <w:p w14:paraId="3B39F289">
      <w:pPr>
        <w:spacing w:line="360" w:lineRule="auto"/>
        <w:ind w:firstLine="480" w:firstLineChars="200"/>
        <w:rPr>
          <w:rFonts w:hint="eastAsia"/>
          <w:bCs/>
          <w:sz w:val="24"/>
        </w:rPr>
      </w:pPr>
      <w:r>
        <w:rPr>
          <w:rFonts w:hint="eastAsia"/>
          <w:bCs/>
          <w:sz w:val="24"/>
        </w:rPr>
        <w:t>H＝E×年托管费率÷当年天数</w:t>
      </w:r>
    </w:p>
    <w:p w14:paraId="603824B8">
      <w:pPr>
        <w:spacing w:line="360" w:lineRule="auto"/>
        <w:ind w:firstLine="480" w:firstLineChars="200"/>
        <w:rPr>
          <w:rFonts w:hint="eastAsia"/>
          <w:bCs/>
          <w:sz w:val="24"/>
        </w:rPr>
      </w:pPr>
      <w:r>
        <w:rPr>
          <w:rFonts w:hint="eastAsia"/>
          <w:bCs/>
          <w:sz w:val="24"/>
        </w:rPr>
        <w:t>H为每日应计提的基金托管费</w:t>
      </w:r>
    </w:p>
    <w:p w14:paraId="30A1F79A">
      <w:pPr>
        <w:spacing w:line="360" w:lineRule="auto"/>
        <w:ind w:firstLine="480" w:firstLineChars="200"/>
        <w:rPr>
          <w:rFonts w:hint="eastAsia"/>
          <w:bCs/>
          <w:sz w:val="24"/>
        </w:rPr>
      </w:pPr>
      <w:r>
        <w:rPr>
          <w:rFonts w:hint="eastAsia"/>
          <w:bCs/>
          <w:sz w:val="24"/>
        </w:rPr>
        <w:t>E为前一日的基金资产净值</w:t>
      </w:r>
    </w:p>
    <w:p w14:paraId="310A282B">
      <w:pPr>
        <w:spacing w:line="360" w:lineRule="auto"/>
        <w:ind w:firstLine="480" w:firstLineChars="200"/>
        <w:rPr>
          <w:rFonts w:hint="eastAsia"/>
          <w:bCs/>
          <w:sz w:val="24"/>
        </w:rPr>
      </w:pPr>
      <w:r>
        <w:rPr>
          <w:rFonts w:hint="eastAsia"/>
          <w:bCs/>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14:paraId="72EA2176">
      <w:pPr>
        <w:spacing w:line="360" w:lineRule="auto"/>
        <w:ind w:firstLine="480" w:firstLineChars="200"/>
        <w:rPr>
          <w:rFonts w:hint="eastAsia"/>
          <w:bCs/>
          <w:sz w:val="24"/>
        </w:rPr>
      </w:pPr>
      <w:r>
        <w:rPr>
          <w:rFonts w:hint="eastAsia"/>
          <w:bCs/>
          <w:sz w:val="24"/>
        </w:rPr>
        <w:t>3</w:t>
      </w:r>
      <w:r>
        <w:rPr>
          <w:bCs/>
          <w:sz w:val="24"/>
        </w:rPr>
        <w:t>、</w:t>
      </w:r>
      <w:r>
        <w:rPr>
          <w:rFonts w:hint="eastAsia"/>
          <w:bCs/>
          <w:sz w:val="24"/>
        </w:rPr>
        <w:t>C类基金份额的销售服务费</w:t>
      </w:r>
    </w:p>
    <w:p w14:paraId="1C8DDB24">
      <w:pPr>
        <w:spacing w:line="360" w:lineRule="auto"/>
        <w:ind w:firstLine="480" w:firstLineChars="200"/>
        <w:rPr>
          <w:rFonts w:hint="eastAsia"/>
          <w:bCs/>
          <w:sz w:val="24"/>
        </w:rPr>
      </w:pPr>
      <w:r>
        <w:rPr>
          <w:rFonts w:hint="eastAsia"/>
          <w:bCs/>
          <w:sz w:val="24"/>
        </w:rPr>
        <w:t>本基金A类基金份额不收取销售服务费，C类基金份额的销售服务费按前一日C类基金份额的基金资产净值的0.4%年费率计提。销售服务费的计算方法如下：</w:t>
      </w:r>
    </w:p>
    <w:p w14:paraId="5BB6E492">
      <w:pPr>
        <w:spacing w:line="360" w:lineRule="auto"/>
        <w:ind w:firstLine="480" w:firstLineChars="200"/>
        <w:rPr>
          <w:rFonts w:hint="eastAsia"/>
          <w:bCs/>
          <w:sz w:val="24"/>
        </w:rPr>
      </w:pPr>
      <w:r>
        <w:rPr>
          <w:rFonts w:hint="eastAsia"/>
          <w:bCs/>
          <w:sz w:val="24"/>
        </w:rPr>
        <w:t>H＝E×年销售服务费率÷当年天数</w:t>
      </w:r>
    </w:p>
    <w:p w14:paraId="40222F41">
      <w:pPr>
        <w:spacing w:line="360" w:lineRule="auto"/>
        <w:ind w:firstLine="480" w:firstLineChars="200"/>
        <w:rPr>
          <w:rFonts w:hint="eastAsia"/>
          <w:bCs/>
          <w:sz w:val="24"/>
        </w:rPr>
      </w:pPr>
      <w:r>
        <w:rPr>
          <w:rFonts w:hint="eastAsia"/>
          <w:bCs/>
          <w:sz w:val="24"/>
        </w:rPr>
        <w:t>H为C类基金份额每日应计提的销售服务费</w:t>
      </w:r>
    </w:p>
    <w:p w14:paraId="6EAB22F8">
      <w:pPr>
        <w:spacing w:line="360" w:lineRule="auto"/>
        <w:ind w:firstLine="480" w:firstLineChars="200"/>
        <w:rPr>
          <w:rFonts w:hint="eastAsia"/>
          <w:bCs/>
          <w:sz w:val="24"/>
        </w:rPr>
      </w:pPr>
      <w:r>
        <w:rPr>
          <w:rFonts w:hint="eastAsia"/>
          <w:bCs/>
          <w:sz w:val="24"/>
        </w:rPr>
        <w:t>E为C类基金份额前一日基金资产净值</w:t>
      </w:r>
    </w:p>
    <w:p w14:paraId="5852B7BB">
      <w:pPr>
        <w:spacing w:line="360" w:lineRule="auto"/>
        <w:ind w:firstLine="480" w:firstLineChars="200"/>
        <w:rPr>
          <w:rFonts w:hint="eastAsia"/>
          <w:bCs/>
          <w:sz w:val="24"/>
        </w:rPr>
      </w:pPr>
      <w:r>
        <w:rPr>
          <w:rFonts w:hint="eastAsia"/>
          <w:bCs/>
          <w:sz w:val="24"/>
        </w:rPr>
        <w:t>C类基金份额的销售服务费具体收取/返还方式：</w:t>
      </w:r>
    </w:p>
    <w:p w14:paraId="4233E1C6">
      <w:pPr>
        <w:spacing w:line="360" w:lineRule="auto"/>
        <w:ind w:firstLine="480" w:firstLineChars="200"/>
        <w:rPr>
          <w:rFonts w:hint="eastAsia"/>
          <w:bCs/>
          <w:sz w:val="24"/>
        </w:rPr>
      </w:pPr>
      <w:r>
        <w:rPr>
          <w:rFonts w:hint="eastAsia"/>
          <w:bCs/>
          <w:sz w:val="24"/>
        </w:rPr>
        <w:t>（1）通过直销机构认购/申购的C类基金份额</w:t>
      </w:r>
    </w:p>
    <w:p w14:paraId="5FF98BD9">
      <w:pPr>
        <w:spacing w:line="360" w:lineRule="auto"/>
        <w:ind w:firstLine="480" w:firstLineChars="200"/>
        <w:rPr>
          <w:rFonts w:hint="eastAsia"/>
          <w:bCs/>
          <w:sz w:val="24"/>
        </w:rPr>
      </w:pPr>
      <w:r>
        <w:rPr>
          <w:rFonts w:hint="eastAsia"/>
          <w:bCs/>
          <w:sz w:val="24"/>
        </w:rPr>
        <w:t>对于C类基金份额计提的销售服务费，在投资人赎回基金份额或基金合同终止时随赎回款或清算款一并返还给投资人。</w:t>
      </w:r>
    </w:p>
    <w:p w14:paraId="31F0361F">
      <w:pPr>
        <w:spacing w:line="360" w:lineRule="auto"/>
        <w:ind w:firstLine="480" w:firstLineChars="200"/>
        <w:rPr>
          <w:rFonts w:hint="eastAsia"/>
          <w:bCs/>
          <w:sz w:val="24"/>
        </w:rPr>
      </w:pPr>
      <w:r>
        <w:rPr>
          <w:rFonts w:hint="eastAsia"/>
          <w:bCs/>
          <w:sz w:val="24"/>
        </w:rPr>
        <w:t>（2）通过其他销售机构认购/申购的C类基金份额</w:t>
      </w:r>
    </w:p>
    <w:p w14:paraId="36A28812">
      <w:pPr>
        <w:spacing w:line="360" w:lineRule="auto"/>
        <w:ind w:firstLine="480" w:firstLineChars="200"/>
        <w:rPr>
          <w:rFonts w:hint="eastAsia"/>
          <w:bCs/>
          <w:sz w:val="24"/>
        </w:rPr>
      </w:pPr>
      <w:r>
        <w:rPr>
          <w:rFonts w:hint="eastAsia"/>
          <w:bCs/>
          <w:sz w:val="24"/>
        </w:rPr>
        <w:t>对于投资人持续持有期限未超过一年的C类基金份额，销售服务费每日计提，逐日累计至每月月末，按月支付。由基金管理人向基金托管人发送销售服务费划付指令，基金托管人按照与基金管理人协商一致的方式自动于次月首日起5个工作日内从基金财产中一次性支付给基金管理人，由基金管理人代付给销售机构，若遇法定节假日、休息日或不可抗力致使无法按时支付的，支付日期顺延。</w:t>
      </w:r>
    </w:p>
    <w:p w14:paraId="454EC317">
      <w:pPr>
        <w:spacing w:line="360" w:lineRule="auto"/>
        <w:ind w:firstLine="480" w:firstLineChars="200"/>
        <w:rPr>
          <w:rFonts w:hint="eastAsia"/>
          <w:bCs/>
          <w:sz w:val="24"/>
        </w:rPr>
      </w:pPr>
      <w:r>
        <w:rPr>
          <w:rFonts w:hint="eastAsia"/>
          <w:bCs/>
          <w:sz w:val="24"/>
        </w:rPr>
        <w:t>对于投资人持续持有期限超过一年的C类基金份额，持续持有超过一年后计提的销售服务费将在投资人赎回相应基金份额或基金合同终止时随赎回款或清算款一并返还给投资人。</w:t>
      </w:r>
    </w:p>
    <w:p w14:paraId="146C2B0F">
      <w:pPr>
        <w:spacing w:line="360" w:lineRule="auto"/>
        <w:ind w:firstLine="480" w:firstLineChars="200"/>
        <w:rPr>
          <w:rFonts w:hint="eastAsia"/>
          <w:bCs/>
          <w:sz w:val="24"/>
        </w:rPr>
      </w:pPr>
      <w:r>
        <w:rPr>
          <w:rFonts w:hint="eastAsia"/>
          <w:bCs/>
          <w:sz w:val="24"/>
        </w:rPr>
        <w:t>C类基金份额的销售服务费将专门用于本基金的市场推广、销售与基金份额持有人服务。</w:t>
      </w:r>
    </w:p>
    <w:p w14:paraId="258641AF">
      <w:pPr>
        <w:spacing w:line="360" w:lineRule="auto"/>
        <w:ind w:firstLine="480" w:firstLineChars="200"/>
        <w:rPr>
          <w:bCs/>
          <w:sz w:val="24"/>
        </w:rPr>
      </w:pPr>
      <w:r>
        <w:rPr>
          <w:bCs/>
          <w:sz w:val="24"/>
        </w:rPr>
        <w:t>4、上述“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中第3</w:t>
      </w:r>
      <w:r>
        <w:rPr>
          <w:rFonts w:hint="eastAsia"/>
          <w:bCs/>
          <w:sz w:val="24"/>
        </w:rPr>
        <w:t>－9项、第11</w:t>
      </w:r>
      <w:r>
        <w:rPr>
          <w:bCs/>
          <w:sz w:val="24"/>
        </w:rPr>
        <w:t>项费用，根据有关法规及相应协议规定，按费用实际支出金额列入当期费用，由基金托管人从基金财产中支付。</w:t>
      </w:r>
    </w:p>
    <w:p w14:paraId="608B2BE9">
      <w:pPr>
        <w:spacing w:line="360" w:lineRule="auto"/>
        <w:ind w:firstLine="480" w:firstLineChars="200"/>
        <w:outlineLvl w:val="2"/>
        <w:rPr>
          <w:bCs/>
          <w:sz w:val="24"/>
        </w:rPr>
      </w:pPr>
      <w:r>
        <w:rPr>
          <w:rFonts w:hint="eastAsia"/>
          <w:bCs/>
          <w:sz w:val="24"/>
        </w:rPr>
        <w:t>（三）不列入基金费用的项目</w:t>
      </w:r>
    </w:p>
    <w:p w14:paraId="528C1F8A">
      <w:pPr>
        <w:spacing w:line="360" w:lineRule="auto"/>
        <w:ind w:firstLine="480" w:firstLineChars="200"/>
        <w:rPr>
          <w:bCs/>
          <w:sz w:val="24"/>
        </w:rPr>
      </w:pPr>
      <w:r>
        <w:rPr>
          <w:bCs/>
          <w:sz w:val="24"/>
        </w:rPr>
        <w:t>下列费用不列入基金费用：</w:t>
      </w:r>
    </w:p>
    <w:p w14:paraId="27EA00EF">
      <w:pPr>
        <w:spacing w:line="360" w:lineRule="auto"/>
        <w:ind w:firstLine="480" w:firstLineChars="200"/>
        <w:rPr>
          <w:bCs/>
          <w:sz w:val="24"/>
        </w:rPr>
      </w:pPr>
      <w:r>
        <w:rPr>
          <w:bCs/>
          <w:sz w:val="24"/>
        </w:rPr>
        <w:t>1、基金管理人和基金托管人因未履行或未完全履行义务导致的费用支出或基金财产的损失；</w:t>
      </w:r>
    </w:p>
    <w:p w14:paraId="6D2A4CA3">
      <w:pPr>
        <w:spacing w:line="360" w:lineRule="auto"/>
        <w:ind w:firstLine="480" w:firstLineChars="200"/>
        <w:rPr>
          <w:bCs/>
          <w:sz w:val="24"/>
        </w:rPr>
      </w:pPr>
      <w:r>
        <w:rPr>
          <w:bCs/>
          <w:sz w:val="24"/>
        </w:rPr>
        <w:t>2、基金管理人和基金托管人处理与基金运作无关的事项发生的费用；</w:t>
      </w:r>
    </w:p>
    <w:p w14:paraId="4D50FB91">
      <w:pPr>
        <w:spacing w:line="360" w:lineRule="auto"/>
        <w:ind w:firstLine="480" w:firstLineChars="200"/>
        <w:rPr>
          <w:bCs/>
          <w:sz w:val="24"/>
        </w:rPr>
      </w:pPr>
      <w:r>
        <w:rPr>
          <w:bCs/>
          <w:sz w:val="24"/>
        </w:rPr>
        <w:t>3、《基金合同》生效前的相关费用；</w:t>
      </w:r>
    </w:p>
    <w:p w14:paraId="04DB42CF">
      <w:pPr>
        <w:spacing w:line="360" w:lineRule="auto"/>
        <w:ind w:firstLine="480" w:firstLineChars="200"/>
        <w:rPr>
          <w:bCs/>
          <w:sz w:val="24"/>
        </w:rPr>
      </w:pPr>
      <w:r>
        <w:rPr>
          <w:bCs/>
          <w:sz w:val="24"/>
        </w:rPr>
        <w:t>4、其他根据相关法律法规及中国证监会的有关规定不得列入基金费用的项目。</w:t>
      </w:r>
    </w:p>
    <w:p w14:paraId="7FD13BF9">
      <w:pPr>
        <w:spacing w:line="360" w:lineRule="auto"/>
        <w:ind w:firstLine="480" w:firstLineChars="200"/>
        <w:outlineLvl w:val="2"/>
        <w:rPr>
          <w:rFonts w:hint="eastAsia"/>
          <w:bCs/>
          <w:sz w:val="24"/>
        </w:rPr>
      </w:pPr>
      <w:r>
        <w:rPr>
          <w:rFonts w:hint="eastAsia"/>
          <w:bCs/>
          <w:sz w:val="24"/>
        </w:rPr>
        <w:t>（四）实施侧袋机制期间的基金费用</w:t>
      </w:r>
    </w:p>
    <w:p w14:paraId="46220E8B">
      <w:pPr>
        <w:spacing w:line="360" w:lineRule="auto"/>
        <w:ind w:firstLine="480" w:firstLineChars="200"/>
        <w:rPr>
          <w:rFonts w:hint="eastAsia"/>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55559AE1">
      <w:pPr>
        <w:spacing w:line="360" w:lineRule="auto"/>
        <w:ind w:firstLine="480" w:firstLineChars="200"/>
        <w:outlineLvl w:val="2"/>
        <w:rPr>
          <w:bCs/>
          <w:sz w:val="24"/>
        </w:rPr>
      </w:pPr>
      <w:r>
        <w:rPr>
          <w:rFonts w:hint="eastAsia"/>
          <w:bCs/>
          <w:sz w:val="24"/>
        </w:rPr>
        <w:t>（五）基金税收</w:t>
      </w:r>
    </w:p>
    <w:p w14:paraId="6F729FB6">
      <w:pPr>
        <w:spacing w:line="360" w:lineRule="auto"/>
        <w:ind w:firstLine="480" w:firstLineChars="200"/>
        <w:rPr>
          <w:bCs/>
          <w:sz w:val="24"/>
        </w:rPr>
      </w:pPr>
      <w:r>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37761637">
      <w:pPr>
        <w:spacing w:line="360" w:lineRule="auto"/>
        <w:ind w:firstLine="482" w:firstLineChars="200"/>
        <w:outlineLvl w:val="1"/>
        <w:rPr>
          <w:rFonts w:ascii="宋体" w:hAnsi="宋体"/>
          <w:b/>
          <w:sz w:val="24"/>
          <w:szCs w:val="24"/>
        </w:rPr>
      </w:pPr>
      <w:r>
        <w:rPr>
          <w:rFonts w:ascii="宋体" w:hAnsi="宋体"/>
          <w:b/>
          <w:sz w:val="24"/>
          <w:szCs w:val="24"/>
        </w:rPr>
        <w:t>五、基金财产的投资方向和投资限制</w:t>
      </w:r>
    </w:p>
    <w:p w14:paraId="07C94DEE">
      <w:pPr>
        <w:spacing w:line="360" w:lineRule="auto"/>
        <w:ind w:firstLine="480" w:firstLineChars="200"/>
        <w:outlineLvl w:val="2"/>
        <w:rPr>
          <w:rFonts w:ascii="宋体" w:hAnsi="宋体"/>
          <w:sz w:val="24"/>
          <w:szCs w:val="24"/>
        </w:rPr>
      </w:pPr>
      <w:bookmarkStart w:id="1" w:name="_Hlk50385905"/>
      <w:r>
        <w:rPr>
          <w:rFonts w:ascii="宋体" w:hAnsi="宋体"/>
          <w:sz w:val="24"/>
          <w:szCs w:val="24"/>
        </w:rPr>
        <w:t>（</w:t>
      </w:r>
      <w:r>
        <w:rPr>
          <w:rFonts w:hint="eastAsia" w:ascii="宋体" w:hAnsi="宋体"/>
          <w:sz w:val="24"/>
          <w:szCs w:val="24"/>
        </w:rPr>
        <w:t>一</w:t>
      </w:r>
      <w:r>
        <w:rPr>
          <w:rFonts w:ascii="宋体" w:hAnsi="宋体"/>
          <w:sz w:val="24"/>
          <w:szCs w:val="24"/>
        </w:rPr>
        <w:t>）</w:t>
      </w:r>
      <w:r>
        <w:rPr>
          <w:rFonts w:hint="eastAsia" w:ascii="宋体" w:hAnsi="宋体"/>
          <w:sz w:val="24"/>
          <w:szCs w:val="24"/>
        </w:rPr>
        <w:t>投资目标</w:t>
      </w:r>
    </w:p>
    <w:p w14:paraId="64F45AE8">
      <w:pPr>
        <w:spacing w:line="360" w:lineRule="auto"/>
        <w:ind w:firstLine="480" w:firstLineChars="200"/>
        <w:rPr>
          <w:bCs/>
          <w:sz w:val="24"/>
        </w:rPr>
      </w:pPr>
      <w:r>
        <w:rPr>
          <w:rFonts w:hint="eastAsia"/>
          <w:bCs/>
          <w:sz w:val="24"/>
        </w:rPr>
        <w:t>本基金主要投资于低碳经济主题相关上市公司，在合理控制风险的前提下，充分发挥专业研究与管理能力，力争为投资者提供长期稳健的投资回报。</w:t>
      </w:r>
    </w:p>
    <w:p w14:paraId="0C8A73C1">
      <w:pPr>
        <w:spacing w:line="360" w:lineRule="auto"/>
        <w:ind w:firstLine="480" w:firstLineChars="200"/>
        <w:outlineLvl w:val="2"/>
        <w:rPr>
          <w:rFonts w:ascii="宋体" w:hAnsi="宋体"/>
          <w:sz w:val="24"/>
          <w:szCs w:val="24"/>
        </w:rPr>
      </w:pPr>
      <w:r>
        <w:rPr>
          <w:rFonts w:hint="eastAsia" w:ascii="宋体" w:hAnsi="宋体"/>
          <w:sz w:val="24"/>
          <w:szCs w:val="24"/>
        </w:rPr>
        <w:t>（二）投资范围</w:t>
      </w:r>
    </w:p>
    <w:p w14:paraId="42D45D87">
      <w:pPr>
        <w:spacing w:line="360" w:lineRule="auto"/>
        <w:ind w:firstLine="480"/>
        <w:rPr>
          <w:bCs/>
          <w:sz w:val="24"/>
        </w:rPr>
      </w:pPr>
      <w:r>
        <w:rPr>
          <w:bCs/>
          <w:sz w:val="24"/>
        </w:rPr>
        <w:t>本基金的投资范围为具有良好流动性的金融工具，包括国内依法发行上市的股票</w:t>
      </w:r>
      <w:r>
        <w:rPr>
          <w:rFonts w:hint="eastAsia"/>
          <w:bCs/>
          <w:sz w:val="24"/>
        </w:rPr>
        <w:t>（含主板、创业板、科创板及其他经中国证监会核准或注册上市的股票、存托凭证）</w:t>
      </w:r>
      <w:r>
        <w:rPr>
          <w:bCs/>
          <w:sz w:val="24"/>
        </w:rPr>
        <w:t>、</w:t>
      </w:r>
      <w:r>
        <w:rPr>
          <w:rFonts w:hint="eastAsia"/>
          <w:bCs/>
          <w:sz w:val="24"/>
        </w:rPr>
        <w:t>港股通标的股票、</w:t>
      </w:r>
      <w:r>
        <w:rPr>
          <w:bCs/>
          <w:sz w:val="24"/>
        </w:rPr>
        <w:t>债券</w:t>
      </w:r>
      <w:r>
        <w:rPr>
          <w:rFonts w:hint="eastAsia"/>
          <w:bCs/>
          <w:sz w:val="24"/>
        </w:rPr>
        <w:t>（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w:t>
      </w:r>
      <w:r>
        <w:rPr>
          <w:bCs/>
          <w:sz w:val="24"/>
        </w:rPr>
        <w:t>以及法律法规或中国证监会允许基金投资的其他金融工具（但须符合中国证监会相关规定）。</w:t>
      </w:r>
    </w:p>
    <w:p w14:paraId="1685F80F">
      <w:pPr>
        <w:spacing w:line="360" w:lineRule="auto"/>
        <w:ind w:firstLine="480"/>
        <w:rPr>
          <w:bCs/>
        </w:rPr>
      </w:pPr>
      <w:r>
        <w:rPr>
          <w:bCs/>
          <w:sz w:val="24"/>
        </w:rPr>
        <w:t>如法律法规或监管机构以后允许基金投资其他品种，基金管理人在履行适当程序后，可以将其纳入投资范围。</w:t>
      </w:r>
    </w:p>
    <w:p w14:paraId="0EEDB869">
      <w:pPr>
        <w:spacing w:line="360" w:lineRule="auto"/>
        <w:ind w:firstLine="480"/>
        <w:rPr>
          <w:bCs/>
          <w:sz w:val="24"/>
        </w:rPr>
      </w:pPr>
      <w:r>
        <w:rPr>
          <w:bCs/>
          <w:sz w:val="24"/>
        </w:rPr>
        <w:t>基金的投资组合比例为：</w:t>
      </w:r>
      <w:r>
        <w:rPr>
          <w:rFonts w:hint="eastAsia"/>
          <w:bCs/>
          <w:sz w:val="24"/>
        </w:rPr>
        <w:t>股票投资（含存托凭证）占基金资产的比例为60%-95%（其中投资于港股通标的股票的比例占股票资产的0%-50%），投资于低碳经济主题相关股票（含存托凭证）的比例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3EA5CC9E">
      <w:pPr>
        <w:spacing w:line="360" w:lineRule="auto"/>
        <w:ind w:firstLine="480"/>
        <w:rPr>
          <w:rFonts w:hint="eastAsia"/>
          <w:bCs/>
          <w:sz w:val="24"/>
        </w:rPr>
      </w:pPr>
      <w:r>
        <w:rPr>
          <w:rFonts w:hint="eastAsia"/>
          <w:bCs/>
          <w:sz w:val="24"/>
        </w:rPr>
        <w:t>如果法律法规或中国证监会变更投资品种的投资比例限制，基金管理人在履行适当程序后，可以调整上述投资品种的投资比例。</w:t>
      </w:r>
    </w:p>
    <w:p w14:paraId="16A67C0C">
      <w:pPr>
        <w:spacing w:line="360" w:lineRule="auto"/>
        <w:ind w:firstLine="480" w:firstLineChars="200"/>
        <w:outlineLvl w:val="2"/>
        <w:rPr>
          <w:bCs/>
          <w:sz w:val="24"/>
        </w:rPr>
      </w:pPr>
      <w:r>
        <w:rPr>
          <w:rFonts w:hint="eastAsia"/>
          <w:bCs/>
          <w:sz w:val="24"/>
        </w:rPr>
        <w:t>（</w:t>
      </w:r>
      <w:r>
        <w:rPr>
          <w:bCs/>
          <w:sz w:val="24"/>
        </w:rPr>
        <w:t>三</w:t>
      </w:r>
      <w:r>
        <w:rPr>
          <w:rFonts w:hint="eastAsia"/>
          <w:bCs/>
          <w:sz w:val="24"/>
        </w:rPr>
        <w:t>）</w:t>
      </w:r>
      <w:r>
        <w:rPr>
          <w:bCs/>
          <w:sz w:val="24"/>
        </w:rPr>
        <w:t>投资策略</w:t>
      </w:r>
    </w:p>
    <w:p w14:paraId="27E7EB6C">
      <w:pPr>
        <w:spacing w:line="360" w:lineRule="auto"/>
        <w:ind w:firstLine="480" w:firstLineChars="200"/>
        <w:rPr>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14:paraId="46CFC0CC">
      <w:pPr>
        <w:spacing w:line="360" w:lineRule="auto"/>
        <w:ind w:firstLine="480" w:firstLineChars="200"/>
        <w:rPr>
          <w:bCs/>
          <w:sz w:val="24"/>
        </w:rPr>
      </w:pPr>
      <w:r>
        <w:rPr>
          <w:rFonts w:hint="eastAsia"/>
          <w:bCs/>
          <w:sz w:val="24"/>
        </w:rPr>
        <w:t>1、大类资产配置</w:t>
      </w:r>
    </w:p>
    <w:p w14:paraId="50582C6C">
      <w:pPr>
        <w:spacing w:line="360" w:lineRule="auto"/>
        <w:ind w:firstLine="480" w:firstLineChars="200"/>
        <w:rPr>
          <w:bCs/>
          <w:sz w:val="24"/>
        </w:rPr>
      </w:pPr>
      <w:r>
        <w:rPr>
          <w:rFonts w:hint="eastAsia"/>
          <w:bCs/>
          <w:sz w:val="24"/>
        </w:rPr>
        <w:t>本基金利用经交银施罗德研究团队修正后的投资时钟分析框架，通过“自上而下”的定性分析和定量分析相结合形成对不同资产市场表现的预测和判断，确定基金资产在沪深A股、港股通标的股票、债券及货币市场工具等各类别资产间的分配比例，并随着各类证券风险收益特征的相对变化，在基金合同约定的范围内动态调整组合中各类资产的比例，以规避或控制市场风险，提高基金收益率。</w:t>
      </w:r>
    </w:p>
    <w:p w14:paraId="12516F88">
      <w:pPr>
        <w:spacing w:line="360" w:lineRule="auto"/>
        <w:ind w:firstLine="480" w:firstLineChars="200"/>
        <w:rPr>
          <w:bCs/>
          <w:sz w:val="24"/>
        </w:rPr>
      </w:pPr>
      <w:r>
        <w:rPr>
          <w:rFonts w:hint="eastAsia"/>
          <w:bCs/>
          <w:sz w:val="24"/>
        </w:rPr>
        <w:t>2、股票投资策略</w:t>
      </w:r>
    </w:p>
    <w:p w14:paraId="78A151E3">
      <w:pPr>
        <w:spacing w:line="360" w:lineRule="auto"/>
        <w:ind w:firstLine="480" w:firstLineChars="200"/>
        <w:rPr>
          <w:rFonts w:hint="eastAsia"/>
          <w:bCs/>
          <w:sz w:val="24"/>
        </w:rPr>
      </w:pPr>
      <w:r>
        <w:rPr>
          <w:rFonts w:hint="eastAsia"/>
          <w:bCs/>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1F11C224">
      <w:pPr>
        <w:spacing w:line="360" w:lineRule="auto"/>
        <w:ind w:firstLine="480" w:firstLineChars="200"/>
        <w:rPr>
          <w:rFonts w:hint="eastAsia"/>
          <w:bCs/>
          <w:sz w:val="24"/>
        </w:rPr>
      </w:pPr>
      <w:r>
        <w:rPr>
          <w:rFonts w:hint="eastAsia"/>
          <w:bCs/>
          <w:sz w:val="24"/>
        </w:rPr>
        <w:t>（1）低碳经济主题的界定</w:t>
      </w:r>
    </w:p>
    <w:p w14:paraId="187DF7C7">
      <w:pPr>
        <w:spacing w:line="360" w:lineRule="auto"/>
        <w:ind w:firstLine="480" w:firstLineChars="200"/>
        <w:rPr>
          <w:rFonts w:hint="eastAsia"/>
          <w:bCs/>
          <w:sz w:val="24"/>
        </w:rPr>
      </w:pPr>
      <w:r>
        <w:rPr>
          <w:rFonts w:hint="eastAsia"/>
          <w:bCs/>
          <w:sz w:val="24"/>
        </w:rPr>
        <w:t>本基金所指的低碳经济，是以落实国家“碳达峰碳中和”战略目标为导向，通过技术创新、产业升级、能源结构调整和资源高效利用，实现低能耗、低排放、低污染特征的可持续发展模式。</w:t>
      </w:r>
    </w:p>
    <w:p w14:paraId="68FA7E5D">
      <w:pPr>
        <w:spacing w:line="360" w:lineRule="auto"/>
        <w:ind w:firstLine="480" w:firstLineChars="200"/>
        <w:rPr>
          <w:rFonts w:hint="eastAsia"/>
          <w:bCs/>
          <w:sz w:val="24"/>
        </w:rPr>
      </w:pPr>
      <w:r>
        <w:rPr>
          <w:rFonts w:hint="eastAsia"/>
          <w:bCs/>
          <w:sz w:val="24"/>
        </w:rPr>
        <w:t>本基金低碳经济主题投资范围参考《绿色低碳转型产业指导目录（2024年版）》等国家相关文件及其更新，投资标的围绕低碳经济相关产业及行业展开，主要包括以下三类：</w:t>
      </w:r>
    </w:p>
    <w:p w14:paraId="5E1662D3">
      <w:pPr>
        <w:spacing w:line="360" w:lineRule="auto"/>
        <w:ind w:firstLine="480" w:firstLineChars="200"/>
        <w:rPr>
          <w:rFonts w:hint="eastAsia"/>
          <w:bCs/>
          <w:sz w:val="24"/>
        </w:rPr>
      </w:pPr>
      <w:r>
        <w:rPr>
          <w:rFonts w:hint="eastAsia"/>
          <w:bCs/>
          <w:sz w:val="24"/>
        </w:rPr>
        <w:t>1）能源绿色低碳转型</w:t>
      </w:r>
    </w:p>
    <w:p w14:paraId="33CAA632">
      <w:pPr>
        <w:spacing w:line="360" w:lineRule="auto"/>
        <w:ind w:firstLine="480" w:firstLineChars="200"/>
        <w:rPr>
          <w:rFonts w:hint="eastAsia"/>
          <w:bCs/>
          <w:sz w:val="24"/>
        </w:rPr>
      </w:pPr>
      <w:r>
        <w:rPr>
          <w:rFonts w:hint="eastAsia"/>
          <w:bCs/>
          <w:sz w:val="24"/>
        </w:rPr>
        <w:t>包含新能源装备制造（光伏、风电、水电、核电、氢能、储能、智能电网、特高压）、清洁能源设施建设运营（风光水核电站、抽水蓄能）、能源系统高效运行（源网荷储一体化、能源互联网），以及传统能源清洁化改造（煤电节能降碳改造、非常规油气勘探开发）。</w:t>
      </w:r>
    </w:p>
    <w:p w14:paraId="1569B16B">
      <w:pPr>
        <w:spacing w:line="360" w:lineRule="auto"/>
        <w:ind w:firstLine="480" w:firstLineChars="200"/>
        <w:rPr>
          <w:rFonts w:hint="eastAsia"/>
          <w:bCs/>
          <w:sz w:val="24"/>
        </w:rPr>
      </w:pPr>
      <w:r>
        <w:rPr>
          <w:rFonts w:hint="eastAsia"/>
          <w:bCs/>
          <w:sz w:val="24"/>
        </w:rPr>
        <w:t>2）新能源车与低碳交通</w:t>
      </w:r>
    </w:p>
    <w:p w14:paraId="31431705">
      <w:pPr>
        <w:spacing w:line="360" w:lineRule="auto"/>
        <w:ind w:firstLine="480" w:firstLineChars="200"/>
        <w:rPr>
          <w:rFonts w:hint="eastAsia"/>
          <w:bCs/>
          <w:sz w:val="24"/>
        </w:rPr>
      </w:pPr>
      <w:r>
        <w:rPr>
          <w:rFonts w:hint="eastAsia"/>
          <w:bCs/>
          <w:sz w:val="24"/>
        </w:rPr>
        <w:t>包含新能源汽车全产业链（上游矿产资源锂钴镍、动力电池及关键材料、电机电控、新能源整车制造）、充换电设施建设运营、绿色交通基础设施（智能交通系统、绿色铁路/港口/民航，绿色船舶、新能源航空装备）及绿色物流。</w:t>
      </w:r>
    </w:p>
    <w:p w14:paraId="74421C8B">
      <w:pPr>
        <w:spacing w:line="360" w:lineRule="auto"/>
        <w:ind w:firstLine="480" w:firstLineChars="200"/>
        <w:rPr>
          <w:rFonts w:hint="eastAsia"/>
          <w:bCs/>
          <w:sz w:val="24"/>
        </w:rPr>
      </w:pPr>
      <w:r>
        <w:rPr>
          <w:rFonts w:hint="eastAsia"/>
          <w:bCs/>
          <w:sz w:val="24"/>
        </w:rPr>
        <w:t>3）绿色制造与循环经济</w:t>
      </w:r>
    </w:p>
    <w:p w14:paraId="0E9F6D68">
      <w:pPr>
        <w:spacing w:line="360" w:lineRule="auto"/>
        <w:ind w:firstLine="480" w:firstLineChars="200"/>
        <w:rPr>
          <w:rFonts w:hint="eastAsia"/>
          <w:bCs/>
          <w:sz w:val="24"/>
        </w:rPr>
      </w:pPr>
      <w:r>
        <w:rPr>
          <w:rFonts w:hint="eastAsia"/>
          <w:bCs/>
          <w:sz w:val="24"/>
        </w:rPr>
        <w:t>聚焦生产过程的低碳化与生态修复。包含节能降碳改造（高效节能装备、工业绿色转型、CCUS）、新材料（清洁能源用新材料），以及环境保护与资源循环利用（污染治理、动力电池回收、再生金属）。</w:t>
      </w:r>
    </w:p>
    <w:p w14:paraId="1E5C3EC2">
      <w:pPr>
        <w:spacing w:line="360" w:lineRule="auto"/>
        <w:ind w:firstLine="480" w:firstLineChars="200"/>
        <w:rPr>
          <w:bCs/>
          <w:sz w:val="24"/>
        </w:rPr>
      </w:pPr>
      <w:r>
        <w:rPr>
          <w:rFonts w:hint="eastAsia"/>
          <w:bCs/>
          <w:sz w:val="24"/>
        </w:rPr>
        <w:t>基于以上内容，本基金界定的低碳经济主题相关的申万一级行业主要包含：电力设备、公用事业、机械设备、汽车、交通运输、化工、有色金属、环保。</w:t>
      </w:r>
    </w:p>
    <w:p w14:paraId="4D9F1CA7">
      <w:pPr>
        <w:spacing w:line="360" w:lineRule="auto"/>
        <w:ind w:firstLine="480" w:firstLineChars="200"/>
        <w:rPr>
          <w:rFonts w:hint="eastAsia"/>
          <w:bCs/>
          <w:sz w:val="24"/>
        </w:rPr>
      </w:pPr>
      <w:r>
        <w:rPr>
          <w:rFonts w:hint="eastAsia"/>
          <w:bCs/>
          <w:sz w:val="24"/>
        </w:rPr>
        <w:t>未来随着科技进步、政策或市场环境发生变化，导致本基金低碳经济主题相关行业的界定范围发生变动，在履行适当程序后，本基金将根据实际情况对主题的界定范围进行调整，在招募说明书中更新并公告。</w:t>
      </w:r>
    </w:p>
    <w:p w14:paraId="17CEA867">
      <w:pPr>
        <w:spacing w:line="360" w:lineRule="auto"/>
        <w:ind w:firstLine="480" w:firstLineChars="200"/>
        <w:rPr>
          <w:rFonts w:hint="eastAsia"/>
          <w:bCs/>
          <w:sz w:val="24"/>
        </w:rPr>
      </w:pPr>
      <w:r>
        <w:rPr>
          <w:rFonts w:hint="eastAsia"/>
          <w:bCs/>
          <w:sz w:val="24"/>
        </w:rPr>
        <w:t>（2）个股投资策略</w:t>
      </w:r>
    </w:p>
    <w:p w14:paraId="0E3BFE3E">
      <w:pPr>
        <w:spacing w:line="360" w:lineRule="auto"/>
        <w:ind w:firstLine="480" w:firstLineChars="200"/>
        <w:rPr>
          <w:bCs/>
          <w:sz w:val="24"/>
        </w:rPr>
      </w:pPr>
      <w:r>
        <w:rPr>
          <w:rFonts w:hint="eastAsia"/>
          <w:bCs/>
          <w:sz w:val="24"/>
        </w:rPr>
        <w:t>1）品质筛选</w:t>
      </w:r>
    </w:p>
    <w:p w14:paraId="3F68F6D7">
      <w:pPr>
        <w:spacing w:line="360" w:lineRule="auto"/>
        <w:ind w:firstLine="480" w:firstLineChars="200"/>
        <w:rPr>
          <w:bCs/>
          <w:sz w:val="24"/>
        </w:rPr>
      </w:pPr>
      <w:r>
        <w:rPr>
          <w:rFonts w:hint="eastAsia"/>
          <w:bCs/>
          <w:sz w:val="24"/>
        </w:rPr>
        <w:t>筛选出在公司治理、财务及管理品质上符合基本品质要求的公司，构建备选股票池。主要筛选指标包括：</w:t>
      </w:r>
    </w:p>
    <w:p w14:paraId="6BBBE590">
      <w:pPr>
        <w:numPr>
          <w:ilvl w:val="0"/>
          <w:numId w:val="2"/>
        </w:numPr>
        <w:spacing w:line="360" w:lineRule="auto"/>
        <w:rPr>
          <w:rFonts w:hint="eastAsia" w:ascii="宋体" w:hAnsi="宋体"/>
          <w:sz w:val="24"/>
        </w:rPr>
      </w:pPr>
      <w:r>
        <w:rPr>
          <w:rFonts w:hint="eastAsia" w:ascii="宋体" w:hAnsi="宋体"/>
          <w:sz w:val="24"/>
        </w:rPr>
        <w:t>盈利能力指标：如营业利润率（OPM）、每股收益（EPS）、每股现金流（CFPS）、每股自由现金流（FCFPS）与每股息税前利润（EBITPS）等；</w:t>
      </w:r>
    </w:p>
    <w:p w14:paraId="030743FE">
      <w:pPr>
        <w:numPr>
          <w:ilvl w:val="0"/>
          <w:numId w:val="2"/>
        </w:numPr>
        <w:spacing w:line="360" w:lineRule="auto"/>
        <w:rPr>
          <w:rFonts w:hint="eastAsia" w:ascii="宋体" w:hAnsi="宋体"/>
          <w:sz w:val="24"/>
        </w:rPr>
      </w:pPr>
      <w:r>
        <w:rPr>
          <w:rFonts w:hint="eastAsia" w:ascii="宋体" w:hAnsi="宋体"/>
          <w:sz w:val="24"/>
        </w:rPr>
        <w:t>经营效率指标：如净资产收益率（ROE）、资产收益率（ROA）、经营资产收益率（ROOA）与资产周转率（ATR）等；</w:t>
      </w:r>
    </w:p>
    <w:p w14:paraId="57FFE42D">
      <w:pPr>
        <w:numPr>
          <w:ilvl w:val="0"/>
          <w:numId w:val="2"/>
        </w:numPr>
        <w:spacing w:line="360" w:lineRule="auto"/>
        <w:rPr>
          <w:rFonts w:hint="eastAsia" w:ascii="宋体" w:hAnsi="宋体"/>
          <w:sz w:val="24"/>
        </w:rPr>
      </w:pPr>
      <w:r>
        <w:rPr>
          <w:rFonts w:hint="eastAsia" w:ascii="宋体" w:hAnsi="宋体"/>
          <w:sz w:val="24"/>
        </w:rPr>
        <w:t>财务状况指标：如资产负债率（D/A）、流动比率（CR）等；</w:t>
      </w:r>
    </w:p>
    <w:p w14:paraId="15A8791B">
      <w:pPr>
        <w:numPr>
          <w:ilvl w:val="0"/>
          <w:numId w:val="2"/>
        </w:numPr>
        <w:spacing w:line="360" w:lineRule="auto"/>
        <w:rPr>
          <w:rFonts w:ascii="宋体" w:hAnsi="宋体"/>
          <w:sz w:val="24"/>
        </w:rPr>
      </w:pPr>
      <w:r>
        <w:rPr>
          <w:rFonts w:hint="eastAsia" w:ascii="宋体" w:hAnsi="宋体"/>
          <w:sz w:val="24"/>
        </w:rPr>
        <w:t>研发投入指标：如研发投入与营业收入比率、科研人员数量及占比、专利数量及在同行业的占比等。</w:t>
      </w:r>
    </w:p>
    <w:p w14:paraId="354864AA">
      <w:pPr>
        <w:spacing w:line="360" w:lineRule="auto"/>
        <w:ind w:firstLine="480" w:firstLineChars="200"/>
        <w:rPr>
          <w:bCs/>
          <w:sz w:val="24"/>
        </w:rPr>
      </w:pPr>
      <w:r>
        <w:rPr>
          <w:rFonts w:hint="eastAsia"/>
          <w:bCs/>
          <w:sz w:val="24"/>
        </w:rPr>
        <w:t>2）价值评估</w:t>
      </w:r>
    </w:p>
    <w:p w14:paraId="69C39D89">
      <w:pPr>
        <w:spacing w:line="360" w:lineRule="auto"/>
        <w:ind w:firstLine="480" w:firstLineChars="200"/>
        <w:rPr>
          <w:bCs/>
          <w:sz w:val="24"/>
        </w:rPr>
      </w:pPr>
      <w:r>
        <w:rPr>
          <w:rFonts w:hint="eastAsia"/>
          <w:bCs/>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682628A7">
      <w:pPr>
        <w:spacing w:line="360" w:lineRule="auto"/>
        <w:ind w:firstLine="480" w:firstLineChars="200"/>
        <w:rPr>
          <w:rFonts w:hint="eastAsia"/>
          <w:bCs/>
          <w:sz w:val="24"/>
        </w:rPr>
      </w:pPr>
      <w:r>
        <w:rPr>
          <w:rFonts w:hint="eastAsia"/>
          <w:bCs/>
          <w:sz w:val="24"/>
        </w:rPr>
        <w:t>（3）港股通标的股票投资策略</w:t>
      </w:r>
    </w:p>
    <w:p w14:paraId="2E927D2D">
      <w:pPr>
        <w:spacing w:line="360" w:lineRule="auto"/>
        <w:ind w:firstLine="480" w:firstLineChars="200"/>
        <w:rPr>
          <w:rFonts w:hint="eastAsia"/>
          <w:bCs/>
          <w:sz w:val="24"/>
        </w:rPr>
      </w:pPr>
      <w:r>
        <w:rPr>
          <w:rFonts w:hint="eastAsia"/>
          <w:bCs/>
          <w:sz w:val="24"/>
        </w:rPr>
        <w:t>本基金可通过内地与香港股票市场交易互联互通机制投资于香港股票市场。本基金优先将基本面健康、业绩向上弹性较大、具有估值优势且符合本基金低碳经济主题界定的港股通标的股票纳入本基金的股票投资组合。</w:t>
      </w:r>
    </w:p>
    <w:p w14:paraId="6E6EDC04">
      <w:pPr>
        <w:spacing w:line="360" w:lineRule="auto"/>
        <w:ind w:firstLine="480" w:firstLineChars="200"/>
        <w:rPr>
          <w:bCs/>
          <w:sz w:val="24"/>
        </w:rPr>
      </w:pPr>
      <w:r>
        <w:rPr>
          <w:rFonts w:hint="eastAsia"/>
          <w:bCs/>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4820FAE3">
      <w:pPr>
        <w:spacing w:line="360" w:lineRule="auto"/>
        <w:ind w:firstLine="480" w:firstLineChars="200"/>
        <w:rPr>
          <w:bCs/>
          <w:sz w:val="24"/>
        </w:rPr>
      </w:pPr>
      <w:r>
        <w:rPr>
          <w:rFonts w:hint="eastAsia"/>
          <w:bCs/>
          <w:sz w:val="24"/>
        </w:rPr>
        <w:t>（4）存托凭证的投资策略</w:t>
      </w:r>
    </w:p>
    <w:p w14:paraId="14A957EF">
      <w:pPr>
        <w:spacing w:line="360" w:lineRule="auto"/>
        <w:ind w:firstLine="480" w:firstLineChars="200"/>
        <w:rPr>
          <w:rFonts w:hint="eastAsia"/>
          <w:bCs/>
          <w:sz w:val="24"/>
        </w:rPr>
      </w:pPr>
      <w:r>
        <w:rPr>
          <w:rFonts w:hint="eastAsia"/>
          <w:bCs/>
          <w:sz w:val="24"/>
        </w:rPr>
        <w:t>本基金投资存托凭证的策略依照境内上市交易的股票投资策略执行。</w:t>
      </w:r>
    </w:p>
    <w:p w14:paraId="355EC923">
      <w:pPr>
        <w:spacing w:line="360" w:lineRule="auto"/>
        <w:ind w:firstLine="480" w:firstLineChars="200"/>
        <w:rPr>
          <w:bCs/>
          <w:sz w:val="24"/>
        </w:rPr>
      </w:pPr>
      <w:r>
        <w:rPr>
          <w:bCs/>
          <w:sz w:val="24"/>
        </w:rPr>
        <w:t>3</w:t>
      </w:r>
      <w:r>
        <w:rPr>
          <w:rFonts w:hint="eastAsia"/>
          <w:bCs/>
          <w:sz w:val="24"/>
        </w:rPr>
        <w:t>、债券投资策略</w:t>
      </w:r>
    </w:p>
    <w:p w14:paraId="219C50C2">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0D6F7317">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投资策略等多种策略，以期获取债券市场的长期稳定收益。</w:t>
      </w:r>
    </w:p>
    <w:p w14:paraId="6F17E3D3">
      <w:pPr>
        <w:spacing w:line="360" w:lineRule="auto"/>
        <w:ind w:firstLine="480" w:firstLineChars="200"/>
        <w:rPr>
          <w:bCs/>
          <w:sz w:val="24"/>
        </w:rPr>
      </w:pPr>
      <w:r>
        <w:rPr>
          <w:bCs/>
          <w:sz w:val="24"/>
        </w:rPr>
        <w:t>4</w:t>
      </w:r>
      <w:r>
        <w:rPr>
          <w:rFonts w:hint="eastAsia"/>
          <w:bCs/>
          <w:sz w:val="24"/>
        </w:rPr>
        <w:t>、资产支持证券投资策略</w:t>
      </w:r>
    </w:p>
    <w:p w14:paraId="2CCDE3B1">
      <w:pPr>
        <w:spacing w:line="360" w:lineRule="auto"/>
        <w:ind w:firstLine="480" w:firstLineChars="200"/>
        <w:rPr>
          <w:bCs/>
          <w:sz w:val="24"/>
        </w:rPr>
      </w:pPr>
      <w:r>
        <w:rPr>
          <w:rFonts w:hint="eastAsia"/>
          <w:bCs/>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14:paraId="16803543">
      <w:pPr>
        <w:spacing w:line="360" w:lineRule="auto"/>
        <w:ind w:firstLine="480" w:firstLineChars="200"/>
        <w:rPr>
          <w:bCs/>
          <w:sz w:val="24"/>
        </w:rPr>
      </w:pPr>
      <w:r>
        <w:rPr>
          <w:bCs/>
          <w:sz w:val="24"/>
        </w:rPr>
        <w:t>5</w:t>
      </w:r>
      <w:r>
        <w:rPr>
          <w:rFonts w:hint="eastAsia"/>
          <w:bCs/>
          <w:sz w:val="24"/>
        </w:rPr>
        <w:t>、股指期货投资策略</w:t>
      </w:r>
    </w:p>
    <w:p w14:paraId="6DC3C109">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63EA56B6">
      <w:pPr>
        <w:spacing w:line="360" w:lineRule="auto"/>
        <w:ind w:firstLine="480" w:firstLineChars="200"/>
        <w:rPr>
          <w:rFonts w:hint="eastAsia"/>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31A1B38C">
      <w:pPr>
        <w:spacing w:line="360" w:lineRule="auto"/>
        <w:ind w:firstLine="480" w:firstLineChars="200"/>
        <w:outlineLvl w:val="2"/>
        <w:rPr>
          <w:bCs/>
          <w:sz w:val="24"/>
        </w:rPr>
      </w:pPr>
      <w:r>
        <w:rPr>
          <w:rFonts w:hint="eastAsia"/>
          <w:bCs/>
          <w:sz w:val="24"/>
        </w:rPr>
        <w:t>（</w:t>
      </w:r>
      <w:r>
        <w:rPr>
          <w:bCs/>
          <w:sz w:val="24"/>
        </w:rPr>
        <w:t>四</w:t>
      </w:r>
      <w:r>
        <w:rPr>
          <w:rFonts w:hint="eastAsia"/>
          <w:bCs/>
          <w:sz w:val="24"/>
        </w:rPr>
        <w:t>）</w:t>
      </w:r>
      <w:r>
        <w:rPr>
          <w:bCs/>
          <w:sz w:val="24"/>
        </w:rPr>
        <w:t>投资限制</w:t>
      </w:r>
    </w:p>
    <w:p w14:paraId="7239EE03">
      <w:pPr>
        <w:spacing w:line="360" w:lineRule="auto"/>
        <w:ind w:firstLine="480" w:firstLineChars="200"/>
        <w:rPr>
          <w:bCs/>
          <w:sz w:val="24"/>
        </w:rPr>
      </w:pPr>
      <w:r>
        <w:rPr>
          <w:bCs/>
          <w:sz w:val="24"/>
        </w:rPr>
        <w:t>1、组合限制</w:t>
      </w:r>
    </w:p>
    <w:p w14:paraId="24F34882">
      <w:pPr>
        <w:spacing w:line="360" w:lineRule="auto"/>
        <w:ind w:firstLine="480" w:firstLineChars="200"/>
        <w:rPr>
          <w:bCs/>
          <w:sz w:val="24"/>
        </w:rPr>
      </w:pPr>
      <w:r>
        <w:rPr>
          <w:bCs/>
          <w:sz w:val="24"/>
        </w:rPr>
        <w:t>基金的投资组合应遵循以下限制：</w:t>
      </w:r>
    </w:p>
    <w:p w14:paraId="3F4D128D">
      <w:pPr>
        <w:spacing w:line="360" w:lineRule="auto"/>
        <w:ind w:firstLine="480" w:firstLineChars="200"/>
        <w:rPr>
          <w:bCs/>
          <w:sz w:val="24"/>
        </w:rPr>
      </w:pPr>
      <w:r>
        <w:rPr>
          <w:bCs/>
          <w:sz w:val="24"/>
        </w:rPr>
        <w:t>（1）</w:t>
      </w:r>
      <w:r>
        <w:rPr>
          <w:rFonts w:hint="eastAsia"/>
          <w:bCs/>
          <w:sz w:val="24"/>
        </w:rPr>
        <w:t>股票投资（含存托凭证）占基金资产的比例为60%-95%（其中投资于港股通标的股票的比例占股票资产的0%-50%），投资于低碳经济主题相关股票（含存托凭证）的比例不低于非现金基金资产的80%</w:t>
      </w:r>
      <w:r>
        <w:rPr>
          <w:bCs/>
          <w:sz w:val="24"/>
        </w:rPr>
        <w:t>；</w:t>
      </w:r>
    </w:p>
    <w:p w14:paraId="2A2C73E4">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每个交易日日终在扣除股指期货合约需缴纳的交易保证金后，本基金持有</w:t>
      </w:r>
      <w:r>
        <w:rPr>
          <w:bCs/>
          <w:sz w:val="24"/>
        </w:rPr>
        <w:t>的现金或者到期日在一年以内的政府债券</w:t>
      </w:r>
      <w:r>
        <w:rPr>
          <w:rFonts w:hint="eastAsia"/>
          <w:bCs/>
          <w:sz w:val="24"/>
        </w:rPr>
        <w:t>的比例合计不低于基金资产净值的5%，</w:t>
      </w:r>
      <w:r>
        <w:rPr>
          <w:bCs/>
          <w:sz w:val="24"/>
        </w:rPr>
        <w:t>其中现金不包括结算备付金、存出保证金</w:t>
      </w:r>
      <w:r>
        <w:rPr>
          <w:rFonts w:hint="eastAsia"/>
          <w:bCs/>
          <w:sz w:val="24"/>
        </w:rPr>
        <w:t>、</w:t>
      </w:r>
      <w:r>
        <w:rPr>
          <w:bCs/>
          <w:sz w:val="24"/>
        </w:rPr>
        <w:t>应收申购款等；</w:t>
      </w:r>
    </w:p>
    <w:p w14:paraId="4C643CA5">
      <w:pPr>
        <w:spacing w:line="360" w:lineRule="auto"/>
        <w:ind w:firstLine="480" w:firstLineChars="200"/>
        <w:rPr>
          <w:bCs/>
          <w:sz w:val="24"/>
        </w:rPr>
      </w:pPr>
      <w:r>
        <w:rPr>
          <w:bCs/>
          <w:sz w:val="24"/>
        </w:rPr>
        <w:t>（</w:t>
      </w:r>
      <w:r>
        <w:rPr>
          <w:rFonts w:hint="eastAsia"/>
          <w:bCs/>
          <w:sz w:val="24"/>
        </w:rPr>
        <w:t>3</w:t>
      </w:r>
      <w:r>
        <w:rPr>
          <w:bCs/>
          <w:sz w:val="24"/>
        </w:rPr>
        <w:t>）本基金持有一家公司</w:t>
      </w:r>
      <w:r>
        <w:rPr>
          <w:rFonts w:hint="eastAsia"/>
          <w:bCs/>
          <w:sz w:val="24"/>
        </w:rPr>
        <w:t>发行</w:t>
      </w:r>
      <w:r>
        <w:rPr>
          <w:bCs/>
          <w:sz w:val="24"/>
        </w:rPr>
        <w:t>的</w:t>
      </w:r>
      <w:r>
        <w:rPr>
          <w:rFonts w:hint="eastAsia"/>
          <w:bCs/>
          <w:sz w:val="24"/>
        </w:rPr>
        <w:t>证券（同一家公司在内地和香港同时上市的A+H股合计计算）</w:t>
      </w:r>
      <w:r>
        <w:rPr>
          <w:bCs/>
          <w:sz w:val="24"/>
        </w:rPr>
        <w:t>，其市值不超过基金资产净值的10％；</w:t>
      </w:r>
    </w:p>
    <w:p w14:paraId="59FAB249">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w:t>
      </w:r>
      <w:r>
        <w:rPr>
          <w:rFonts w:hint="eastAsia"/>
          <w:bCs/>
          <w:sz w:val="24"/>
        </w:rPr>
        <w:t>（同一家公司在内地和香港同时上市的A+H股合计计算）</w:t>
      </w:r>
      <w:r>
        <w:rPr>
          <w:bCs/>
          <w:sz w:val="24"/>
        </w:rPr>
        <w:t>，不超过该证券的10％，完全按照有关指数的构成比例进行证券投资的基金品种可以不受此条款规定的比例限制；</w:t>
      </w:r>
    </w:p>
    <w:p w14:paraId="06B277EF">
      <w:pPr>
        <w:spacing w:line="360" w:lineRule="auto"/>
        <w:ind w:firstLine="480" w:firstLineChars="200"/>
        <w:rPr>
          <w:bCs/>
          <w:sz w:val="24"/>
        </w:rPr>
      </w:pPr>
      <w:r>
        <w:rPr>
          <w:bCs/>
          <w:sz w:val="24"/>
        </w:rPr>
        <w:t>（5）本基金投资于同一原始权益人的各类资产支持证券的比例，不得超过基金资产净值的10％；</w:t>
      </w:r>
    </w:p>
    <w:p w14:paraId="1C84818A">
      <w:pPr>
        <w:spacing w:line="360" w:lineRule="auto"/>
        <w:ind w:firstLine="480" w:firstLineChars="200"/>
        <w:rPr>
          <w:bCs/>
          <w:sz w:val="24"/>
        </w:rPr>
      </w:pPr>
      <w:r>
        <w:rPr>
          <w:bCs/>
          <w:sz w:val="24"/>
        </w:rPr>
        <w:t>（6）本基金持有的全部资产支持证券，其市值不得超过基金资产净值的20％；</w:t>
      </w:r>
    </w:p>
    <w:p w14:paraId="04623AFA">
      <w:pPr>
        <w:spacing w:line="360" w:lineRule="auto"/>
        <w:ind w:firstLine="480" w:firstLineChars="200"/>
        <w:rPr>
          <w:bCs/>
          <w:sz w:val="24"/>
        </w:rPr>
      </w:pPr>
      <w:r>
        <w:rPr>
          <w:bCs/>
          <w:sz w:val="24"/>
        </w:rPr>
        <w:t>（7）本基金持有的同一（指同一信用级别）资产支持证券的比例，不得超过该资产支持证券规模的10％；</w:t>
      </w:r>
    </w:p>
    <w:p w14:paraId="73E19E3D">
      <w:pPr>
        <w:spacing w:line="360" w:lineRule="auto"/>
        <w:ind w:firstLine="480" w:firstLineChars="200"/>
        <w:rPr>
          <w:bCs/>
          <w:sz w:val="24"/>
        </w:rPr>
      </w:pPr>
      <w:r>
        <w:rPr>
          <w:bCs/>
          <w:sz w:val="24"/>
        </w:rPr>
        <w:t>（8）本基金管理人管理的全部基金投资于同一原始权益人的各类资产支持证券，不得超过其各类资产支持证券合计规模的10％；</w:t>
      </w:r>
    </w:p>
    <w:p w14:paraId="2719642A">
      <w:pPr>
        <w:spacing w:line="360" w:lineRule="auto"/>
        <w:ind w:firstLine="480" w:firstLineChars="200"/>
        <w:rPr>
          <w:bCs/>
          <w:sz w:val="24"/>
        </w:rPr>
      </w:pPr>
      <w:r>
        <w:rPr>
          <w:bCs/>
          <w:sz w:val="24"/>
        </w:rPr>
        <w:t>（9）本基金应投资于信用级别评级为BBB以上（含BBB）的资产支持证券。基金持有资产支持证券期间，如果其信用等级下降、不再符合投资标准，应在评级报告发布之日起3个月内予以全部卖出；</w:t>
      </w:r>
    </w:p>
    <w:p w14:paraId="72A0E3D9">
      <w:pPr>
        <w:spacing w:line="360" w:lineRule="auto"/>
        <w:ind w:firstLine="480" w:firstLineChars="200"/>
        <w:rPr>
          <w:bCs/>
          <w:sz w:val="24"/>
        </w:rPr>
      </w:pPr>
      <w:r>
        <w:rPr>
          <w:bCs/>
          <w:sz w:val="24"/>
        </w:rPr>
        <w:t>（10）基金财产参与股票发行申购，本基金所申报的金额不超过本基金的总资产，本基金所申报的股票数量不超过拟发行股票公司本次发行股票的总量；</w:t>
      </w:r>
    </w:p>
    <w:p w14:paraId="72084116">
      <w:pPr>
        <w:spacing w:line="360" w:lineRule="auto"/>
        <w:ind w:firstLine="480" w:firstLineChars="200"/>
        <w:rPr>
          <w:bCs/>
          <w:sz w:val="24"/>
        </w:rPr>
      </w:pPr>
      <w:r>
        <w:rPr>
          <w:bCs/>
          <w:sz w:val="24"/>
        </w:rPr>
        <w:t>（</w:t>
      </w:r>
      <w:r>
        <w:rPr>
          <w:rFonts w:hint="eastAsia"/>
          <w:bCs/>
          <w:sz w:val="24"/>
        </w:rPr>
        <w:t>11</w:t>
      </w:r>
      <w:r>
        <w:rPr>
          <w:bCs/>
          <w:sz w:val="24"/>
        </w:rPr>
        <w:t>）本基金</w:t>
      </w:r>
      <w:r>
        <w:rPr>
          <w:rFonts w:hint="eastAsia"/>
          <w:bCs/>
          <w:sz w:val="24"/>
        </w:rPr>
        <w:t>管理人管理的全部开放式基金（包括开放式基金以及处于开放期的定期开放基金）持有一家上市公司发行的可流通股票，不得超过该上市公司可流通股票的15%</w:t>
      </w:r>
      <w:r>
        <w:rPr>
          <w:bCs/>
          <w:sz w:val="24"/>
        </w:rPr>
        <w:t>；</w:t>
      </w:r>
      <w:r>
        <w:rPr>
          <w:rFonts w:hint="eastAsia"/>
          <w:bCs/>
          <w:sz w:val="24"/>
        </w:rPr>
        <w:t>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3EE6855">
      <w:pPr>
        <w:spacing w:line="360" w:lineRule="auto"/>
        <w:ind w:firstLine="480" w:firstLineChars="200"/>
        <w:rPr>
          <w:bCs/>
          <w:sz w:val="24"/>
        </w:rPr>
      </w:pPr>
      <w:r>
        <w:rPr>
          <w:bCs/>
          <w:sz w:val="24"/>
        </w:rPr>
        <w:t>（</w:t>
      </w:r>
      <w:r>
        <w:rPr>
          <w:rFonts w:hint="eastAsia"/>
          <w:bCs/>
          <w:sz w:val="24"/>
        </w:rPr>
        <w:t>12</w:t>
      </w:r>
      <w:r>
        <w:rPr>
          <w:bCs/>
          <w:sz w:val="24"/>
        </w:rPr>
        <w:t>）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16B3D242">
      <w:pPr>
        <w:spacing w:line="360" w:lineRule="auto"/>
        <w:ind w:firstLine="480" w:firstLineChars="200"/>
        <w:rPr>
          <w:bCs/>
          <w:sz w:val="24"/>
        </w:rPr>
      </w:pPr>
      <w:r>
        <w:rPr>
          <w:bCs/>
          <w:sz w:val="24"/>
        </w:rPr>
        <w:t>（</w:t>
      </w:r>
      <w:r>
        <w:rPr>
          <w:rFonts w:hint="eastAsia"/>
          <w:bCs/>
          <w:sz w:val="24"/>
        </w:rPr>
        <w:t>13</w:t>
      </w:r>
      <w:r>
        <w:rPr>
          <w:bCs/>
          <w:sz w:val="24"/>
        </w:rPr>
        <w:t>）本基金与私募类证券资管产品及中国证监会认定的其他主体为交易对手开展逆回购交易的，可接受质押品的资质要求应当与本基金合同约定的投资范围保持一致；</w:t>
      </w:r>
    </w:p>
    <w:p w14:paraId="30B5F272">
      <w:pPr>
        <w:spacing w:line="360" w:lineRule="auto"/>
        <w:ind w:firstLine="480" w:firstLineChars="200"/>
        <w:rPr>
          <w:rFonts w:hint="eastAsia"/>
          <w:bCs/>
          <w:sz w:val="24"/>
        </w:rPr>
      </w:pPr>
      <w:r>
        <w:rPr>
          <w:rFonts w:hint="eastAsia"/>
          <w:bCs/>
          <w:sz w:val="24"/>
        </w:rPr>
        <w:t>（14）若本基金参与股指期货交易，则：</w:t>
      </w:r>
    </w:p>
    <w:p w14:paraId="6C040A26">
      <w:pPr>
        <w:spacing w:line="360" w:lineRule="auto"/>
        <w:ind w:firstLine="480" w:firstLineChars="200"/>
        <w:rPr>
          <w:rFonts w:hint="eastAsia"/>
          <w:bCs/>
          <w:sz w:val="24"/>
        </w:rPr>
      </w:pPr>
      <w:r>
        <w:rPr>
          <w:rFonts w:hint="eastAsia"/>
          <w:bCs/>
          <w:sz w:val="24"/>
        </w:rPr>
        <w:t>1）本基金在任何交易日日终，持有的买入股指期货合约价值，不得超过基金资产净值的10%；</w:t>
      </w:r>
    </w:p>
    <w:p w14:paraId="5E22DC50">
      <w:pPr>
        <w:spacing w:line="360" w:lineRule="auto"/>
        <w:ind w:firstLine="480" w:firstLineChars="200"/>
        <w:rPr>
          <w:rFonts w:hint="eastAsia"/>
          <w:bCs/>
          <w:sz w:val="24"/>
        </w:rPr>
      </w:pPr>
      <w:r>
        <w:rPr>
          <w:rFonts w:hint="eastAsia"/>
          <w:bCs/>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46C3DD0E">
      <w:pPr>
        <w:spacing w:line="360" w:lineRule="auto"/>
        <w:ind w:firstLine="480" w:firstLineChars="200"/>
        <w:rPr>
          <w:rFonts w:hint="eastAsia"/>
          <w:bCs/>
          <w:sz w:val="24"/>
        </w:rPr>
      </w:pPr>
      <w:r>
        <w:rPr>
          <w:rFonts w:hint="eastAsia"/>
          <w:bCs/>
          <w:sz w:val="24"/>
        </w:rPr>
        <w:t>3）本基金在任何交易日日终，持有的卖出股指期货合约价值不得超过基金持有的股票总市值的20%；</w:t>
      </w:r>
    </w:p>
    <w:p w14:paraId="5A9B082C">
      <w:pPr>
        <w:spacing w:line="360" w:lineRule="auto"/>
        <w:ind w:firstLine="480" w:firstLineChars="200"/>
        <w:rPr>
          <w:rFonts w:hint="eastAsia"/>
          <w:bCs/>
          <w:sz w:val="24"/>
        </w:rPr>
      </w:pPr>
      <w:r>
        <w:rPr>
          <w:rFonts w:hint="eastAsia"/>
          <w:bCs/>
          <w:sz w:val="24"/>
        </w:rPr>
        <w:t>4）本基金所持有的股票市值和买入、卖出股指期货合约价值，合计（轧差计算）应当符合基金合同关于股票投资比例的有关约定；</w:t>
      </w:r>
    </w:p>
    <w:p w14:paraId="615EDA4C">
      <w:pPr>
        <w:spacing w:line="360" w:lineRule="auto"/>
        <w:ind w:firstLine="480" w:firstLineChars="200"/>
        <w:rPr>
          <w:rFonts w:hint="eastAsia"/>
          <w:bCs/>
          <w:sz w:val="24"/>
        </w:rPr>
      </w:pPr>
      <w:r>
        <w:rPr>
          <w:rFonts w:hint="eastAsia"/>
          <w:bCs/>
          <w:sz w:val="24"/>
        </w:rPr>
        <w:t>5）本基金在任何交易日内交易（不包括平仓）的股指期货合约的成交金额不得超过上一交易日基金资产净值的20%；</w:t>
      </w:r>
    </w:p>
    <w:p w14:paraId="46B7B7D0">
      <w:pPr>
        <w:spacing w:line="360" w:lineRule="auto"/>
        <w:ind w:firstLine="480" w:firstLineChars="200"/>
        <w:rPr>
          <w:bCs/>
          <w:sz w:val="24"/>
        </w:rPr>
      </w:pPr>
      <w:r>
        <w:rPr>
          <w:bCs/>
          <w:sz w:val="24"/>
        </w:rPr>
        <w:t>（</w:t>
      </w:r>
      <w:r>
        <w:rPr>
          <w:rFonts w:hint="eastAsia"/>
          <w:bCs/>
          <w:sz w:val="24"/>
        </w:rPr>
        <w:t>15</w:t>
      </w:r>
      <w:r>
        <w:rPr>
          <w:bCs/>
          <w:sz w:val="24"/>
        </w:rPr>
        <w:t>）</w:t>
      </w:r>
      <w:r>
        <w:rPr>
          <w:rFonts w:hint="eastAsia"/>
          <w:bCs/>
          <w:sz w:val="24"/>
        </w:rPr>
        <w:t>本基金资产总值不超过基金资产净值的140%</w:t>
      </w:r>
      <w:r>
        <w:rPr>
          <w:bCs/>
          <w:sz w:val="24"/>
        </w:rPr>
        <w:t>；</w:t>
      </w:r>
    </w:p>
    <w:p w14:paraId="70962731">
      <w:pPr>
        <w:spacing w:line="360" w:lineRule="auto"/>
        <w:ind w:firstLine="480" w:firstLineChars="200"/>
        <w:rPr>
          <w:rFonts w:hint="eastAsia"/>
          <w:bCs/>
          <w:sz w:val="24"/>
        </w:rPr>
      </w:pPr>
      <w:r>
        <w:rPr>
          <w:rFonts w:hint="eastAsia"/>
          <w:bCs/>
          <w:sz w:val="24"/>
        </w:rPr>
        <w:t>（16）本基金投资存托凭证的比例限制依照境内上市交易的股票执行；</w:t>
      </w:r>
    </w:p>
    <w:p w14:paraId="2F12A743">
      <w:pPr>
        <w:spacing w:line="360" w:lineRule="auto"/>
        <w:ind w:firstLine="480" w:firstLineChars="200"/>
        <w:rPr>
          <w:bCs/>
          <w:sz w:val="24"/>
        </w:rPr>
      </w:pPr>
      <w:r>
        <w:rPr>
          <w:bCs/>
          <w:sz w:val="24"/>
        </w:rPr>
        <w:t>（</w:t>
      </w:r>
      <w:r>
        <w:rPr>
          <w:rFonts w:hint="eastAsia"/>
          <w:bCs/>
          <w:sz w:val="24"/>
        </w:rPr>
        <w:t>17</w:t>
      </w:r>
      <w:r>
        <w:rPr>
          <w:bCs/>
          <w:sz w:val="24"/>
        </w:rPr>
        <w:t>）</w:t>
      </w:r>
      <w:r>
        <w:rPr>
          <w:rFonts w:hint="eastAsia"/>
          <w:bCs/>
          <w:sz w:val="24"/>
        </w:rPr>
        <w:t>法律法规及中国证监会规定的和《基金合同》约定的其他投资限制。</w:t>
      </w:r>
    </w:p>
    <w:p w14:paraId="09F5211A">
      <w:pPr>
        <w:spacing w:line="360" w:lineRule="auto"/>
        <w:ind w:firstLine="480" w:firstLineChars="200"/>
        <w:rPr>
          <w:bCs/>
          <w:sz w:val="24"/>
        </w:rPr>
      </w:pPr>
      <w:r>
        <w:rPr>
          <w:bCs/>
          <w:sz w:val="24"/>
        </w:rPr>
        <w:t>除上述（2）、（9）、（</w:t>
      </w:r>
      <w:r>
        <w:rPr>
          <w:rFonts w:hint="eastAsia"/>
          <w:bCs/>
          <w:sz w:val="24"/>
        </w:rPr>
        <w:t>12</w:t>
      </w:r>
      <w:r>
        <w:rPr>
          <w:bCs/>
          <w:sz w:val="24"/>
        </w:rPr>
        <w:t>）、（</w:t>
      </w:r>
      <w:r>
        <w:rPr>
          <w:rFonts w:hint="eastAsia"/>
          <w:bCs/>
          <w:sz w:val="24"/>
        </w:rPr>
        <w:t>13</w:t>
      </w:r>
      <w:r>
        <w:rPr>
          <w:bCs/>
          <w:sz w:val="24"/>
        </w:rPr>
        <w:t>）情形之外，因证券</w:t>
      </w:r>
      <w:r>
        <w:rPr>
          <w:rFonts w:hint="eastAsia"/>
          <w:bCs/>
          <w:sz w:val="24"/>
        </w:rPr>
        <w:t>、</w:t>
      </w:r>
      <w:r>
        <w:rPr>
          <w:bCs/>
          <w:sz w:val="24"/>
        </w:rPr>
        <w:t>期货市场波动、</w:t>
      </w:r>
      <w:r>
        <w:rPr>
          <w:rFonts w:hint="eastAsia"/>
          <w:bCs/>
          <w:sz w:val="24"/>
        </w:rPr>
        <w:t>证券发行人</w:t>
      </w:r>
      <w:r>
        <w:rPr>
          <w:bCs/>
          <w:sz w:val="24"/>
        </w:rPr>
        <w:t>合并、基金规模变动等基金管理人之外的因素致使基金投资比例不符合上述规定投资比例的，基金管理人应当在10个交易日内进行调整</w:t>
      </w:r>
      <w:r>
        <w:rPr>
          <w:rFonts w:hint="eastAsia"/>
          <w:bCs/>
          <w:sz w:val="24"/>
        </w:rPr>
        <w:t>，</w:t>
      </w:r>
      <w:r>
        <w:rPr>
          <w:bCs/>
          <w:sz w:val="24"/>
        </w:rPr>
        <w:t>但中国证监会规定的特殊情形除外。</w:t>
      </w:r>
      <w:r>
        <w:rPr>
          <w:rFonts w:hint="eastAsia"/>
          <w:bCs/>
          <w:sz w:val="24"/>
        </w:rPr>
        <w:t>法律法规另有规定的，从其规定。</w:t>
      </w:r>
    </w:p>
    <w:p w14:paraId="7249EA9E">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0F016E37">
      <w:pPr>
        <w:spacing w:line="360" w:lineRule="auto"/>
        <w:ind w:firstLine="480" w:firstLineChars="200"/>
        <w:rPr>
          <w:bCs/>
          <w:sz w:val="24"/>
        </w:rPr>
      </w:pPr>
      <w:r>
        <w:rPr>
          <w:rFonts w:hint="eastAsia"/>
          <w:bCs/>
          <w:sz w:val="24"/>
        </w:rPr>
        <w:t>法律法规或监管部门取消或者变更上述限制，如适用于本基金，基金管理人在履行适当程序后，则本基金投资不再受相关限制或以变更后的规定为准。</w:t>
      </w:r>
    </w:p>
    <w:p w14:paraId="19F1667D">
      <w:pPr>
        <w:spacing w:line="360" w:lineRule="auto"/>
        <w:ind w:firstLine="480" w:firstLineChars="200"/>
        <w:rPr>
          <w:bCs/>
          <w:sz w:val="24"/>
        </w:rPr>
      </w:pPr>
      <w:r>
        <w:rPr>
          <w:bCs/>
          <w:sz w:val="24"/>
        </w:rPr>
        <w:t>2</w:t>
      </w:r>
      <w:r>
        <w:rPr>
          <w:rFonts w:hint="eastAsia"/>
          <w:bCs/>
          <w:sz w:val="24"/>
        </w:rPr>
        <w:t>、</w:t>
      </w:r>
      <w:r>
        <w:rPr>
          <w:bCs/>
          <w:sz w:val="24"/>
        </w:rPr>
        <w:t>禁止行为</w:t>
      </w:r>
    </w:p>
    <w:p w14:paraId="1210365F">
      <w:pPr>
        <w:spacing w:line="360" w:lineRule="auto"/>
        <w:ind w:firstLine="480" w:firstLineChars="200"/>
        <w:rPr>
          <w:bCs/>
          <w:sz w:val="24"/>
        </w:rPr>
      </w:pPr>
      <w:r>
        <w:rPr>
          <w:bCs/>
          <w:sz w:val="24"/>
        </w:rPr>
        <w:t>为维护基金份额持有人的合法权益，基金财产不得用于下列投资或者活动：</w:t>
      </w:r>
    </w:p>
    <w:p w14:paraId="138046E0">
      <w:pPr>
        <w:spacing w:line="360" w:lineRule="auto"/>
        <w:ind w:firstLine="480" w:firstLineChars="200"/>
        <w:rPr>
          <w:bCs/>
          <w:sz w:val="24"/>
        </w:rPr>
      </w:pPr>
      <w:r>
        <w:rPr>
          <w:bCs/>
          <w:sz w:val="24"/>
        </w:rPr>
        <w:t>（1）承销证券；</w:t>
      </w:r>
    </w:p>
    <w:p w14:paraId="7DC60D76">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426810F6">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5FB7096B">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2271EF6A">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465A71AE">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43CC68E8">
      <w:pPr>
        <w:spacing w:line="360" w:lineRule="auto"/>
        <w:ind w:firstLine="480" w:firstLineChars="200"/>
        <w:rPr>
          <w:rFonts w:hint="eastAsia"/>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5770C587">
      <w:pPr>
        <w:spacing w:line="360" w:lineRule="auto"/>
        <w:ind w:firstLine="480" w:firstLineChars="200"/>
        <w:rPr>
          <w:bCs/>
          <w:sz w:val="24"/>
        </w:rPr>
      </w:pP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5F15048">
      <w:pPr>
        <w:spacing w:line="360" w:lineRule="auto"/>
        <w:ind w:firstLine="480" w:firstLineChars="200"/>
        <w:rPr>
          <w:rFonts w:hint="eastAsia"/>
          <w:bCs/>
          <w:sz w:val="24"/>
        </w:rPr>
      </w:pPr>
      <w:r>
        <w:rPr>
          <w:rFonts w:hint="eastAsia"/>
          <w:bCs/>
          <w:sz w:val="24"/>
        </w:rPr>
        <w:t>如法律、行政法规或监管部门取消或变更上述规定，如适用于本基金，基金管理人在履行适当程序后，本基金可不受上述规定的限制或以变更后的规定为准。</w:t>
      </w:r>
    </w:p>
    <w:p w14:paraId="7331C420">
      <w:pPr>
        <w:spacing w:line="360" w:lineRule="auto"/>
        <w:ind w:firstLine="480" w:firstLineChars="200"/>
        <w:outlineLvl w:val="2"/>
        <w:rPr>
          <w:bCs/>
          <w:sz w:val="24"/>
        </w:rPr>
      </w:pPr>
      <w:r>
        <w:rPr>
          <w:rFonts w:hint="eastAsia"/>
          <w:bCs/>
          <w:sz w:val="24"/>
        </w:rPr>
        <w:t>（</w:t>
      </w:r>
      <w:r>
        <w:rPr>
          <w:bCs/>
          <w:sz w:val="24"/>
        </w:rPr>
        <w:t>五</w:t>
      </w:r>
      <w:r>
        <w:rPr>
          <w:rFonts w:hint="eastAsia"/>
          <w:bCs/>
          <w:sz w:val="24"/>
        </w:rPr>
        <w:t>）</w:t>
      </w:r>
      <w:r>
        <w:rPr>
          <w:bCs/>
          <w:sz w:val="24"/>
        </w:rPr>
        <w:t>业绩比较基准</w:t>
      </w:r>
    </w:p>
    <w:p w14:paraId="1ADC9252">
      <w:pPr>
        <w:spacing w:line="360" w:lineRule="auto"/>
        <w:ind w:firstLine="480" w:firstLineChars="200"/>
        <w:rPr>
          <w:rFonts w:hint="eastAsia"/>
          <w:bCs/>
          <w:sz w:val="24"/>
        </w:rPr>
      </w:pPr>
      <w:r>
        <w:rPr>
          <w:rFonts w:hint="eastAsia"/>
          <w:bCs/>
          <w:sz w:val="24"/>
        </w:rPr>
        <w:t>本基金业绩比较基准：中证内地低碳经济主题指数收益率×75%+国证港股通新能源指数（人民币）收益率×5%+中债-综合全价（总值）指数收益率×20%。</w:t>
      </w:r>
    </w:p>
    <w:p w14:paraId="1F265357">
      <w:pPr>
        <w:spacing w:line="360" w:lineRule="auto"/>
        <w:ind w:firstLine="480" w:firstLineChars="200"/>
        <w:rPr>
          <w:rFonts w:hint="eastAsia"/>
          <w:bCs/>
          <w:sz w:val="24"/>
        </w:rPr>
      </w:pPr>
      <w:r>
        <w:rPr>
          <w:rFonts w:hint="eastAsia"/>
          <w:bCs/>
          <w:sz w:val="24"/>
        </w:rPr>
        <w:t>1、业绩比较基准设定的原因</w:t>
      </w:r>
    </w:p>
    <w:p w14:paraId="5DABEA57">
      <w:pPr>
        <w:spacing w:line="360" w:lineRule="auto"/>
        <w:ind w:firstLine="480" w:firstLineChars="200"/>
        <w:rPr>
          <w:rFonts w:hint="eastAsia"/>
          <w:bCs/>
          <w:sz w:val="24"/>
        </w:rPr>
      </w:pPr>
      <w:r>
        <w:rPr>
          <w:rFonts w:hint="eastAsia"/>
          <w:bCs/>
          <w:sz w:val="24"/>
        </w:rPr>
        <w:t>（1）基于基金投资范围以及预期投资的主要资产类别，本基金主要投资于A股股票、港股通股票、债券等资产，相应选取与之匹配的A股指数、港股通指数与债券指数作为基准要素；同时基于基金投资股票资产（含存托凭证）占基金资产的比例为60%-95%（其中港股通股票不超过股票资产的50%）、投资于低碳经济主题相关股票（含存托凭证）的资产不低于非现金基金资产的 80%等投资比例限制，以及预期的资产配置比例，本基金将股票资产与债券资产所对应的基准要素权重分别设置为80%与20%，其中将股票资产中的A股股票与港股通股票所对应的基准要素权重分别设置为75%与5%。</w:t>
      </w:r>
    </w:p>
    <w:p w14:paraId="622C4530">
      <w:pPr>
        <w:spacing w:line="360" w:lineRule="auto"/>
        <w:ind w:firstLine="480" w:firstLineChars="200"/>
        <w:rPr>
          <w:rFonts w:hint="eastAsia"/>
          <w:bCs/>
          <w:sz w:val="24"/>
        </w:rPr>
      </w:pPr>
      <w:r>
        <w:rPr>
          <w:rFonts w:hint="eastAsia"/>
          <w:bCs/>
          <w:sz w:val="24"/>
        </w:rPr>
        <w:t>（2）基于基金投资目标、投资范围和投资策略，本基金的股票资产主要投向低碳经济主题相关公司，并在低碳经济主题相关领域中精选在公司治理、财务及管理品质上符合基本品质要求、估值具有吸引力的优质公司，从而力争在控制风险的基础上追求超越业绩比较基准的投资回报。综合考虑基准指数与产品定位、投资风格与主题库的匹配度，同时兼顾考虑基准指数的表征性、认可度，以及指数主题界定、市值覆盖、行业与个股分布等，本基金选取中证内地低碳经济主题指数和国证港股通新能源指数（人民币）分别作为A股和港股通股票部分的基准要素，具体情况如下：</w:t>
      </w:r>
    </w:p>
    <w:p w14:paraId="67D19964">
      <w:pPr>
        <w:spacing w:line="360" w:lineRule="auto"/>
        <w:ind w:firstLine="480" w:firstLineChars="200"/>
        <w:rPr>
          <w:rFonts w:hint="eastAsia"/>
          <w:bCs/>
          <w:sz w:val="24"/>
        </w:rPr>
      </w:pPr>
      <w:r>
        <w:rPr>
          <w:rFonts w:hint="eastAsia"/>
          <w:bCs/>
          <w:sz w:val="24"/>
        </w:rPr>
        <w:t>中证内地低碳经济主题指数由清洁能源发电、能源转换及存储、清洁生产及消费与废物处理等公司组成，以反映低碳经济主题上市公司证券的整体表现，适合作为本基金A股股票部分的业绩比较基准要素。</w:t>
      </w:r>
    </w:p>
    <w:p w14:paraId="5AE14431">
      <w:pPr>
        <w:spacing w:line="360" w:lineRule="auto"/>
        <w:ind w:firstLine="480" w:firstLineChars="200"/>
        <w:rPr>
          <w:rFonts w:hint="eastAsia"/>
          <w:bCs/>
          <w:sz w:val="24"/>
        </w:rPr>
      </w:pPr>
      <w:r>
        <w:rPr>
          <w:rFonts w:hint="eastAsia"/>
          <w:bCs/>
          <w:sz w:val="24"/>
        </w:rPr>
        <w:t>国证港股通新能源指数（人民币）旨在反映港股通范围内新能源领域相关上市公司的运行特征，适合作为本基金港股通股票部分的业绩比较基准要素。</w:t>
      </w:r>
    </w:p>
    <w:p w14:paraId="0073DD14">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综合全价（总值）指数作为债券部分的业绩比较基准要素。</w:t>
      </w:r>
    </w:p>
    <w:p w14:paraId="79E26BC0">
      <w:pPr>
        <w:spacing w:line="360" w:lineRule="auto"/>
        <w:ind w:firstLine="480" w:firstLineChars="200"/>
        <w:rPr>
          <w:rFonts w:hint="eastAsia"/>
          <w:bCs/>
          <w:sz w:val="24"/>
        </w:rPr>
      </w:pPr>
      <w:r>
        <w:rPr>
          <w:rFonts w:hint="eastAsia"/>
          <w:bCs/>
          <w:sz w:val="24"/>
        </w:rPr>
        <w:t>中债-综合全价（总值）指数其样本债券涵盖的范围全面，具有广泛的市场代表性，涵盖主要交易市场（银行间市场、交易所市场等）、不同发行主体（政府、企业等）和期限（长期、中期、短期等），反映境内人民币债券市场整体表现，适合作为本基金债券部分的业绩比较基准要素。</w:t>
      </w:r>
    </w:p>
    <w:p w14:paraId="756B0A01">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1DCB3218">
      <w:pPr>
        <w:spacing w:line="360" w:lineRule="auto"/>
        <w:ind w:firstLine="480" w:firstLineChars="200"/>
        <w:rPr>
          <w:rFonts w:hint="eastAsia"/>
          <w:bCs/>
          <w:sz w:val="24"/>
        </w:rPr>
      </w:pPr>
      <w:r>
        <w:rPr>
          <w:rFonts w:hint="eastAsia"/>
          <w:bCs/>
          <w:sz w:val="24"/>
        </w:rPr>
        <w:t>2、业绩比较基准要素的基本信息</w:t>
      </w:r>
    </w:p>
    <w:p w14:paraId="7F0E9A6F">
      <w:pPr>
        <w:spacing w:line="360" w:lineRule="auto"/>
        <w:ind w:firstLine="480" w:firstLineChars="200"/>
        <w:rPr>
          <w:rFonts w:hint="eastAsia"/>
          <w:bCs/>
          <w:sz w:val="24"/>
        </w:rPr>
      </w:pPr>
      <w:r>
        <w:rPr>
          <w:rFonts w:hint="eastAsia"/>
          <w:bCs/>
          <w:sz w:val="24"/>
        </w:rPr>
        <w:t>中证内地低碳经济主题指数由中证指数有限公司编制发布，指数代码为000977，指数具体信息详见中证指数有限公司网站，网址：www.csindex.com.cn。</w:t>
      </w:r>
    </w:p>
    <w:p w14:paraId="541D85CA">
      <w:pPr>
        <w:spacing w:line="360" w:lineRule="auto"/>
        <w:ind w:firstLine="480" w:firstLineChars="200"/>
        <w:rPr>
          <w:bCs/>
          <w:sz w:val="24"/>
        </w:rPr>
      </w:pPr>
      <w:r>
        <w:rPr>
          <w:rFonts w:hint="eastAsia"/>
          <w:bCs/>
          <w:sz w:val="24"/>
        </w:rPr>
        <w:t>国证港股通新能源指数（人民币）由深圳证券信息有限公司编制发布，指数代码为9</w:t>
      </w:r>
      <w:r>
        <w:rPr>
          <w:bCs/>
          <w:sz w:val="24"/>
        </w:rPr>
        <w:t>87027</w:t>
      </w:r>
      <w:r>
        <w:rPr>
          <w:rFonts w:hint="eastAsia"/>
          <w:bCs/>
          <w:sz w:val="24"/>
        </w:rPr>
        <w:t>，指数具体信息详见深圳证券信息有限公司网站，网址：</w:t>
      </w:r>
      <w:r>
        <w:rPr>
          <w:bCs/>
          <w:sz w:val="24"/>
        </w:rPr>
        <w:fldChar w:fldCharType="begin"/>
      </w:r>
      <w:r>
        <w:rPr>
          <w:bCs/>
          <w:sz w:val="24"/>
        </w:rPr>
        <w:instrText xml:space="preserve"> HYPERLINK "http://</w:instrText>
      </w:r>
      <w:r>
        <w:rPr>
          <w:rFonts w:hint="eastAsia"/>
          <w:bCs/>
          <w:sz w:val="24"/>
        </w:rPr>
        <w:instrText xml:space="preserve">www.cnindex.com.cn</w:instrText>
      </w:r>
      <w:r>
        <w:rPr>
          <w:bCs/>
          <w:sz w:val="24"/>
        </w:rPr>
        <w:instrText xml:space="preserve">" </w:instrText>
      </w:r>
      <w:r>
        <w:rPr>
          <w:bCs/>
          <w:sz w:val="24"/>
        </w:rPr>
        <w:fldChar w:fldCharType="separate"/>
      </w:r>
      <w:r>
        <w:rPr>
          <w:rStyle w:val="25"/>
          <w:rFonts w:hint="eastAsia"/>
          <w:bCs/>
          <w:sz w:val="24"/>
        </w:rPr>
        <w:t>www.cnindex.com.cn</w:t>
      </w:r>
      <w:r>
        <w:rPr>
          <w:bCs/>
          <w:sz w:val="24"/>
        </w:rPr>
        <w:fldChar w:fldCharType="end"/>
      </w:r>
      <w:r>
        <w:rPr>
          <w:rFonts w:hint="eastAsia"/>
          <w:bCs/>
          <w:sz w:val="24"/>
        </w:rPr>
        <w:t>。</w:t>
      </w:r>
    </w:p>
    <w:p w14:paraId="71EDBF2A">
      <w:pPr>
        <w:spacing w:line="360" w:lineRule="auto"/>
        <w:ind w:firstLine="480" w:firstLineChars="200"/>
        <w:rPr>
          <w:rFonts w:hint="eastAsia"/>
          <w:bCs/>
          <w:sz w:val="24"/>
        </w:rPr>
      </w:pPr>
      <w:r>
        <w:rPr>
          <w:rFonts w:hint="eastAsia"/>
          <w:bCs/>
          <w:sz w:val="24"/>
        </w:rPr>
        <w:t>中债-综合全价（总值）指数由中债金融估值中心有限公司编制发布，指数代码为CBA00203，指数具体信息详见中国债券信息网，网址：www.chinabond.com.cn。</w:t>
      </w:r>
    </w:p>
    <w:p w14:paraId="7A5F0B4C">
      <w:pPr>
        <w:spacing w:line="360" w:lineRule="auto"/>
        <w:ind w:firstLine="480" w:firstLineChars="200"/>
        <w:rPr>
          <w:rFonts w:hint="eastAsia"/>
          <w:bCs/>
          <w:sz w:val="24"/>
        </w:rPr>
      </w:pPr>
      <w:r>
        <w:rPr>
          <w:rFonts w:hint="eastAsia"/>
          <w:bCs/>
          <w:sz w:val="24"/>
        </w:rPr>
        <w:t>3、业绩比较基准的计算方法</w:t>
      </w:r>
    </w:p>
    <w:p w14:paraId="259C3073">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证内地低碳经济主题指数、国证港股通新能源指数（人民币）、中债-综合全价（总值）指数的每日收益率，再按照预设权重比例计算当日组合要素基准的日收益率，并连乘每日收益率。</w:t>
      </w:r>
    </w:p>
    <w:p w14:paraId="0BA0F00E">
      <w:pPr>
        <w:spacing w:line="360" w:lineRule="auto"/>
        <w:ind w:firstLine="480" w:firstLineChars="200"/>
        <w:rPr>
          <w:rFonts w:hint="eastAsia"/>
          <w:bCs/>
          <w:sz w:val="24"/>
        </w:rPr>
      </w:pPr>
      <w:r>
        <w:rPr>
          <w:rFonts w:hint="eastAsia"/>
          <w:bCs/>
          <w:sz w:val="24"/>
        </w:rPr>
        <w:t>4、管理投资偏离业绩比较基准的定性或定量方法</w:t>
      </w:r>
    </w:p>
    <w:p w14:paraId="2F46326A">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保持主要配置低碳经济主题的上市公司，从而力争在控制风险的基础上追求超越业绩比较基准的投资回报。</w:t>
      </w:r>
    </w:p>
    <w:p w14:paraId="475234BF">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0EFA551D">
      <w:pPr>
        <w:spacing w:line="360" w:lineRule="auto"/>
        <w:ind w:firstLine="480" w:firstLineChars="200"/>
        <w:rPr>
          <w:rFonts w:hint="eastAsia"/>
          <w:bCs/>
          <w:sz w:val="24"/>
        </w:rPr>
      </w:pPr>
      <w:r>
        <w:rPr>
          <w:rFonts w:hint="eastAsia"/>
          <w:bCs/>
          <w:sz w:val="24"/>
        </w:rPr>
        <w:t>5、未来可能变更业绩比较基准的情况和程序</w:t>
      </w:r>
    </w:p>
    <w:p w14:paraId="2E042698">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5E84629">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AEC2A77">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59702669">
      <w:pPr>
        <w:spacing w:line="360" w:lineRule="auto"/>
        <w:ind w:firstLine="480" w:firstLineChars="200"/>
        <w:rPr>
          <w:rFonts w:hint="eastAsia"/>
          <w:bCs/>
          <w:sz w:val="24"/>
        </w:rPr>
      </w:pPr>
      <w:r>
        <w:rPr>
          <w:rFonts w:hint="eastAsia"/>
          <w:bCs/>
          <w:sz w:val="24"/>
        </w:rPr>
        <w:t>（3）中国证监会认可的其他情形。</w:t>
      </w:r>
    </w:p>
    <w:p w14:paraId="4DB848B6">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4E07D26A">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467B4251">
      <w:pPr>
        <w:spacing w:line="360" w:lineRule="auto"/>
        <w:ind w:firstLine="480" w:firstLineChars="200"/>
        <w:rPr>
          <w:rFonts w:hint="eastAsia"/>
          <w:bCs/>
          <w:sz w:val="24"/>
        </w:rPr>
      </w:pPr>
      <w:r>
        <w:rPr>
          <w:rFonts w:hint="eastAsia"/>
          <w:bCs/>
          <w:sz w:val="24"/>
        </w:rPr>
        <w:t>（2）其他对基金份额持有人利益产生重大实质性影响的情形。</w:t>
      </w:r>
      <w:bookmarkEnd w:id="1"/>
    </w:p>
    <w:p w14:paraId="010B804E">
      <w:pPr>
        <w:numPr>
          <w:ilvl w:val="0"/>
          <w:numId w:val="0"/>
        </w:numPr>
        <w:spacing w:line="360" w:lineRule="auto"/>
        <w:ind w:firstLine="480" w:firstLineChars="200"/>
        <w:outlineLvl w:val="1"/>
        <w:rPr>
          <w:bCs/>
          <w:sz w:val="24"/>
        </w:rPr>
      </w:pPr>
      <w:r>
        <w:rPr>
          <w:rFonts w:hint="eastAsia" w:cs="Times New Roman"/>
          <w:bCs/>
          <w:kern w:val="2"/>
          <w:sz w:val="24"/>
          <w:lang w:val="en-US" w:eastAsia="zh-CN" w:bidi="ar-SA"/>
        </w:rPr>
        <w:t>（</w:t>
      </w:r>
      <w:r>
        <w:rPr>
          <w:rFonts w:ascii="Times New Roman" w:hAnsi="Times New Roman" w:eastAsia="宋体" w:cs="Times New Roman"/>
          <w:bCs/>
          <w:kern w:val="2"/>
          <w:sz w:val="24"/>
          <w:lang w:val="en-US" w:eastAsia="zh-CN" w:bidi="ar-SA"/>
        </w:rPr>
        <w:t>六</w:t>
      </w:r>
      <w:r>
        <w:rPr>
          <w:rFonts w:hint="eastAsia" w:cs="Times New Roman"/>
          <w:bCs/>
          <w:kern w:val="2"/>
          <w:sz w:val="24"/>
          <w:lang w:val="en-US" w:eastAsia="zh-CN" w:bidi="ar-SA"/>
        </w:rPr>
        <w:t>）</w:t>
      </w:r>
      <w:r>
        <w:rPr>
          <w:bCs/>
          <w:sz w:val="24"/>
        </w:rPr>
        <w:t>风险收益特征</w:t>
      </w:r>
    </w:p>
    <w:p w14:paraId="362216AE">
      <w:pPr>
        <w:spacing w:line="360" w:lineRule="auto"/>
        <w:ind w:firstLine="480" w:firstLineChars="200"/>
        <w:rPr>
          <w:bCs/>
          <w:sz w:val="24"/>
        </w:rPr>
      </w:pPr>
      <w:r>
        <w:rPr>
          <w:rFonts w:hint="eastAsia"/>
          <w:bCs/>
          <w:sz w:val="24"/>
        </w:rPr>
        <w:t>本基金是一只混合型基金，其预期风险和预期收益理论上高于债券型基金和货币市场基金，低于股票型基金。</w:t>
      </w:r>
    </w:p>
    <w:p w14:paraId="6845735E">
      <w:pPr>
        <w:spacing w:line="360" w:lineRule="auto"/>
        <w:ind w:firstLine="480" w:firstLineChars="200"/>
        <w:rPr>
          <w:rFonts w:hint="eastAsia"/>
          <w:bCs/>
          <w:sz w:val="24"/>
        </w:rPr>
      </w:pPr>
      <w:r>
        <w:rPr>
          <w:rFonts w:hint="eastAsia"/>
          <w:bCs/>
          <w:sz w:val="24"/>
        </w:rPr>
        <w:t>本基金可投资港股通标的股票，会面临港股通机制下因投资环境、投资标的、市场制度以及交易规则等差异带来的特有风险。</w:t>
      </w:r>
    </w:p>
    <w:p w14:paraId="7535C2ED">
      <w:pPr>
        <w:spacing w:line="360" w:lineRule="auto"/>
        <w:ind w:firstLine="480" w:firstLineChars="200"/>
        <w:outlineLvl w:val="1"/>
        <w:rPr>
          <w:bCs/>
          <w:sz w:val="24"/>
        </w:rPr>
      </w:pPr>
      <w:r>
        <w:rPr>
          <w:rFonts w:hint="eastAsia"/>
          <w:bCs/>
          <w:sz w:val="24"/>
          <w:lang w:eastAsia="zh-CN"/>
        </w:rPr>
        <w:t>（</w:t>
      </w:r>
      <w:r>
        <w:rPr>
          <w:bCs/>
          <w:sz w:val="24"/>
        </w:rPr>
        <w:t>七</w:t>
      </w:r>
      <w:r>
        <w:rPr>
          <w:rFonts w:hint="eastAsia"/>
          <w:bCs/>
          <w:sz w:val="24"/>
          <w:lang w:eastAsia="zh-CN"/>
        </w:rPr>
        <w:t>）</w:t>
      </w:r>
      <w:r>
        <w:rPr>
          <w:bCs/>
          <w:sz w:val="24"/>
        </w:rPr>
        <w:t>基金管理人代表基金行使股东或债权人权利的处理原则及方法</w:t>
      </w:r>
    </w:p>
    <w:p w14:paraId="54FE7BA6">
      <w:pPr>
        <w:spacing w:line="360" w:lineRule="auto"/>
        <w:ind w:firstLine="480" w:firstLineChars="200"/>
        <w:rPr>
          <w:bCs/>
          <w:sz w:val="24"/>
        </w:rPr>
      </w:pPr>
      <w:r>
        <w:rPr>
          <w:bCs/>
          <w:sz w:val="24"/>
        </w:rPr>
        <w:t>1、基金管理人按照国家有关规定代表基金独立行使股东或债权人权利，保护基金份额持有人的利益；</w:t>
      </w:r>
    </w:p>
    <w:p w14:paraId="4913C33B">
      <w:pPr>
        <w:spacing w:line="360" w:lineRule="auto"/>
        <w:ind w:firstLine="480" w:firstLineChars="200"/>
        <w:rPr>
          <w:bCs/>
          <w:sz w:val="24"/>
        </w:rPr>
      </w:pPr>
      <w:r>
        <w:rPr>
          <w:bCs/>
          <w:sz w:val="24"/>
        </w:rPr>
        <w:t>2、不谋求对上市公司的控股；</w:t>
      </w:r>
    </w:p>
    <w:p w14:paraId="7AB13631">
      <w:pPr>
        <w:spacing w:line="360" w:lineRule="auto"/>
        <w:ind w:firstLine="480" w:firstLineChars="200"/>
        <w:rPr>
          <w:bCs/>
          <w:sz w:val="24"/>
        </w:rPr>
      </w:pPr>
      <w:r>
        <w:rPr>
          <w:bCs/>
          <w:sz w:val="24"/>
        </w:rPr>
        <w:t>3、有利于基金财产的安全与增值；</w:t>
      </w:r>
    </w:p>
    <w:p w14:paraId="23B0646F">
      <w:pPr>
        <w:spacing w:line="360" w:lineRule="auto"/>
        <w:ind w:firstLine="480" w:firstLineChars="200"/>
        <w:outlineLvl w:val="2"/>
        <w:rPr>
          <w:rFonts w:hint="eastAsia"/>
          <w:bCs/>
          <w:sz w:val="24"/>
        </w:rPr>
      </w:pPr>
      <w:r>
        <w:rPr>
          <w:bCs/>
          <w:sz w:val="24"/>
        </w:rPr>
        <w:t>4、不通过关联交易为自身、雇员、授权代理人或任何存在利害关系的第三人牟取任何不当利益。</w:t>
      </w:r>
    </w:p>
    <w:p w14:paraId="17372670">
      <w:pPr>
        <w:spacing w:line="360" w:lineRule="auto"/>
        <w:ind w:firstLine="480" w:firstLineChars="200"/>
        <w:outlineLvl w:val="2"/>
        <w:rPr>
          <w:rFonts w:hint="eastAsia"/>
          <w:bCs/>
          <w:sz w:val="24"/>
        </w:rPr>
      </w:pPr>
      <w:r>
        <w:rPr>
          <w:rFonts w:hint="eastAsia"/>
          <w:bCs/>
          <w:sz w:val="24"/>
        </w:rPr>
        <w:t>（</w:t>
      </w:r>
      <w:r>
        <w:rPr>
          <w:rFonts w:hint="eastAsia"/>
          <w:bCs/>
          <w:sz w:val="24"/>
          <w:lang w:val="en-US" w:eastAsia="zh-CN"/>
        </w:rPr>
        <w:t>八</w:t>
      </w:r>
      <w:r>
        <w:rPr>
          <w:rFonts w:hint="eastAsia"/>
          <w:bCs/>
          <w:sz w:val="24"/>
        </w:rPr>
        <w:t>）侧袋机制的实施和投资运作安排</w:t>
      </w:r>
    </w:p>
    <w:p w14:paraId="2BF0D909">
      <w:pPr>
        <w:spacing w:line="360" w:lineRule="auto"/>
        <w:ind w:firstLine="480" w:firstLineChars="200"/>
        <w:rPr>
          <w:rFonts w:hint="eastAsia"/>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0438168B">
      <w:pPr>
        <w:spacing w:line="360" w:lineRule="auto"/>
        <w:ind w:firstLine="480" w:firstLineChars="200"/>
        <w:rPr>
          <w:rFonts w:hint="eastAsia"/>
          <w:bCs/>
          <w:sz w:val="24"/>
        </w:rPr>
      </w:pPr>
      <w:r>
        <w:rPr>
          <w:rFonts w:hint="eastAsia"/>
          <w:bCs/>
          <w:sz w:val="24"/>
        </w:rPr>
        <w:t>侧袋机制实施期间，本部分约定的投资组合比例、投资策略、组合限制、业绩比较基准、风险收益特征等约定仅适用于主袋账户。</w:t>
      </w:r>
    </w:p>
    <w:p w14:paraId="4DBC0092">
      <w:pPr>
        <w:spacing w:line="360" w:lineRule="auto"/>
        <w:ind w:firstLine="480" w:firstLineChars="200"/>
        <w:rPr>
          <w:rFonts w:hint="eastAsia"/>
          <w:bCs/>
          <w:sz w:val="24"/>
        </w:rPr>
      </w:pPr>
      <w:r>
        <w:rPr>
          <w:rFonts w:hint="eastAsia"/>
          <w:bCs/>
          <w:sz w:val="24"/>
        </w:rPr>
        <w:t>侧袋账户的实施条件、实施程序、运作安排、投资安排、特定资产的处置变现和支付等对投资者权益有重大影响的事项详见招募说明书的规定。</w:t>
      </w:r>
    </w:p>
    <w:p w14:paraId="19CE78BF">
      <w:pPr>
        <w:spacing w:line="360" w:lineRule="auto"/>
        <w:ind w:firstLine="482" w:firstLineChars="200"/>
        <w:outlineLvl w:val="1"/>
        <w:rPr>
          <w:b/>
          <w:bCs/>
          <w:sz w:val="24"/>
        </w:rPr>
      </w:pPr>
      <w:r>
        <w:rPr>
          <w:b/>
          <w:bCs/>
          <w:sz w:val="24"/>
        </w:rPr>
        <w:t>六、基金资产净值的计算方法和公告方式</w:t>
      </w:r>
    </w:p>
    <w:p w14:paraId="01D8EE15">
      <w:pPr>
        <w:spacing w:line="360" w:lineRule="auto"/>
        <w:ind w:firstLine="480" w:firstLineChars="200"/>
        <w:outlineLvl w:val="2"/>
        <w:rPr>
          <w:bCs/>
          <w:sz w:val="24"/>
        </w:rPr>
      </w:pPr>
      <w:bookmarkStart w:id="2" w:name="_Hlk50386096"/>
      <w:r>
        <w:rPr>
          <w:bCs/>
          <w:sz w:val="24"/>
        </w:rPr>
        <w:t>（一）估值方法</w:t>
      </w:r>
    </w:p>
    <w:p w14:paraId="171AB812">
      <w:pPr>
        <w:spacing w:line="360" w:lineRule="auto"/>
        <w:ind w:firstLine="480" w:firstLineChars="200"/>
        <w:rPr>
          <w:rFonts w:hint="eastAsia"/>
          <w:bCs/>
          <w:sz w:val="24"/>
        </w:rPr>
      </w:pPr>
      <w:r>
        <w:rPr>
          <w:rFonts w:hint="eastAsia"/>
          <w:bCs/>
          <w:sz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B09EF9F">
      <w:pPr>
        <w:spacing w:line="360" w:lineRule="auto"/>
        <w:ind w:firstLine="480" w:firstLineChars="200"/>
        <w:rPr>
          <w:rFonts w:hint="eastAsia"/>
          <w:bCs/>
          <w:sz w:val="24"/>
        </w:rPr>
      </w:pPr>
      <w:r>
        <w:rPr>
          <w:rFonts w:hint="eastAsia"/>
          <w:bCs/>
          <w:sz w:val="24"/>
        </w:rPr>
        <w:t>2、处于未上市期间的有价证券应区分如下情况处理：</w:t>
      </w:r>
    </w:p>
    <w:p w14:paraId="40E469BF">
      <w:pPr>
        <w:spacing w:line="360" w:lineRule="auto"/>
        <w:ind w:firstLine="480" w:firstLineChars="200"/>
        <w:rPr>
          <w:rFonts w:hint="eastAsia"/>
          <w:bCs/>
          <w:sz w:val="24"/>
        </w:rPr>
      </w:pPr>
      <w:r>
        <w:rPr>
          <w:rFonts w:hint="eastAsia"/>
          <w:bCs/>
          <w:sz w:val="24"/>
        </w:rPr>
        <w:t>（1）送股、转增股、配股和公开增发的新股，按估值日在证券交易所挂牌的同一股票的估值方法估值；该日无交易的，以最近一日的市价（收盘价）估值；</w:t>
      </w:r>
    </w:p>
    <w:p w14:paraId="69D85FB7">
      <w:pPr>
        <w:spacing w:line="360" w:lineRule="auto"/>
        <w:ind w:firstLine="480" w:firstLineChars="200"/>
        <w:rPr>
          <w:rFonts w:hint="eastAsia"/>
          <w:bCs/>
          <w:sz w:val="24"/>
        </w:rPr>
      </w:pPr>
      <w:r>
        <w:rPr>
          <w:rFonts w:hint="eastAsia"/>
          <w:bCs/>
          <w:sz w:val="24"/>
        </w:rPr>
        <w:t>（2）首次公开发行未上市的股票和债券，采用估值技术确定公允价值；</w:t>
      </w:r>
    </w:p>
    <w:p w14:paraId="7AE921A9">
      <w:pPr>
        <w:spacing w:line="360" w:lineRule="auto"/>
        <w:ind w:firstLine="480" w:firstLineChars="200"/>
        <w:rPr>
          <w:rFonts w:hint="eastAsia"/>
          <w:bCs/>
          <w:sz w:val="24"/>
        </w:rPr>
      </w:pPr>
      <w:r>
        <w:rPr>
          <w:rFonts w:hint="eastAsia"/>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501E2132">
      <w:pPr>
        <w:spacing w:line="360" w:lineRule="auto"/>
        <w:ind w:firstLine="480" w:firstLineChars="200"/>
        <w:rPr>
          <w:rFonts w:hint="eastAsia"/>
          <w:bCs/>
          <w:sz w:val="24"/>
        </w:rPr>
      </w:pPr>
      <w:r>
        <w:rPr>
          <w:rFonts w:hint="eastAsia"/>
          <w:bCs/>
          <w:sz w:val="24"/>
        </w:rPr>
        <w:t>3、对于已上市或已挂牌转让的不含权固定收益品种（另有规定的除外），选取第三方估值基准服务机构提供的相应品种当日的估值全价进行估值。</w:t>
      </w:r>
    </w:p>
    <w:p w14:paraId="7ACA29F4">
      <w:pPr>
        <w:spacing w:line="360" w:lineRule="auto"/>
        <w:ind w:firstLine="480" w:firstLineChars="200"/>
        <w:rPr>
          <w:rFonts w:hint="eastAsia"/>
          <w:bCs/>
          <w:sz w:val="24"/>
        </w:rPr>
      </w:pPr>
      <w:r>
        <w:rPr>
          <w:rFonts w:hint="eastAsia"/>
          <w:bCs/>
          <w:sz w:val="24"/>
        </w:rPr>
        <w:t>4、对于已上市或已挂牌转让的含权固定收益品种（另有规定的除外），选取第三方估值基准服务机构提供的相应品种当日的唯一估值全价或推荐估值全价进行估值。</w:t>
      </w:r>
    </w:p>
    <w:p w14:paraId="75B76D3E">
      <w:pPr>
        <w:spacing w:line="360" w:lineRule="auto"/>
        <w:ind w:firstLine="480" w:firstLineChars="200"/>
        <w:rPr>
          <w:rFonts w:hint="eastAsia"/>
          <w:bCs/>
          <w:sz w:val="24"/>
        </w:rPr>
      </w:pPr>
      <w:r>
        <w:rPr>
          <w:rFonts w:hint="eastAsia"/>
          <w:bCs/>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37C5E2A0">
      <w:pPr>
        <w:spacing w:line="360" w:lineRule="auto"/>
        <w:ind w:firstLine="480" w:firstLineChars="200"/>
        <w:rPr>
          <w:rFonts w:hint="eastAsia"/>
          <w:bCs/>
          <w:sz w:val="24"/>
        </w:rPr>
      </w:pPr>
      <w:r>
        <w:rPr>
          <w:rFonts w:hint="eastAsia"/>
          <w:bCs/>
          <w:sz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D52FE55">
      <w:pPr>
        <w:spacing w:line="360" w:lineRule="auto"/>
        <w:ind w:firstLine="480" w:firstLineChars="200"/>
        <w:rPr>
          <w:rFonts w:hint="eastAsia"/>
          <w:bCs/>
          <w:sz w:val="24"/>
        </w:rPr>
      </w:pPr>
      <w:r>
        <w:rPr>
          <w:rFonts w:hint="eastAsia"/>
          <w:bCs/>
          <w:sz w:val="24"/>
        </w:rPr>
        <w:t>6、对于未上市或未挂牌转让且不存在活跃市场的固定收益品种，采用在当前情况下适用并且有足够可利用数据和其他信息支持的估值技术确定其公允价值。</w:t>
      </w:r>
    </w:p>
    <w:p w14:paraId="1FDA5E18">
      <w:pPr>
        <w:spacing w:line="360" w:lineRule="auto"/>
        <w:ind w:firstLine="480" w:firstLineChars="200"/>
        <w:rPr>
          <w:rFonts w:hint="eastAsia"/>
          <w:bCs/>
          <w:sz w:val="24"/>
        </w:rPr>
      </w:pPr>
      <w:r>
        <w:rPr>
          <w:rFonts w:hint="eastAsia"/>
          <w:bCs/>
          <w:sz w:val="24"/>
        </w:rPr>
        <w:t>7、本基金投资股指期货合约，一般以估值当日结算价进行估值，估值当日无结算价的，且最近交易日后经济环境未发生重大变化的，采用最近交易日结算价估值。</w:t>
      </w:r>
    </w:p>
    <w:p w14:paraId="6AE458E6">
      <w:pPr>
        <w:spacing w:line="360" w:lineRule="auto"/>
        <w:ind w:firstLine="480" w:firstLineChars="200"/>
        <w:rPr>
          <w:rFonts w:hint="eastAsia"/>
          <w:bCs/>
          <w:sz w:val="24"/>
        </w:rPr>
      </w:pPr>
      <w:r>
        <w:rPr>
          <w:rFonts w:hint="eastAsia"/>
          <w:bCs/>
          <w:sz w:val="24"/>
        </w:rPr>
        <w:t>8、同一证券同时在两个或两个以上市场交易的，按证券所处的市场分别估值。</w:t>
      </w:r>
    </w:p>
    <w:p w14:paraId="25D0F687">
      <w:pPr>
        <w:spacing w:line="360" w:lineRule="auto"/>
        <w:ind w:firstLine="480" w:firstLineChars="200"/>
        <w:rPr>
          <w:rFonts w:hint="eastAsia"/>
          <w:bCs/>
          <w:sz w:val="24"/>
        </w:rPr>
      </w:pPr>
      <w:r>
        <w:rPr>
          <w:rFonts w:hint="eastAsia"/>
          <w:bCs/>
          <w:sz w:val="24"/>
        </w:rPr>
        <w:t>9、估值计算中涉及港币对人民币汇率的，将依据下列信息提供机构所提供的汇率为基准：当日中国人民银行或其授权机构公布的人民币与港币的中间价。</w:t>
      </w:r>
    </w:p>
    <w:p w14:paraId="6BC31B84">
      <w:pPr>
        <w:spacing w:line="360" w:lineRule="auto"/>
        <w:ind w:firstLine="480" w:firstLineChars="200"/>
        <w:rPr>
          <w:rFonts w:hint="eastAsia"/>
          <w:bCs/>
          <w:sz w:val="24"/>
        </w:rPr>
      </w:pPr>
      <w:r>
        <w:rPr>
          <w:rFonts w:hint="eastAsia"/>
          <w:bCs/>
          <w:sz w:val="24"/>
        </w:rPr>
        <w:t>10、对于因税收规定调整或其他原因导致本基金实际交纳税金与估算的应交税金有差异的，本基金将在相关税金调整日或实际支付日进行相应的会计处理。</w:t>
      </w:r>
    </w:p>
    <w:p w14:paraId="1A0036CE">
      <w:pPr>
        <w:spacing w:line="360" w:lineRule="auto"/>
        <w:ind w:firstLine="480" w:firstLineChars="200"/>
        <w:rPr>
          <w:rFonts w:hint="eastAsia"/>
          <w:bCs/>
          <w:sz w:val="24"/>
        </w:rPr>
      </w:pPr>
      <w:r>
        <w:rPr>
          <w:rFonts w:hint="eastAsia"/>
          <w:bCs/>
          <w:sz w:val="24"/>
        </w:rPr>
        <w:t>11、本基金投资存托凭证的估值核算依照境内上市交易的股票执行。</w:t>
      </w:r>
    </w:p>
    <w:p w14:paraId="7255339A">
      <w:pPr>
        <w:spacing w:line="360" w:lineRule="auto"/>
        <w:ind w:firstLine="480" w:firstLineChars="200"/>
        <w:rPr>
          <w:rFonts w:hint="eastAsia"/>
          <w:bCs/>
          <w:sz w:val="24"/>
        </w:rPr>
      </w:pPr>
      <w:r>
        <w:rPr>
          <w:rFonts w:hint="eastAsia"/>
          <w:bCs/>
          <w:sz w:val="24"/>
        </w:rPr>
        <w:t>12、如有确凿证据表明按上述方法进行估值不能客观反映其公允价值的，基金管理人可根据具体情况与基金托管人商定后，按最能反映公允价值的价格估值。</w:t>
      </w:r>
    </w:p>
    <w:p w14:paraId="3322C8F5">
      <w:pPr>
        <w:spacing w:line="360" w:lineRule="auto"/>
        <w:ind w:firstLine="480" w:firstLineChars="200"/>
        <w:rPr>
          <w:rFonts w:hint="eastAsia"/>
          <w:bCs/>
          <w:sz w:val="24"/>
        </w:rPr>
      </w:pPr>
      <w:r>
        <w:rPr>
          <w:rFonts w:hint="eastAsia"/>
          <w:bCs/>
          <w:sz w:val="24"/>
        </w:rPr>
        <w:t>13、当发生大额申购或赎回情形时，基金管理人可以采用摆动定价机制，以确保基金估值的公平性。</w:t>
      </w:r>
    </w:p>
    <w:p w14:paraId="71604D46">
      <w:pPr>
        <w:spacing w:line="360" w:lineRule="auto"/>
        <w:ind w:firstLine="480" w:firstLineChars="200"/>
        <w:rPr>
          <w:bCs/>
          <w:sz w:val="24"/>
        </w:rPr>
      </w:pPr>
      <w:r>
        <w:rPr>
          <w:rFonts w:hint="eastAsia"/>
          <w:bCs/>
          <w:sz w:val="24"/>
        </w:rPr>
        <w:t>14、相关法律法规以及监管部门有强制规定的，从其规定。如有新增事项，按国家最新规定估值。</w:t>
      </w:r>
    </w:p>
    <w:p w14:paraId="1906C250">
      <w:pPr>
        <w:spacing w:line="360" w:lineRule="auto"/>
        <w:ind w:firstLine="480" w:firstLineChars="200"/>
        <w:rPr>
          <w:rStyle w:val="32"/>
          <w:bCs/>
          <w:sz w:val="24"/>
        </w:rPr>
      </w:pPr>
      <w:r>
        <w:rPr>
          <w:rStyle w:val="32"/>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1CDB0700">
      <w:pPr>
        <w:spacing w:line="360" w:lineRule="auto"/>
        <w:ind w:firstLine="480" w:firstLineChars="20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3A141EAD">
      <w:pPr>
        <w:spacing w:line="360" w:lineRule="auto"/>
        <w:ind w:firstLine="480" w:firstLineChars="200"/>
        <w:outlineLvl w:val="2"/>
        <w:rPr>
          <w:bCs/>
          <w:sz w:val="24"/>
        </w:rPr>
      </w:pPr>
      <w:r>
        <w:rPr>
          <w:bCs/>
          <w:sz w:val="24"/>
        </w:rPr>
        <w:t>（二）估值程序</w:t>
      </w:r>
    </w:p>
    <w:p w14:paraId="39931165">
      <w:pPr>
        <w:spacing w:line="360" w:lineRule="auto"/>
        <w:ind w:firstLine="480" w:firstLineChars="200"/>
        <w:rPr>
          <w:rFonts w:hint="eastAsia"/>
          <w:bCs/>
          <w:sz w:val="24"/>
        </w:rPr>
      </w:pPr>
      <w:r>
        <w:rPr>
          <w:rFonts w:hint="eastAsia"/>
          <w:bCs/>
          <w:sz w:val="24"/>
        </w:rPr>
        <w:t>1、各类基金份额的基金份额净值是按照每个工作日闭市后，该类基金份额的基金资产净值除以当日该类基金份额的余额数量计算，均精确到0.0001元，小数点后第5位四舍五入，由此产生的误差计入基金财产。基金管理人可以设立大额赎回情形下的净值精度应急调整机制，具体可参见相关公告。国家另有规定的，从其规定。</w:t>
      </w:r>
    </w:p>
    <w:p w14:paraId="27C3B6D3">
      <w:pPr>
        <w:spacing w:line="360" w:lineRule="auto"/>
        <w:ind w:firstLine="480" w:firstLineChars="200"/>
        <w:rPr>
          <w:rFonts w:hint="eastAsia"/>
          <w:bCs/>
          <w:sz w:val="24"/>
        </w:rPr>
      </w:pPr>
      <w:r>
        <w:rPr>
          <w:rFonts w:hint="eastAsia"/>
          <w:bCs/>
          <w:sz w:val="24"/>
        </w:rPr>
        <w:t>基金管理人于每个工作日计算各类基金份额的基金资产净值及基金份额净值，经基金托管人复核，并按规定公告。如遇特殊情况，经履行适当程序，可以适当延迟计算或公告。</w:t>
      </w:r>
    </w:p>
    <w:p w14:paraId="4C1A7547">
      <w:pPr>
        <w:spacing w:line="360" w:lineRule="auto"/>
        <w:ind w:firstLine="480" w:firstLineChars="200"/>
        <w:rPr>
          <w:bCs/>
          <w:sz w:val="24"/>
        </w:rPr>
      </w:pPr>
      <w:r>
        <w:rPr>
          <w:rFonts w:hint="eastAsia"/>
          <w:bCs/>
          <w:sz w:val="24"/>
        </w:rPr>
        <w:t>2、基金管理人应每个工作日对基金资产估值，但基金管理人根据法律法规或本基金合同的规定暂停估值时除外。基金管理人每个工作日对基金资产估值后，将基金资产净值、各类基金份额净值结果发送基金托管人，经基金托管人复核无误后，由基金管理人依据基金合同和相关法律法规的规定对外公布</w:t>
      </w:r>
      <w:r>
        <w:rPr>
          <w:bCs/>
          <w:sz w:val="24"/>
        </w:rPr>
        <w:t>。</w:t>
      </w:r>
    </w:p>
    <w:p w14:paraId="32BD8D80">
      <w:pPr>
        <w:spacing w:line="360" w:lineRule="auto"/>
        <w:ind w:firstLine="480" w:firstLineChars="200"/>
        <w:outlineLvl w:val="2"/>
        <w:rPr>
          <w:bCs/>
          <w:sz w:val="24"/>
        </w:rPr>
      </w:pPr>
      <w:r>
        <w:rPr>
          <w:bCs/>
          <w:sz w:val="24"/>
        </w:rPr>
        <w:t>（三）暂停估值的情形</w:t>
      </w:r>
    </w:p>
    <w:p w14:paraId="2E3D8C55">
      <w:pPr>
        <w:spacing w:line="360" w:lineRule="auto"/>
        <w:ind w:firstLine="480" w:firstLineChars="200"/>
        <w:rPr>
          <w:bCs/>
          <w:sz w:val="24"/>
        </w:rPr>
      </w:pPr>
      <w:r>
        <w:rPr>
          <w:bCs/>
          <w:sz w:val="24"/>
        </w:rPr>
        <w:t>1、基金投资所涉及的证券</w:t>
      </w:r>
      <w:r>
        <w:rPr>
          <w:rFonts w:hint="eastAsia"/>
          <w:bCs/>
          <w:sz w:val="24"/>
        </w:rPr>
        <w:t>、</w:t>
      </w:r>
      <w:r>
        <w:rPr>
          <w:bCs/>
          <w:sz w:val="24"/>
        </w:rPr>
        <w:t>期货交易市场遇法定节假日或因其他原因暂停营业时；</w:t>
      </w:r>
    </w:p>
    <w:p w14:paraId="658EBAD8">
      <w:pPr>
        <w:spacing w:line="360" w:lineRule="auto"/>
        <w:ind w:firstLine="480" w:firstLineChars="200"/>
        <w:rPr>
          <w:bCs/>
          <w:sz w:val="24"/>
        </w:rPr>
      </w:pPr>
      <w:r>
        <w:rPr>
          <w:bCs/>
          <w:sz w:val="24"/>
        </w:rPr>
        <w:t>2、因不可抗力致使基金管理人、基金托管人无法准确评估基金资产价值时；</w:t>
      </w:r>
    </w:p>
    <w:p w14:paraId="6FF1C74A">
      <w:pPr>
        <w:spacing w:line="360" w:lineRule="auto"/>
        <w:ind w:firstLine="480" w:firstLineChars="200"/>
        <w:rPr>
          <w:bCs/>
          <w:sz w:val="24"/>
        </w:rPr>
      </w:pPr>
      <w:r>
        <w:rPr>
          <w:rFonts w:hint="eastAsia"/>
          <w:bCs/>
          <w:sz w:val="24"/>
        </w:rPr>
        <w:t>3、当特定资产占前一估值日基金资产净值50%以上的</w:t>
      </w:r>
      <w:r>
        <w:rPr>
          <w:bCs/>
          <w:sz w:val="24"/>
        </w:rPr>
        <w:t>，经与基金托管人协商确认后，基金管理人应当暂停估值</w:t>
      </w:r>
      <w:r>
        <w:rPr>
          <w:rFonts w:hint="eastAsia"/>
          <w:bCs/>
          <w:sz w:val="24"/>
        </w:rPr>
        <w:t>；</w:t>
      </w:r>
    </w:p>
    <w:p w14:paraId="78078B0C">
      <w:pPr>
        <w:spacing w:line="360" w:lineRule="auto"/>
        <w:ind w:firstLine="480" w:firstLineChars="200"/>
        <w:rPr>
          <w:bCs/>
          <w:sz w:val="24"/>
        </w:rPr>
      </w:pPr>
      <w:r>
        <w:rPr>
          <w:rFonts w:hint="eastAsia"/>
          <w:bCs/>
          <w:sz w:val="24"/>
        </w:rPr>
        <w:t>4</w:t>
      </w:r>
      <w:r>
        <w:rPr>
          <w:bCs/>
          <w:sz w:val="24"/>
        </w:rPr>
        <w:t>、</w:t>
      </w:r>
      <w:r>
        <w:rPr>
          <w:rFonts w:hint="eastAsia"/>
          <w:bCs/>
          <w:sz w:val="24"/>
        </w:rPr>
        <w:t>法律</w:t>
      </w:r>
      <w:r>
        <w:rPr>
          <w:bCs/>
          <w:sz w:val="24"/>
        </w:rPr>
        <w:t>法规、中国证监会和基金合同认定的其它情形。</w:t>
      </w:r>
    </w:p>
    <w:p w14:paraId="2EA1808D">
      <w:pPr>
        <w:spacing w:line="360" w:lineRule="auto"/>
        <w:ind w:firstLine="480" w:firstLineChars="200"/>
        <w:outlineLvl w:val="2"/>
        <w:rPr>
          <w:bCs/>
          <w:sz w:val="24"/>
        </w:rPr>
      </w:pPr>
      <w:r>
        <w:rPr>
          <w:bCs/>
          <w:sz w:val="24"/>
        </w:rPr>
        <w:t>（四）基金资产净值、基金份额净值</w:t>
      </w:r>
      <w:r>
        <w:rPr>
          <w:rFonts w:hint="eastAsia"/>
          <w:bCs/>
          <w:sz w:val="24"/>
        </w:rPr>
        <w:t>的</w:t>
      </w:r>
      <w:r>
        <w:rPr>
          <w:bCs/>
          <w:sz w:val="24"/>
        </w:rPr>
        <w:t>公告方式</w:t>
      </w:r>
    </w:p>
    <w:p w14:paraId="7C7AEAB3">
      <w:pPr>
        <w:spacing w:line="360" w:lineRule="auto"/>
        <w:ind w:firstLine="480" w:firstLineChars="200"/>
        <w:rPr>
          <w:bCs/>
          <w:sz w:val="24"/>
        </w:rPr>
      </w:pPr>
      <w:r>
        <w:rPr>
          <w:bCs/>
          <w:sz w:val="24"/>
        </w:rPr>
        <w:t>《基金合同》生效后，在开始办理基金份额申购或者赎回前，基金管理人应当至少每周</w:t>
      </w:r>
      <w:r>
        <w:rPr>
          <w:rFonts w:hint="eastAsia"/>
          <w:bCs/>
          <w:sz w:val="24"/>
        </w:rPr>
        <w:t>在规定网站分别披露一次A类基金份额和C类基金份额所对应的基金份额净值和基金份额累计净值</w:t>
      </w:r>
      <w:r>
        <w:rPr>
          <w:bCs/>
          <w:sz w:val="24"/>
        </w:rPr>
        <w:t>。</w:t>
      </w:r>
    </w:p>
    <w:p w14:paraId="74D828A2">
      <w:pPr>
        <w:spacing w:line="360" w:lineRule="auto"/>
        <w:ind w:firstLine="480" w:firstLineChars="200"/>
        <w:rPr>
          <w:bCs/>
          <w:sz w:val="24"/>
        </w:rPr>
      </w:pPr>
      <w:r>
        <w:rPr>
          <w:bCs/>
          <w:sz w:val="24"/>
        </w:rPr>
        <w:t>在开始办理基金份额申购或者赎回后，基金管理人应当在</w:t>
      </w:r>
      <w:r>
        <w:rPr>
          <w:rFonts w:hint="eastAsia"/>
          <w:bCs/>
          <w:sz w:val="24"/>
        </w:rPr>
        <w:t>不晚于</w:t>
      </w:r>
      <w:r>
        <w:rPr>
          <w:bCs/>
          <w:sz w:val="24"/>
        </w:rPr>
        <w:t>每个开放日的次日，通过</w:t>
      </w:r>
      <w:r>
        <w:rPr>
          <w:rFonts w:hint="eastAsia"/>
          <w:bCs/>
          <w:sz w:val="24"/>
        </w:rPr>
        <w:t>规定</w:t>
      </w:r>
      <w:r>
        <w:rPr>
          <w:bCs/>
          <w:sz w:val="24"/>
        </w:rPr>
        <w:t>网站、基金</w:t>
      </w:r>
      <w:r>
        <w:rPr>
          <w:rFonts w:hint="eastAsia"/>
          <w:bCs/>
          <w:sz w:val="24"/>
        </w:rPr>
        <w:t>销售机构网站或者营业网点分别</w:t>
      </w:r>
      <w:r>
        <w:rPr>
          <w:bCs/>
          <w:sz w:val="24"/>
        </w:rPr>
        <w:t>披露开放日的</w:t>
      </w:r>
      <w:r>
        <w:rPr>
          <w:sz w:val="24"/>
        </w:rPr>
        <w:t>A</w:t>
      </w:r>
      <w:r>
        <w:rPr>
          <w:rFonts w:hAnsi="宋体"/>
          <w:sz w:val="24"/>
        </w:rPr>
        <w:t>类基金份额和</w:t>
      </w:r>
      <w:r>
        <w:rPr>
          <w:sz w:val="24"/>
        </w:rPr>
        <w:t>C</w:t>
      </w:r>
      <w:r>
        <w:rPr>
          <w:rFonts w:hAnsi="宋体"/>
          <w:sz w:val="24"/>
        </w:rPr>
        <w:t>类基金份额所对应</w:t>
      </w:r>
      <w:r>
        <w:rPr>
          <w:rFonts w:hint="eastAsia" w:hAnsi="宋体"/>
          <w:sz w:val="24"/>
        </w:rPr>
        <w:t>的</w:t>
      </w:r>
      <w:r>
        <w:rPr>
          <w:bCs/>
          <w:sz w:val="24"/>
        </w:rPr>
        <w:t>基金份额净值和基金份额累计净值。</w:t>
      </w:r>
    </w:p>
    <w:p w14:paraId="16DC1645">
      <w:pPr>
        <w:spacing w:line="360" w:lineRule="auto"/>
        <w:ind w:firstLine="480" w:firstLineChars="200"/>
        <w:rPr>
          <w:rFonts w:hint="eastAsia"/>
          <w:bCs/>
          <w:sz w:val="24"/>
        </w:rPr>
      </w:pPr>
      <w:r>
        <w:rPr>
          <w:bCs/>
          <w:sz w:val="24"/>
        </w:rPr>
        <w:t>基金管理人应当</w:t>
      </w:r>
      <w:r>
        <w:rPr>
          <w:rFonts w:hint="eastAsia"/>
          <w:bCs/>
          <w:sz w:val="24"/>
        </w:rPr>
        <w:t>在不晚于半年度和年度最后一日的次日，在规定网站披露半年度和年度最后一日A类基金份额和C类基金份额所对应的基金份额净值和基金份额累计净值。</w:t>
      </w:r>
      <w:bookmarkEnd w:id="2"/>
    </w:p>
    <w:p w14:paraId="42D24D38">
      <w:pPr>
        <w:spacing w:line="360" w:lineRule="auto"/>
        <w:ind w:firstLine="482" w:firstLineChars="200"/>
        <w:outlineLvl w:val="1"/>
        <w:rPr>
          <w:rFonts w:ascii="宋体" w:hAnsi="宋体"/>
          <w:b/>
          <w:sz w:val="24"/>
          <w:szCs w:val="24"/>
        </w:rPr>
      </w:pPr>
      <w:r>
        <w:rPr>
          <w:rFonts w:ascii="宋体" w:hAnsi="宋体"/>
          <w:b/>
          <w:sz w:val="24"/>
          <w:szCs w:val="24"/>
        </w:rPr>
        <w:t>七、基金合同</w:t>
      </w:r>
      <w:r>
        <w:rPr>
          <w:rFonts w:hint="eastAsia" w:ascii="宋体" w:hAnsi="宋体"/>
          <w:b/>
          <w:sz w:val="24"/>
          <w:szCs w:val="24"/>
        </w:rPr>
        <w:t>变更、</w:t>
      </w:r>
      <w:r>
        <w:rPr>
          <w:rFonts w:ascii="宋体" w:hAnsi="宋体"/>
          <w:b/>
          <w:sz w:val="24"/>
          <w:szCs w:val="24"/>
        </w:rPr>
        <w:t>解除和终止的事由、程序以及基金财产清算方式</w:t>
      </w:r>
    </w:p>
    <w:p w14:paraId="01C108E9">
      <w:pPr>
        <w:spacing w:line="360" w:lineRule="auto"/>
        <w:ind w:firstLine="480" w:firstLineChars="200"/>
        <w:outlineLvl w:val="2"/>
        <w:rPr>
          <w:bCs/>
          <w:sz w:val="24"/>
        </w:rPr>
      </w:pPr>
      <w:r>
        <w:rPr>
          <w:bCs/>
          <w:sz w:val="24"/>
        </w:rPr>
        <w:t>（一）</w:t>
      </w:r>
      <w:r>
        <w:rPr>
          <w:rFonts w:hint="eastAsia"/>
          <w:bCs/>
          <w:sz w:val="24"/>
        </w:rPr>
        <w:t>《基金合同》的变更</w:t>
      </w:r>
    </w:p>
    <w:p w14:paraId="76DCF70B">
      <w:pPr>
        <w:autoSpaceDE w:val="0"/>
        <w:autoSpaceDN w:val="0"/>
        <w:adjustRightInd w:val="0"/>
        <w:spacing w:line="360" w:lineRule="auto"/>
        <w:ind w:firstLine="720" w:firstLineChars="3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w:t>
      </w:r>
      <w:r>
        <w:rPr>
          <w:rFonts w:hint="eastAsia"/>
          <w:bCs/>
          <w:sz w:val="24"/>
        </w:rPr>
        <w:t>按规定</w:t>
      </w:r>
      <w:r>
        <w:rPr>
          <w:bCs/>
          <w:sz w:val="24"/>
        </w:rPr>
        <w:t>报中国证监会备案。</w:t>
      </w:r>
    </w:p>
    <w:p w14:paraId="2CEA412C">
      <w:pPr>
        <w:autoSpaceDE w:val="0"/>
        <w:autoSpaceDN w:val="0"/>
        <w:adjustRightInd w:val="0"/>
        <w:spacing w:line="360" w:lineRule="auto"/>
        <w:ind w:firstLine="720" w:firstLineChars="300"/>
        <w:jc w:val="left"/>
        <w:rPr>
          <w:bCs/>
          <w:sz w:val="24"/>
        </w:rPr>
      </w:pPr>
      <w:r>
        <w:rPr>
          <w:bCs/>
          <w:sz w:val="24"/>
        </w:rPr>
        <w:t>2、关于《基金合同》变更的基金份额持有人大会决议</w:t>
      </w:r>
      <w:r>
        <w:rPr>
          <w:rFonts w:hint="eastAsia"/>
          <w:bCs/>
          <w:sz w:val="24"/>
        </w:rPr>
        <w:t>自</w:t>
      </w:r>
      <w:r>
        <w:rPr>
          <w:bCs/>
          <w:sz w:val="24"/>
        </w:rPr>
        <w:t>生效后方可执行，自决议生效后</w:t>
      </w:r>
      <w:r>
        <w:rPr>
          <w:rFonts w:hint="eastAsia"/>
          <w:bCs/>
          <w:sz w:val="24"/>
        </w:rPr>
        <w:t>依照《信息披露办法》的规定</w:t>
      </w:r>
      <w:r>
        <w:rPr>
          <w:bCs/>
          <w:sz w:val="24"/>
        </w:rPr>
        <w:t>在规定媒介公告。</w:t>
      </w:r>
    </w:p>
    <w:p w14:paraId="7ED1E9A4">
      <w:pPr>
        <w:spacing w:line="360" w:lineRule="auto"/>
        <w:ind w:firstLine="480" w:firstLineChars="200"/>
        <w:outlineLvl w:val="2"/>
        <w:rPr>
          <w:bCs/>
          <w:sz w:val="24"/>
        </w:rPr>
      </w:pPr>
      <w:r>
        <w:rPr>
          <w:rFonts w:hint="eastAsia"/>
          <w:bCs/>
          <w:sz w:val="24"/>
        </w:rPr>
        <w:t>（二）《</w:t>
      </w:r>
      <w:r>
        <w:rPr>
          <w:bCs/>
          <w:sz w:val="24"/>
        </w:rPr>
        <w:t>基金合同</w:t>
      </w:r>
      <w:r>
        <w:rPr>
          <w:rFonts w:hint="eastAsia"/>
          <w:bCs/>
          <w:sz w:val="24"/>
        </w:rPr>
        <w:t>》</w:t>
      </w:r>
      <w:r>
        <w:rPr>
          <w:bCs/>
          <w:sz w:val="24"/>
        </w:rPr>
        <w:t>的终止事由</w:t>
      </w:r>
    </w:p>
    <w:p w14:paraId="067667A2">
      <w:pPr>
        <w:spacing w:line="360" w:lineRule="auto"/>
        <w:ind w:firstLine="480" w:firstLineChars="200"/>
        <w:rPr>
          <w:bCs/>
          <w:sz w:val="24"/>
        </w:rPr>
      </w:pPr>
      <w:r>
        <w:rPr>
          <w:bCs/>
          <w:sz w:val="24"/>
        </w:rPr>
        <w:t>有下列情形之一的，</w:t>
      </w:r>
      <w:r>
        <w:rPr>
          <w:rFonts w:hint="eastAsia"/>
          <w:bCs/>
          <w:sz w:val="24"/>
        </w:rPr>
        <w:t>经履行相关程序后，</w:t>
      </w:r>
      <w:r>
        <w:rPr>
          <w:bCs/>
          <w:sz w:val="24"/>
        </w:rPr>
        <w:t>《基金合同》应当终止：</w:t>
      </w:r>
    </w:p>
    <w:p w14:paraId="303FBE6F">
      <w:pPr>
        <w:spacing w:line="360" w:lineRule="auto"/>
        <w:ind w:firstLine="480" w:firstLineChars="200"/>
        <w:rPr>
          <w:bCs/>
          <w:sz w:val="24"/>
        </w:rPr>
      </w:pPr>
      <w:r>
        <w:rPr>
          <w:bCs/>
          <w:sz w:val="24"/>
        </w:rPr>
        <w:t>1、基金份额持有人大会决定终止的；</w:t>
      </w:r>
    </w:p>
    <w:p w14:paraId="2BEC0645">
      <w:pPr>
        <w:spacing w:line="360" w:lineRule="auto"/>
        <w:ind w:firstLine="480" w:firstLineChars="200"/>
        <w:rPr>
          <w:bCs/>
          <w:sz w:val="24"/>
        </w:rPr>
      </w:pPr>
      <w:r>
        <w:rPr>
          <w:bCs/>
          <w:sz w:val="24"/>
        </w:rPr>
        <w:t>2、基金管理人、基金托管人职责终止，在6个月内没有新基金管理人、新基金托管人承接的；</w:t>
      </w:r>
    </w:p>
    <w:p w14:paraId="7E72C8AA">
      <w:pPr>
        <w:spacing w:line="360" w:lineRule="auto"/>
        <w:ind w:firstLine="480" w:firstLineChars="200"/>
        <w:rPr>
          <w:bCs/>
          <w:sz w:val="24"/>
        </w:rPr>
      </w:pPr>
      <w:r>
        <w:rPr>
          <w:rFonts w:hint="eastAsia"/>
          <w:bCs/>
          <w:sz w:val="24"/>
        </w:rPr>
        <w:t>3、《基金合同》生效之日起三年后的对应日，若基金资产净值低于2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2FEFEFA5">
      <w:pPr>
        <w:spacing w:line="360" w:lineRule="auto"/>
        <w:ind w:firstLine="480" w:firstLineChars="200"/>
        <w:rPr>
          <w:bCs/>
          <w:sz w:val="24"/>
        </w:rPr>
      </w:pPr>
      <w:r>
        <w:rPr>
          <w:rFonts w:hint="eastAsia"/>
          <w:bCs/>
          <w:sz w:val="24"/>
        </w:rPr>
        <w:t>4</w:t>
      </w:r>
      <w:r>
        <w:rPr>
          <w:bCs/>
          <w:sz w:val="24"/>
        </w:rPr>
        <w:t>、《基金合同》约定的其他情形；</w:t>
      </w:r>
    </w:p>
    <w:p w14:paraId="46CA214F">
      <w:pPr>
        <w:spacing w:line="360" w:lineRule="auto"/>
        <w:ind w:firstLine="480" w:firstLineChars="200"/>
        <w:rPr>
          <w:bCs/>
          <w:sz w:val="24"/>
        </w:rPr>
      </w:pPr>
      <w:r>
        <w:rPr>
          <w:rFonts w:hint="eastAsia"/>
          <w:bCs/>
          <w:sz w:val="24"/>
        </w:rPr>
        <w:t>5</w:t>
      </w:r>
      <w:r>
        <w:rPr>
          <w:bCs/>
          <w:sz w:val="24"/>
        </w:rPr>
        <w:t>、相关法律法规和中国证监会规定的其他情况。</w:t>
      </w:r>
    </w:p>
    <w:p w14:paraId="6329FF18">
      <w:pPr>
        <w:spacing w:line="360" w:lineRule="auto"/>
        <w:ind w:firstLine="480" w:firstLineChars="200"/>
        <w:outlineLvl w:val="2"/>
        <w:rPr>
          <w:bCs/>
          <w:sz w:val="24"/>
        </w:rPr>
      </w:pPr>
      <w:r>
        <w:rPr>
          <w:bCs/>
          <w:sz w:val="24"/>
        </w:rPr>
        <w:t>（</w:t>
      </w:r>
      <w:r>
        <w:rPr>
          <w:rFonts w:hint="eastAsia"/>
          <w:bCs/>
          <w:sz w:val="24"/>
        </w:rPr>
        <w:t>三</w:t>
      </w:r>
      <w:r>
        <w:rPr>
          <w:bCs/>
          <w:sz w:val="24"/>
        </w:rPr>
        <w:t>）基金财产的清算</w:t>
      </w:r>
    </w:p>
    <w:p w14:paraId="30A2959A">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7135898D">
      <w:pPr>
        <w:spacing w:line="360" w:lineRule="auto"/>
        <w:ind w:firstLine="480" w:firstLineChars="200"/>
        <w:rPr>
          <w:bCs/>
          <w:sz w:val="24"/>
        </w:rPr>
      </w:pPr>
      <w:r>
        <w:rPr>
          <w:bCs/>
          <w:sz w:val="24"/>
        </w:rPr>
        <w:t>2、基金财产清算小组组成：基金财产清算小组成员由基金管理人、基金托管人、符合</w:t>
      </w:r>
      <w:r>
        <w:rPr>
          <w:rFonts w:hint="eastAsia"/>
          <w:bCs/>
          <w:sz w:val="24"/>
        </w:rPr>
        <w:t>《中华人民共和国证券法》规定</w:t>
      </w:r>
      <w:r>
        <w:rPr>
          <w:bCs/>
          <w:sz w:val="24"/>
        </w:rPr>
        <w:t>的注册会计师、律师以及中国证监会指定的人员组成。基金财产清算小组可以聘用必要的工作人员。</w:t>
      </w:r>
    </w:p>
    <w:p w14:paraId="2A69F167">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6C68D838">
      <w:pPr>
        <w:spacing w:line="360" w:lineRule="auto"/>
        <w:ind w:firstLine="480" w:firstLineChars="200"/>
        <w:rPr>
          <w:bCs/>
          <w:sz w:val="24"/>
        </w:rPr>
      </w:pPr>
      <w:r>
        <w:rPr>
          <w:bCs/>
          <w:sz w:val="24"/>
        </w:rPr>
        <w:t>4、基金财产清算程序：</w:t>
      </w:r>
    </w:p>
    <w:p w14:paraId="2E257A5E">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5C30ADF1">
      <w:pPr>
        <w:spacing w:line="360" w:lineRule="auto"/>
        <w:ind w:firstLine="480" w:firstLineChars="200"/>
        <w:rPr>
          <w:bCs/>
          <w:sz w:val="24"/>
        </w:rPr>
      </w:pPr>
      <w:r>
        <w:rPr>
          <w:bCs/>
          <w:sz w:val="24"/>
        </w:rPr>
        <w:t>（2）对基金财产和债权债务进行清理和确认；</w:t>
      </w:r>
    </w:p>
    <w:p w14:paraId="40715AF8">
      <w:pPr>
        <w:spacing w:line="360" w:lineRule="auto"/>
        <w:ind w:firstLine="480" w:firstLineChars="200"/>
        <w:rPr>
          <w:bCs/>
          <w:sz w:val="24"/>
        </w:rPr>
      </w:pPr>
      <w:r>
        <w:rPr>
          <w:bCs/>
          <w:sz w:val="24"/>
        </w:rPr>
        <w:t>（3）对基金财产进行估值和变现；</w:t>
      </w:r>
    </w:p>
    <w:p w14:paraId="63D03814">
      <w:pPr>
        <w:spacing w:line="360" w:lineRule="auto"/>
        <w:ind w:firstLine="480" w:firstLineChars="200"/>
        <w:rPr>
          <w:bCs/>
          <w:sz w:val="24"/>
        </w:rPr>
      </w:pPr>
      <w:r>
        <w:rPr>
          <w:bCs/>
          <w:sz w:val="24"/>
        </w:rPr>
        <w:t>（4）制作清算报告；</w:t>
      </w:r>
    </w:p>
    <w:p w14:paraId="7EC2AD16">
      <w:pPr>
        <w:spacing w:line="360" w:lineRule="auto"/>
        <w:ind w:firstLine="480" w:firstLineChars="200"/>
        <w:rPr>
          <w:bCs/>
          <w:sz w:val="24"/>
        </w:rPr>
      </w:pPr>
      <w:r>
        <w:rPr>
          <w:bCs/>
          <w:sz w:val="24"/>
        </w:rPr>
        <w:t>（5）聘请</w:t>
      </w:r>
      <w:r>
        <w:rPr>
          <w:rFonts w:hint="eastAsia"/>
          <w:bCs/>
          <w:sz w:val="24"/>
        </w:rPr>
        <w:t>符合《中华人民共和国证券法》规定的</w:t>
      </w:r>
      <w:r>
        <w:rPr>
          <w:bCs/>
          <w:sz w:val="24"/>
        </w:rPr>
        <w:t>会计师事务所对清算报告进行外部审计，聘请律师事务所对清算报告出具法律意见书；</w:t>
      </w:r>
    </w:p>
    <w:p w14:paraId="6AA378A5">
      <w:pPr>
        <w:spacing w:line="360" w:lineRule="auto"/>
        <w:ind w:firstLine="480" w:firstLineChars="200"/>
        <w:rPr>
          <w:bCs/>
          <w:sz w:val="24"/>
        </w:rPr>
      </w:pPr>
      <w:r>
        <w:rPr>
          <w:bCs/>
          <w:sz w:val="24"/>
        </w:rPr>
        <w:t>（6）将清算报告报中国证监会备案并公告</w:t>
      </w:r>
      <w:r>
        <w:rPr>
          <w:rFonts w:hint="eastAsia"/>
          <w:bCs/>
          <w:sz w:val="24"/>
        </w:rPr>
        <w:t>；</w:t>
      </w:r>
    </w:p>
    <w:p w14:paraId="05284262">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2D8A6D7C">
      <w:pPr>
        <w:spacing w:line="360" w:lineRule="auto"/>
        <w:ind w:firstLine="480" w:firstLineChars="200"/>
        <w:rPr>
          <w:bCs/>
          <w:sz w:val="24"/>
        </w:rPr>
      </w:pPr>
      <w:r>
        <w:rPr>
          <w:bCs/>
          <w:sz w:val="24"/>
        </w:rPr>
        <w:t>5、基金财产清算的期限为</w:t>
      </w:r>
      <w:r>
        <w:rPr>
          <w:rFonts w:hint="eastAsia"/>
          <w:bCs/>
          <w:sz w:val="24"/>
        </w:rPr>
        <w:t>6</w:t>
      </w:r>
      <w:r>
        <w:rPr>
          <w:bCs/>
          <w:sz w:val="24"/>
        </w:rPr>
        <w:t>个月，但因本基金所持证券的流动性受到限制而不能及时变现的，清算期限相应顺延。</w:t>
      </w:r>
    </w:p>
    <w:p w14:paraId="6962092C">
      <w:pPr>
        <w:spacing w:line="360" w:lineRule="auto"/>
        <w:ind w:firstLine="480" w:firstLineChars="200"/>
        <w:rPr>
          <w:rFonts w:hint="eastAsia"/>
          <w:bCs/>
          <w:sz w:val="24"/>
        </w:rPr>
      </w:pPr>
      <w:r>
        <w:rPr>
          <w:rFonts w:hint="eastAsia"/>
          <w:bCs/>
          <w:sz w:val="24"/>
        </w:rPr>
        <w:t>（四）清算费用</w:t>
      </w:r>
    </w:p>
    <w:p w14:paraId="6C17406C">
      <w:pPr>
        <w:spacing w:line="360" w:lineRule="auto"/>
        <w:ind w:firstLine="480" w:firstLineChars="200"/>
        <w:rPr>
          <w:rFonts w:hint="eastAsia"/>
          <w:bCs/>
          <w:sz w:val="24"/>
        </w:rPr>
      </w:pPr>
      <w:r>
        <w:rPr>
          <w:rFonts w:hint="eastAsia"/>
          <w:bCs/>
          <w:sz w:val="24"/>
        </w:rPr>
        <w:t>清算费用是指基金财产清算小组在进行基金财产清算过程中发生的所有合理费用，清算费用由基金财产清算小组优先从基金财产中支付。</w:t>
      </w:r>
    </w:p>
    <w:p w14:paraId="3CC120EF">
      <w:pPr>
        <w:spacing w:line="360" w:lineRule="auto"/>
        <w:ind w:firstLine="480" w:firstLineChars="200"/>
        <w:rPr>
          <w:rFonts w:hint="eastAsia"/>
          <w:bCs/>
          <w:sz w:val="24"/>
        </w:rPr>
      </w:pPr>
      <w:r>
        <w:rPr>
          <w:rFonts w:hint="eastAsia"/>
          <w:bCs/>
          <w:sz w:val="24"/>
        </w:rPr>
        <w:t>（五）基金财产清算剩余资产的分配</w:t>
      </w:r>
    </w:p>
    <w:p w14:paraId="6297D3F0">
      <w:pPr>
        <w:spacing w:line="360" w:lineRule="auto"/>
        <w:ind w:firstLine="480" w:firstLineChars="200"/>
        <w:rPr>
          <w:rFonts w:hint="eastAsia"/>
          <w:bCs/>
          <w:sz w:val="24"/>
        </w:rPr>
      </w:pPr>
      <w:r>
        <w:rPr>
          <w:rFonts w:hint="eastAsia"/>
          <w:bCs/>
          <w:sz w:val="24"/>
        </w:rPr>
        <w:t>依据基金财产清算的分配方案，将基金财产清算后的全部剩余资产扣除基金财产清算费用、交纳所欠税款并清偿基金债务后，按基金份额持有人持有的基金份额比例进行分配。</w:t>
      </w:r>
    </w:p>
    <w:p w14:paraId="27021138">
      <w:pPr>
        <w:spacing w:line="360" w:lineRule="auto"/>
        <w:ind w:firstLine="480" w:firstLineChars="200"/>
        <w:rPr>
          <w:rFonts w:hint="eastAsia"/>
          <w:bCs/>
          <w:sz w:val="24"/>
        </w:rPr>
      </w:pPr>
      <w:r>
        <w:rPr>
          <w:rFonts w:hint="eastAsia"/>
          <w:bCs/>
          <w:sz w:val="24"/>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02BF43B6">
      <w:pPr>
        <w:spacing w:line="360" w:lineRule="auto"/>
        <w:ind w:firstLine="480" w:firstLineChars="200"/>
        <w:rPr>
          <w:rFonts w:hint="eastAsia"/>
          <w:bCs/>
          <w:sz w:val="24"/>
        </w:rPr>
      </w:pPr>
      <w:r>
        <w:rPr>
          <w:rFonts w:hint="eastAsia"/>
          <w:bCs/>
          <w:sz w:val="24"/>
        </w:rPr>
        <w:t>（六）基金财产清算的公告</w:t>
      </w:r>
    </w:p>
    <w:p w14:paraId="7238758E">
      <w:pPr>
        <w:spacing w:line="360" w:lineRule="auto"/>
        <w:ind w:firstLine="480" w:firstLineChars="200"/>
        <w:rPr>
          <w:rFonts w:hint="eastAsia"/>
          <w:bCs/>
          <w:sz w:val="24"/>
        </w:rPr>
      </w:pPr>
      <w:r>
        <w:rPr>
          <w:rFonts w:hint="eastAsia"/>
          <w:bCs/>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04EF21F2">
      <w:pPr>
        <w:spacing w:line="360" w:lineRule="auto"/>
        <w:ind w:firstLine="480" w:firstLineChars="200"/>
        <w:rPr>
          <w:rFonts w:hint="eastAsia"/>
          <w:bCs/>
          <w:sz w:val="24"/>
        </w:rPr>
      </w:pPr>
      <w:r>
        <w:rPr>
          <w:rFonts w:hint="eastAsia"/>
          <w:bCs/>
          <w:sz w:val="24"/>
        </w:rPr>
        <w:t>（七）基金财产清算账册及文件的保存</w:t>
      </w:r>
    </w:p>
    <w:p w14:paraId="4D7B586C">
      <w:pPr>
        <w:spacing w:line="360" w:lineRule="auto"/>
        <w:ind w:firstLine="480" w:firstLineChars="200"/>
        <w:rPr>
          <w:bCs/>
          <w:sz w:val="24"/>
        </w:rPr>
      </w:pPr>
      <w:r>
        <w:rPr>
          <w:rFonts w:hint="eastAsia"/>
          <w:bCs/>
          <w:sz w:val="24"/>
        </w:rPr>
        <w:t>基金财产清算账册及有关文件由基金托管人保存不低于法律法规规定的最低期限。</w:t>
      </w:r>
    </w:p>
    <w:p w14:paraId="386F9D88">
      <w:pPr>
        <w:pStyle w:val="38"/>
        <w:spacing w:afterLines="0"/>
        <w:ind w:firstLine="482"/>
        <w:outlineLvl w:val="1"/>
        <w:rPr>
          <w:rFonts w:ascii="宋体" w:hAnsi="宋体"/>
          <w:b/>
          <w:szCs w:val="24"/>
        </w:rPr>
      </w:pPr>
      <w:r>
        <w:rPr>
          <w:rFonts w:ascii="宋体" w:hAnsi="宋体"/>
          <w:b/>
          <w:szCs w:val="24"/>
        </w:rPr>
        <w:t>八、</w:t>
      </w:r>
      <w:r>
        <w:rPr>
          <w:rFonts w:hint="eastAsia" w:ascii="宋体" w:hAnsi="宋体"/>
          <w:b/>
          <w:szCs w:val="24"/>
        </w:rPr>
        <w:t>争议解决方式</w:t>
      </w:r>
    </w:p>
    <w:p w14:paraId="1725D43A">
      <w:pPr>
        <w:spacing w:line="360" w:lineRule="auto"/>
        <w:ind w:firstLine="482" w:firstLineChars="200"/>
        <w:rPr>
          <w:b/>
          <w:sz w:val="24"/>
        </w:rPr>
      </w:pPr>
      <w:r>
        <w:rPr>
          <w:rFonts w:hint="eastAsia"/>
          <w:b/>
          <w:sz w:val="24"/>
        </w:rPr>
        <w:t>各方当事人同意，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仲裁裁决是终局的，对各方当事人均有约束力，除非仲裁裁决另有规定，仲裁费由败诉方承担。</w:t>
      </w:r>
    </w:p>
    <w:p w14:paraId="38A843AA">
      <w:pPr>
        <w:spacing w:line="360" w:lineRule="auto"/>
        <w:ind w:firstLine="480" w:firstLineChars="200"/>
        <w:rPr>
          <w:bCs/>
          <w:sz w:val="24"/>
        </w:rPr>
      </w:pPr>
      <w:r>
        <w:rPr>
          <w:rFonts w:hint="eastAsia"/>
          <w:bCs/>
          <w:sz w:val="24"/>
        </w:rPr>
        <w:t>争议处理期间，基金合同当事人应恪守各自的职责，继续忠实、勤勉、尽责地履行基金合同规定的义务，维护基金份额持有人的合法权益。</w:t>
      </w:r>
    </w:p>
    <w:p w14:paraId="3C93C761">
      <w:pPr>
        <w:pStyle w:val="38"/>
        <w:spacing w:afterLines="0"/>
        <w:ind w:firstLine="480"/>
        <w:outlineLvl w:val="1"/>
        <w:rPr>
          <w:rFonts w:ascii="宋体" w:hAnsi="宋体"/>
          <w:b/>
          <w:szCs w:val="24"/>
        </w:rPr>
      </w:pPr>
      <w:r>
        <w:rPr>
          <w:rFonts w:hint="eastAsia"/>
          <w:bCs/>
        </w:rPr>
        <w:t>《基金合同》受中国法律（为本基金合同之目的，不含港澳台地区法律）管辖并从其解释。</w:t>
      </w:r>
    </w:p>
    <w:p w14:paraId="087AB146">
      <w:pPr>
        <w:pStyle w:val="38"/>
        <w:spacing w:afterLines="0"/>
        <w:ind w:firstLine="482"/>
        <w:outlineLvl w:val="1"/>
        <w:rPr>
          <w:rFonts w:ascii="宋体" w:hAnsi="宋体"/>
          <w:szCs w:val="24"/>
        </w:rPr>
      </w:pPr>
      <w:r>
        <w:rPr>
          <w:rFonts w:ascii="宋体" w:hAnsi="宋体"/>
          <w:b/>
          <w:szCs w:val="24"/>
        </w:rPr>
        <w:t>九、基金合同存放地和投资者取得基金合同的方式</w:t>
      </w:r>
    </w:p>
    <w:p w14:paraId="21BB2890">
      <w:pPr>
        <w:spacing w:line="360" w:lineRule="auto"/>
        <w:ind w:firstLine="480" w:firstLineChars="200"/>
        <w:rPr>
          <w:bCs/>
          <w:sz w:val="24"/>
        </w:rPr>
      </w:pP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114E21E0">
      <w:pPr>
        <w:widowControl w:val="0"/>
        <w:spacing w:before="0" w:beforeAutospacing="0" w:after="0" w:afterAutospacing="0" w:line="360" w:lineRule="auto"/>
        <w:ind w:firstLine="480" w:firstLineChars="200"/>
        <w:jc w:val="both"/>
        <w:rPr>
          <w:rFonts w:hint="eastAsia" w:ascii="宋体" w:hAnsi="宋体" w:eastAsia="宋体" w:cs="宋体"/>
          <w:bCs/>
          <w:kern w:val="2"/>
          <w:sz w:val="24"/>
          <w:szCs w:val="24"/>
          <w:lang w:bidi="ar"/>
        </w:rPr>
      </w:pPr>
      <w:r>
        <w:rPr>
          <w:bCs/>
          <w:sz w:val="24"/>
        </w:rPr>
        <w:t>《基金合同》可印制成册，供投资者在基金管理人、基金托管人、销售机构的办公场所和营业场所查阅</w:t>
      </w:r>
      <w:r>
        <w:rPr>
          <w:rFonts w:hint="eastAsia"/>
          <w:bCs/>
          <w:sz w:val="24"/>
        </w:rPr>
        <w:t>，但应以《基金合同》正本为准</w:t>
      </w:r>
      <w:r>
        <w:rPr>
          <w:bCs/>
          <w:sz w:val="24"/>
        </w:rPr>
        <w:t>。</w:t>
      </w:r>
    </w:p>
    <w:p w14:paraId="775C9A65">
      <w:pPr>
        <w:spacing w:line="360" w:lineRule="auto"/>
        <w:ind w:firstLine="420" w:firstLineChars="200"/>
        <w:rPr>
          <w:rFonts w:asciiTheme="minorEastAsia" w:hAnsiTheme="minorEastAsia" w:eastAsiaTheme="minorEastAsia"/>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6001407"/>
      <w:docPartObj>
        <w:docPartGallery w:val="autotext"/>
      </w:docPartObj>
    </w:sdtPr>
    <w:sdtContent>
      <w:p w14:paraId="490DCBB1">
        <w:pPr>
          <w:pStyle w:val="13"/>
          <w:jc w:val="center"/>
        </w:pPr>
        <w:r>
          <w:fldChar w:fldCharType="begin"/>
        </w:r>
        <w:r>
          <w:instrText xml:space="preserve">PAGE   \* MERGEFORMAT</w:instrText>
        </w:r>
        <w:r>
          <w:fldChar w:fldCharType="separate"/>
        </w:r>
        <w:r>
          <w:rPr>
            <w:lang w:val="zh-CN"/>
          </w:rPr>
          <w:t>20</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C3D62">
    <w:pPr>
      <w:pStyle w:val="14"/>
      <w:pBdr>
        <w:bottom w:val="thickThinLargeGap" w:color="auto" w:sz="24" w:space="2"/>
      </w:pBdr>
      <w:tabs>
        <w:tab w:val="right" w:pos="8280"/>
      </w:tabs>
      <w:wordWrap w:val="0"/>
      <w:adjustRightInd w:val="0"/>
      <w:jc w:val="right"/>
    </w:pPr>
    <w:r>
      <w:rPr>
        <w:rFonts w:hint="eastAsia"/>
        <w:szCs w:val="18"/>
      </w:rPr>
      <w:t>交银施罗德</w:t>
    </w:r>
    <w:r>
      <w:rPr>
        <w:rFonts w:hint="eastAsia"/>
        <w:szCs w:val="18"/>
        <w:lang w:val="en-US" w:eastAsia="zh-CN"/>
      </w:rPr>
      <w:t>低碳经济研选混合型发起式证券投资基金</w:t>
    </w:r>
    <w:r>
      <w:rPr>
        <w:rFonts w:hint="eastAsia"/>
        <w:szCs w:val="18"/>
      </w:rPr>
      <w:t>基金合同摘要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D4E92D"/>
    <w:multiLevelType w:val="singleLevel"/>
    <w:tmpl w:val="93D4E92D"/>
    <w:lvl w:ilvl="0" w:tentative="0">
      <w:start w:val="1"/>
      <w:numFmt w:val="bullet"/>
      <w:lvlText w:val=""/>
      <w:lvlJc w:val="left"/>
      <w:pPr>
        <w:tabs>
          <w:tab w:val="left" w:pos="420"/>
        </w:tabs>
        <w:ind w:left="840" w:hanging="420"/>
      </w:pPr>
      <w:rPr>
        <w:rFonts w:hint="default" w:ascii="Wingdings" w:hAnsi="Wingdings"/>
      </w:rPr>
    </w:lvl>
  </w:abstractNum>
  <w:abstractNum w:abstractNumId="1">
    <w:nsid w:val="13B718D4"/>
    <w:multiLevelType w:val="multilevel"/>
    <w:tmpl w:val="13B718D4"/>
    <w:lvl w:ilvl="0" w:tentative="0">
      <w:start w:val="1"/>
      <w:numFmt w:val="decimal"/>
      <w:pStyle w:val="49"/>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BE"/>
    <w:rsid w:val="0000096F"/>
    <w:rsid w:val="00000E2D"/>
    <w:rsid w:val="000010A1"/>
    <w:rsid w:val="000016DB"/>
    <w:rsid w:val="00001B54"/>
    <w:rsid w:val="000021AE"/>
    <w:rsid w:val="000037F6"/>
    <w:rsid w:val="00005C72"/>
    <w:rsid w:val="0000655B"/>
    <w:rsid w:val="00010C28"/>
    <w:rsid w:val="0001299E"/>
    <w:rsid w:val="0001346D"/>
    <w:rsid w:val="000139C9"/>
    <w:rsid w:val="00013C96"/>
    <w:rsid w:val="00013F2E"/>
    <w:rsid w:val="00017B39"/>
    <w:rsid w:val="000212FA"/>
    <w:rsid w:val="000215F6"/>
    <w:rsid w:val="000219B9"/>
    <w:rsid w:val="00021B46"/>
    <w:rsid w:val="00021EA7"/>
    <w:rsid w:val="0002212D"/>
    <w:rsid w:val="000221EA"/>
    <w:rsid w:val="00023D39"/>
    <w:rsid w:val="00024C9C"/>
    <w:rsid w:val="00024E17"/>
    <w:rsid w:val="00025ECC"/>
    <w:rsid w:val="0002622E"/>
    <w:rsid w:val="000269E2"/>
    <w:rsid w:val="0002745F"/>
    <w:rsid w:val="00030188"/>
    <w:rsid w:val="000311BD"/>
    <w:rsid w:val="00035932"/>
    <w:rsid w:val="0003639C"/>
    <w:rsid w:val="00037321"/>
    <w:rsid w:val="000373B5"/>
    <w:rsid w:val="00040297"/>
    <w:rsid w:val="00040A7C"/>
    <w:rsid w:val="00040BC4"/>
    <w:rsid w:val="0004163B"/>
    <w:rsid w:val="00041C1E"/>
    <w:rsid w:val="00041E5F"/>
    <w:rsid w:val="00042967"/>
    <w:rsid w:val="00042A3B"/>
    <w:rsid w:val="00043580"/>
    <w:rsid w:val="00043A57"/>
    <w:rsid w:val="00044B25"/>
    <w:rsid w:val="00047561"/>
    <w:rsid w:val="000500BD"/>
    <w:rsid w:val="00053AD3"/>
    <w:rsid w:val="00056205"/>
    <w:rsid w:val="000570CE"/>
    <w:rsid w:val="00062295"/>
    <w:rsid w:val="000624D8"/>
    <w:rsid w:val="0006276F"/>
    <w:rsid w:val="00062AD0"/>
    <w:rsid w:val="0006356A"/>
    <w:rsid w:val="00063730"/>
    <w:rsid w:val="00064D95"/>
    <w:rsid w:val="00065E71"/>
    <w:rsid w:val="0006661F"/>
    <w:rsid w:val="00070C20"/>
    <w:rsid w:val="000719AC"/>
    <w:rsid w:val="00074AE2"/>
    <w:rsid w:val="000809D2"/>
    <w:rsid w:val="00080F61"/>
    <w:rsid w:val="00082458"/>
    <w:rsid w:val="000824F9"/>
    <w:rsid w:val="00083A96"/>
    <w:rsid w:val="00084656"/>
    <w:rsid w:val="00085208"/>
    <w:rsid w:val="000854C2"/>
    <w:rsid w:val="00090EA5"/>
    <w:rsid w:val="00091945"/>
    <w:rsid w:val="00091D13"/>
    <w:rsid w:val="000925A3"/>
    <w:rsid w:val="000928CF"/>
    <w:rsid w:val="000964FA"/>
    <w:rsid w:val="00096C03"/>
    <w:rsid w:val="00096E4F"/>
    <w:rsid w:val="0009756E"/>
    <w:rsid w:val="000A2786"/>
    <w:rsid w:val="000A47B4"/>
    <w:rsid w:val="000A4DE5"/>
    <w:rsid w:val="000A54BB"/>
    <w:rsid w:val="000A631F"/>
    <w:rsid w:val="000A6CE3"/>
    <w:rsid w:val="000A6D51"/>
    <w:rsid w:val="000A7140"/>
    <w:rsid w:val="000A73E4"/>
    <w:rsid w:val="000A7EF0"/>
    <w:rsid w:val="000B212A"/>
    <w:rsid w:val="000B42F7"/>
    <w:rsid w:val="000B4BA5"/>
    <w:rsid w:val="000B63A7"/>
    <w:rsid w:val="000B6B5E"/>
    <w:rsid w:val="000B7185"/>
    <w:rsid w:val="000C00AB"/>
    <w:rsid w:val="000C175B"/>
    <w:rsid w:val="000C2206"/>
    <w:rsid w:val="000C27EA"/>
    <w:rsid w:val="000C34DF"/>
    <w:rsid w:val="000C3A20"/>
    <w:rsid w:val="000C418E"/>
    <w:rsid w:val="000C661E"/>
    <w:rsid w:val="000C66E8"/>
    <w:rsid w:val="000D339A"/>
    <w:rsid w:val="000D3970"/>
    <w:rsid w:val="000D3F1E"/>
    <w:rsid w:val="000D6435"/>
    <w:rsid w:val="000D6BA4"/>
    <w:rsid w:val="000D76B5"/>
    <w:rsid w:val="000D777A"/>
    <w:rsid w:val="000D795E"/>
    <w:rsid w:val="000D7E28"/>
    <w:rsid w:val="000E030E"/>
    <w:rsid w:val="000E04A7"/>
    <w:rsid w:val="000E07F2"/>
    <w:rsid w:val="000E0858"/>
    <w:rsid w:val="000E1A92"/>
    <w:rsid w:val="000E26B7"/>
    <w:rsid w:val="000E2877"/>
    <w:rsid w:val="000E354A"/>
    <w:rsid w:val="000E4AAB"/>
    <w:rsid w:val="000E7730"/>
    <w:rsid w:val="000F02C2"/>
    <w:rsid w:val="000F0FA1"/>
    <w:rsid w:val="000F12CB"/>
    <w:rsid w:val="000F203B"/>
    <w:rsid w:val="000F3BDB"/>
    <w:rsid w:val="000F4B42"/>
    <w:rsid w:val="000F4D28"/>
    <w:rsid w:val="000F68BB"/>
    <w:rsid w:val="000F6AB9"/>
    <w:rsid w:val="000F6B62"/>
    <w:rsid w:val="000F7291"/>
    <w:rsid w:val="00100AEB"/>
    <w:rsid w:val="00101A40"/>
    <w:rsid w:val="00102050"/>
    <w:rsid w:val="0010267F"/>
    <w:rsid w:val="00104095"/>
    <w:rsid w:val="00104C3D"/>
    <w:rsid w:val="00106F39"/>
    <w:rsid w:val="00107464"/>
    <w:rsid w:val="001107DF"/>
    <w:rsid w:val="00112B70"/>
    <w:rsid w:val="00112D0E"/>
    <w:rsid w:val="001139E9"/>
    <w:rsid w:val="001148C0"/>
    <w:rsid w:val="0011499A"/>
    <w:rsid w:val="001177D6"/>
    <w:rsid w:val="001205C9"/>
    <w:rsid w:val="00120993"/>
    <w:rsid w:val="00121E55"/>
    <w:rsid w:val="001231D3"/>
    <w:rsid w:val="00123756"/>
    <w:rsid w:val="00124A82"/>
    <w:rsid w:val="001256AF"/>
    <w:rsid w:val="0012591F"/>
    <w:rsid w:val="001274F5"/>
    <w:rsid w:val="0012791E"/>
    <w:rsid w:val="00127D88"/>
    <w:rsid w:val="00130448"/>
    <w:rsid w:val="00130AE3"/>
    <w:rsid w:val="00130AF4"/>
    <w:rsid w:val="00130D1C"/>
    <w:rsid w:val="001311D3"/>
    <w:rsid w:val="0013197C"/>
    <w:rsid w:val="00131A08"/>
    <w:rsid w:val="001327CB"/>
    <w:rsid w:val="0013308C"/>
    <w:rsid w:val="00133CA1"/>
    <w:rsid w:val="00135FDF"/>
    <w:rsid w:val="00140179"/>
    <w:rsid w:val="0014024A"/>
    <w:rsid w:val="00140BDE"/>
    <w:rsid w:val="00141F55"/>
    <w:rsid w:val="00142B2F"/>
    <w:rsid w:val="00144AA8"/>
    <w:rsid w:val="00144B4D"/>
    <w:rsid w:val="00146683"/>
    <w:rsid w:val="00146D15"/>
    <w:rsid w:val="001474E6"/>
    <w:rsid w:val="00147C2C"/>
    <w:rsid w:val="00147DFE"/>
    <w:rsid w:val="001522E3"/>
    <w:rsid w:val="001526E2"/>
    <w:rsid w:val="00152BD9"/>
    <w:rsid w:val="00152CD8"/>
    <w:rsid w:val="00154239"/>
    <w:rsid w:val="00155DD1"/>
    <w:rsid w:val="00156198"/>
    <w:rsid w:val="001568BC"/>
    <w:rsid w:val="00156A4C"/>
    <w:rsid w:val="00157FD8"/>
    <w:rsid w:val="001613DC"/>
    <w:rsid w:val="00161A54"/>
    <w:rsid w:val="001634B6"/>
    <w:rsid w:val="00164D09"/>
    <w:rsid w:val="001650B6"/>
    <w:rsid w:val="001661B7"/>
    <w:rsid w:val="0016625E"/>
    <w:rsid w:val="0016715A"/>
    <w:rsid w:val="001712F2"/>
    <w:rsid w:val="00171A56"/>
    <w:rsid w:val="00171AC4"/>
    <w:rsid w:val="001728C0"/>
    <w:rsid w:val="00172A27"/>
    <w:rsid w:val="001740B0"/>
    <w:rsid w:val="001742DC"/>
    <w:rsid w:val="001744B4"/>
    <w:rsid w:val="00176DF1"/>
    <w:rsid w:val="00180120"/>
    <w:rsid w:val="00181444"/>
    <w:rsid w:val="0018508F"/>
    <w:rsid w:val="0018561B"/>
    <w:rsid w:val="00187BFC"/>
    <w:rsid w:val="00187CE7"/>
    <w:rsid w:val="0019063C"/>
    <w:rsid w:val="00191A92"/>
    <w:rsid w:val="00192085"/>
    <w:rsid w:val="0019221F"/>
    <w:rsid w:val="001923FA"/>
    <w:rsid w:val="00194D89"/>
    <w:rsid w:val="001961B7"/>
    <w:rsid w:val="00196F03"/>
    <w:rsid w:val="0019746D"/>
    <w:rsid w:val="001A0E74"/>
    <w:rsid w:val="001A0F8C"/>
    <w:rsid w:val="001A1003"/>
    <w:rsid w:val="001A1649"/>
    <w:rsid w:val="001A4175"/>
    <w:rsid w:val="001A5BC4"/>
    <w:rsid w:val="001A62E3"/>
    <w:rsid w:val="001B1697"/>
    <w:rsid w:val="001B1A11"/>
    <w:rsid w:val="001B1D6E"/>
    <w:rsid w:val="001B24B3"/>
    <w:rsid w:val="001B46D7"/>
    <w:rsid w:val="001B520F"/>
    <w:rsid w:val="001B6D31"/>
    <w:rsid w:val="001B719B"/>
    <w:rsid w:val="001B7A80"/>
    <w:rsid w:val="001C216E"/>
    <w:rsid w:val="001C4830"/>
    <w:rsid w:val="001C5E61"/>
    <w:rsid w:val="001D2A5D"/>
    <w:rsid w:val="001D3590"/>
    <w:rsid w:val="001D4D27"/>
    <w:rsid w:val="001D4D37"/>
    <w:rsid w:val="001D585F"/>
    <w:rsid w:val="001D5FA2"/>
    <w:rsid w:val="001D76EB"/>
    <w:rsid w:val="001E051B"/>
    <w:rsid w:val="001E1691"/>
    <w:rsid w:val="001E1ADD"/>
    <w:rsid w:val="001E1C14"/>
    <w:rsid w:val="001E317D"/>
    <w:rsid w:val="001E350D"/>
    <w:rsid w:val="001E3F26"/>
    <w:rsid w:val="001E4054"/>
    <w:rsid w:val="001E4B83"/>
    <w:rsid w:val="001E6B66"/>
    <w:rsid w:val="001F0EA5"/>
    <w:rsid w:val="001F283C"/>
    <w:rsid w:val="001F3DDE"/>
    <w:rsid w:val="001F3FB9"/>
    <w:rsid w:val="001F420F"/>
    <w:rsid w:val="001F636F"/>
    <w:rsid w:val="001F7365"/>
    <w:rsid w:val="002008B4"/>
    <w:rsid w:val="00200BB6"/>
    <w:rsid w:val="00200C9E"/>
    <w:rsid w:val="0020125D"/>
    <w:rsid w:val="0020259E"/>
    <w:rsid w:val="00202E7F"/>
    <w:rsid w:val="002040FE"/>
    <w:rsid w:val="0020457E"/>
    <w:rsid w:val="00204A98"/>
    <w:rsid w:val="002052A7"/>
    <w:rsid w:val="00207183"/>
    <w:rsid w:val="0021103E"/>
    <w:rsid w:val="002118E2"/>
    <w:rsid w:val="00211914"/>
    <w:rsid w:val="00211C68"/>
    <w:rsid w:val="002122FF"/>
    <w:rsid w:val="002132FB"/>
    <w:rsid w:val="00214292"/>
    <w:rsid w:val="00215005"/>
    <w:rsid w:val="00215B98"/>
    <w:rsid w:val="002168BA"/>
    <w:rsid w:val="00216E7A"/>
    <w:rsid w:val="002176F5"/>
    <w:rsid w:val="00217EEE"/>
    <w:rsid w:val="00221546"/>
    <w:rsid w:val="0022414F"/>
    <w:rsid w:val="002245A7"/>
    <w:rsid w:val="00224AD4"/>
    <w:rsid w:val="002258AA"/>
    <w:rsid w:val="00225DDF"/>
    <w:rsid w:val="00226F88"/>
    <w:rsid w:val="002270CA"/>
    <w:rsid w:val="00227487"/>
    <w:rsid w:val="00230074"/>
    <w:rsid w:val="00232C0F"/>
    <w:rsid w:val="0023349A"/>
    <w:rsid w:val="002343CA"/>
    <w:rsid w:val="00234F7F"/>
    <w:rsid w:val="002370C5"/>
    <w:rsid w:val="00237B55"/>
    <w:rsid w:val="002413DC"/>
    <w:rsid w:val="0024253B"/>
    <w:rsid w:val="002432A3"/>
    <w:rsid w:val="002443D4"/>
    <w:rsid w:val="00245612"/>
    <w:rsid w:val="00247A40"/>
    <w:rsid w:val="00247D4E"/>
    <w:rsid w:val="00247D9D"/>
    <w:rsid w:val="002505B1"/>
    <w:rsid w:val="0025087A"/>
    <w:rsid w:val="00251F23"/>
    <w:rsid w:val="00254B25"/>
    <w:rsid w:val="00256426"/>
    <w:rsid w:val="00256E5E"/>
    <w:rsid w:val="002620E8"/>
    <w:rsid w:val="002623BC"/>
    <w:rsid w:val="00264527"/>
    <w:rsid w:val="00267773"/>
    <w:rsid w:val="00267DC3"/>
    <w:rsid w:val="00270C91"/>
    <w:rsid w:val="002714BF"/>
    <w:rsid w:val="00271CFE"/>
    <w:rsid w:val="0027495C"/>
    <w:rsid w:val="00277C8B"/>
    <w:rsid w:val="00277E37"/>
    <w:rsid w:val="00280A97"/>
    <w:rsid w:val="00280E3D"/>
    <w:rsid w:val="00280F33"/>
    <w:rsid w:val="002820B3"/>
    <w:rsid w:val="00286B5A"/>
    <w:rsid w:val="00287DA7"/>
    <w:rsid w:val="00291DDF"/>
    <w:rsid w:val="00292909"/>
    <w:rsid w:val="00292EF8"/>
    <w:rsid w:val="00293A8B"/>
    <w:rsid w:val="00293AC8"/>
    <w:rsid w:val="002940CC"/>
    <w:rsid w:val="00294832"/>
    <w:rsid w:val="002954B3"/>
    <w:rsid w:val="0029616B"/>
    <w:rsid w:val="002963C6"/>
    <w:rsid w:val="00297CDE"/>
    <w:rsid w:val="002A03E8"/>
    <w:rsid w:val="002A0B85"/>
    <w:rsid w:val="002A0E2C"/>
    <w:rsid w:val="002A17ED"/>
    <w:rsid w:val="002A375A"/>
    <w:rsid w:val="002A4CB7"/>
    <w:rsid w:val="002A51DB"/>
    <w:rsid w:val="002A5EC2"/>
    <w:rsid w:val="002A6197"/>
    <w:rsid w:val="002A7CAB"/>
    <w:rsid w:val="002B1792"/>
    <w:rsid w:val="002B3DC1"/>
    <w:rsid w:val="002B42E0"/>
    <w:rsid w:val="002B57DB"/>
    <w:rsid w:val="002B7414"/>
    <w:rsid w:val="002B7E98"/>
    <w:rsid w:val="002C0C98"/>
    <w:rsid w:val="002C1AE3"/>
    <w:rsid w:val="002C1C6A"/>
    <w:rsid w:val="002C3710"/>
    <w:rsid w:val="002C43DB"/>
    <w:rsid w:val="002C5099"/>
    <w:rsid w:val="002C62A8"/>
    <w:rsid w:val="002C674B"/>
    <w:rsid w:val="002C7235"/>
    <w:rsid w:val="002C7980"/>
    <w:rsid w:val="002C7BA0"/>
    <w:rsid w:val="002D0EF2"/>
    <w:rsid w:val="002D2179"/>
    <w:rsid w:val="002D2D5D"/>
    <w:rsid w:val="002D2ECA"/>
    <w:rsid w:val="002D3A73"/>
    <w:rsid w:val="002D3F95"/>
    <w:rsid w:val="002D4CD5"/>
    <w:rsid w:val="002D612E"/>
    <w:rsid w:val="002E0DAA"/>
    <w:rsid w:val="002E0DF1"/>
    <w:rsid w:val="002E1C25"/>
    <w:rsid w:val="002E20F0"/>
    <w:rsid w:val="002E54A4"/>
    <w:rsid w:val="002E565C"/>
    <w:rsid w:val="002E5861"/>
    <w:rsid w:val="002E5C4D"/>
    <w:rsid w:val="002E5FCE"/>
    <w:rsid w:val="002E63FF"/>
    <w:rsid w:val="002F018A"/>
    <w:rsid w:val="002F07DC"/>
    <w:rsid w:val="002F2442"/>
    <w:rsid w:val="002F40C6"/>
    <w:rsid w:val="002F4977"/>
    <w:rsid w:val="003001A3"/>
    <w:rsid w:val="0030040A"/>
    <w:rsid w:val="00300788"/>
    <w:rsid w:val="00301D76"/>
    <w:rsid w:val="003020E2"/>
    <w:rsid w:val="00304178"/>
    <w:rsid w:val="003043DF"/>
    <w:rsid w:val="003055EC"/>
    <w:rsid w:val="00305813"/>
    <w:rsid w:val="00306114"/>
    <w:rsid w:val="00306183"/>
    <w:rsid w:val="00306FD2"/>
    <w:rsid w:val="003109D4"/>
    <w:rsid w:val="00312812"/>
    <w:rsid w:val="003136A7"/>
    <w:rsid w:val="00313A09"/>
    <w:rsid w:val="00313F4F"/>
    <w:rsid w:val="003141C5"/>
    <w:rsid w:val="003143FB"/>
    <w:rsid w:val="003157E4"/>
    <w:rsid w:val="00315AA9"/>
    <w:rsid w:val="00315E5A"/>
    <w:rsid w:val="00316AD1"/>
    <w:rsid w:val="00320223"/>
    <w:rsid w:val="0032117A"/>
    <w:rsid w:val="00322193"/>
    <w:rsid w:val="0032258C"/>
    <w:rsid w:val="00322DFF"/>
    <w:rsid w:val="00323486"/>
    <w:rsid w:val="003235D1"/>
    <w:rsid w:val="00324512"/>
    <w:rsid w:val="003252BA"/>
    <w:rsid w:val="00325523"/>
    <w:rsid w:val="00326BC0"/>
    <w:rsid w:val="0032770D"/>
    <w:rsid w:val="00330509"/>
    <w:rsid w:val="003309E2"/>
    <w:rsid w:val="0033116C"/>
    <w:rsid w:val="003318F4"/>
    <w:rsid w:val="00333812"/>
    <w:rsid w:val="003339CF"/>
    <w:rsid w:val="003340A4"/>
    <w:rsid w:val="00334DAA"/>
    <w:rsid w:val="003351A4"/>
    <w:rsid w:val="00335A2C"/>
    <w:rsid w:val="0033616F"/>
    <w:rsid w:val="00341BC2"/>
    <w:rsid w:val="00342251"/>
    <w:rsid w:val="00342AE3"/>
    <w:rsid w:val="003447B5"/>
    <w:rsid w:val="003448F2"/>
    <w:rsid w:val="00344B64"/>
    <w:rsid w:val="00346D71"/>
    <w:rsid w:val="003478ED"/>
    <w:rsid w:val="00350F26"/>
    <w:rsid w:val="0035242B"/>
    <w:rsid w:val="0035393A"/>
    <w:rsid w:val="00354AF5"/>
    <w:rsid w:val="00357070"/>
    <w:rsid w:val="00360A0D"/>
    <w:rsid w:val="00360C8E"/>
    <w:rsid w:val="003612A9"/>
    <w:rsid w:val="00361367"/>
    <w:rsid w:val="003631C3"/>
    <w:rsid w:val="00364354"/>
    <w:rsid w:val="00364E33"/>
    <w:rsid w:val="00370449"/>
    <w:rsid w:val="00371130"/>
    <w:rsid w:val="00371491"/>
    <w:rsid w:val="00371618"/>
    <w:rsid w:val="00371F08"/>
    <w:rsid w:val="003732FC"/>
    <w:rsid w:val="0037393C"/>
    <w:rsid w:val="00374BEA"/>
    <w:rsid w:val="0037614F"/>
    <w:rsid w:val="003762DD"/>
    <w:rsid w:val="003779F5"/>
    <w:rsid w:val="00377E15"/>
    <w:rsid w:val="00377FAA"/>
    <w:rsid w:val="00381A7D"/>
    <w:rsid w:val="00383BA0"/>
    <w:rsid w:val="00384105"/>
    <w:rsid w:val="0038486E"/>
    <w:rsid w:val="00384A6E"/>
    <w:rsid w:val="00386B3E"/>
    <w:rsid w:val="00387272"/>
    <w:rsid w:val="003913B7"/>
    <w:rsid w:val="0039435F"/>
    <w:rsid w:val="003949B3"/>
    <w:rsid w:val="00394EE1"/>
    <w:rsid w:val="00396981"/>
    <w:rsid w:val="00397B72"/>
    <w:rsid w:val="00397FE5"/>
    <w:rsid w:val="003A18E5"/>
    <w:rsid w:val="003A21C2"/>
    <w:rsid w:val="003A4A80"/>
    <w:rsid w:val="003A67DA"/>
    <w:rsid w:val="003A7CD8"/>
    <w:rsid w:val="003B0856"/>
    <w:rsid w:val="003B1DEE"/>
    <w:rsid w:val="003B218E"/>
    <w:rsid w:val="003B3922"/>
    <w:rsid w:val="003B4C26"/>
    <w:rsid w:val="003B724A"/>
    <w:rsid w:val="003B7DF9"/>
    <w:rsid w:val="003B7FCE"/>
    <w:rsid w:val="003C0FFD"/>
    <w:rsid w:val="003C22C8"/>
    <w:rsid w:val="003C2D70"/>
    <w:rsid w:val="003C3F2A"/>
    <w:rsid w:val="003C401E"/>
    <w:rsid w:val="003C45FC"/>
    <w:rsid w:val="003C4B92"/>
    <w:rsid w:val="003C5729"/>
    <w:rsid w:val="003D0674"/>
    <w:rsid w:val="003D167F"/>
    <w:rsid w:val="003D18BF"/>
    <w:rsid w:val="003D1951"/>
    <w:rsid w:val="003D19EA"/>
    <w:rsid w:val="003D2F6A"/>
    <w:rsid w:val="003D319B"/>
    <w:rsid w:val="003D46ED"/>
    <w:rsid w:val="003D48CB"/>
    <w:rsid w:val="003D5C71"/>
    <w:rsid w:val="003D75C5"/>
    <w:rsid w:val="003D7BE1"/>
    <w:rsid w:val="003E085F"/>
    <w:rsid w:val="003E20A1"/>
    <w:rsid w:val="003E20D3"/>
    <w:rsid w:val="003E2109"/>
    <w:rsid w:val="003E3506"/>
    <w:rsid w:val="003E4FE0"/>
    <w:rsid w:val="003E5107"/>
    <w:rsid w:val="003E5530"/>
    <w:rsid w:val="003E562A"/>
    <w:rsid w:val="003F13E5"/>
    <w:rsid w:val="003F1B9D"/>
    <w:rsid w:val="003F2C3D"/>
    <w:rsid w:val="003F3181"/>
    <w:rsid w:val="003F3767"/>
    <w:rsid w:val="003F447C"/>
    <w:rsid w:val="003F4C5D"/>
    <w:rsid w:val="003F5338"/>
    <w:rsid w:val="003F7601"/>
    <w:rsid w:val="003F7C3C"/>
    <w:rsid w:val="0040086F"/>
    <w:rsid w:val="004008BE"/>
    <w:rsid w:val="00401EEB"/>
    <w:rsid w:val="004032BB"/>
    <w:rsid w:val="0040528F"/>
    <w:rsid w:val="00405B67"/>
    <w:rsid w:val="00405F13"/>
    <w:rsid w:val="0040630E"/>
    <w:rsid w:val="00406B51"/>
    <w:rsid w:val="00407A57"/>
    <w:rsid w:val="00410A32"/>
    <w:rsid w:val="00410C1F"/>
    <w:rsid w:val="00411307"/>
    <w:rsid w:val="00413399"/>
    <w:rsid w:val="00415305"/>
    <w:rsid w:val="00416BF3"/>
    <w:rsid w:val="0041745A"/>
    <w:rsid w:val="00417F7F"/>
    <w:rsid w:val="00422A7A"/>
    <w:rsid w:val="00425BA0"/>
    <w:rsid w:val="00425EBE"/>
    <w:rsid w:val="00426BC5"/>
    <w:rsid w:val="00427244"/>
    <w:rsid w:val="00431DDA"/>
    <w:rsid w:val="0043403D"/>
    <w:rsid w:val="004340A0"/>
    <w:rsid w:val="00434845"/>
    <w:rsid w:val="00435923"/>
    <w:rsid w:val="00435B21"/>
    <w:rsid w:val="00435D26"/>
    <w:rsid w:val="00435D35"/>
    <w:rsid w:val="00436DE8"/>
    <w:rsid w:val="00436F42"/>
    <w:rsid w:val="004408B4"/>
    <w:rsid w:val="00442ED4"/>
    <w:rsid w:val="00443C5B"/>
    <w:rsid w:val="00445A43"/>
    <w:rsid w:val="0044617C"/>
    <w:rsid w:val="004461C2"/>
    <w:rsid w:val="00451715"/>
    <w:rsid w:val="00452B58"/>
    <w:rsid w:val="00452C8D"/>
    <w:rsid w:val="00452EA1"/>
    <w:rsid w:val="00453ECA"/>
    <w:rsid w:val="004543ED"/>
    <w:rsid w:val="00455C7E"/>
    <w:rsid w:val="004562EC"/>
    <w:rsid w:val="00457CC8"/>
    <w:rsid w:val="00460055"/>
    <w:rsid w:val="00461034"/>
    <w:rsid w:val="004614E5"/>
    <w:rsid w:val="00463373"/>
    <w:rsid w:val="00463400"/>
    <w:rsid w:val="00466113"/>
    <w:rsid w:val="0046624B"/>
    <w:rsid w:val="00470201"/>
    <w:rsid w:val="00470551"/>
    <w:rsid w:val="00470615"/>
    <w:rsid w:val="004707D3"/>
    <w:rsid w:val="0047139C"/>
    <w:rsid w:val="004714FA"/>
    <w:rsid w:val="00471C3C"/>
    <w:rsid w:val="00473833"/>
    <w:rsid w:val="00473DDC"/>
    <w:rsid w:val="004745CD"/>
    <w:rsid w:val="00476645"/>
    <w:rsid w:val="00476A5F"/>
    <w:rsid w:val="00477952"/>
    <w:rsid w:val="00477A2C"/>
    <w:rsid w:val="0048040D"/>
    <w:rsid w:val="004806C7"/>
    <w:rsid w:val="00480F22"/>
    <w:rsid w:val="00482794"/>
    <w:rsid w:val="0048480E"/>
    <w:rsid w:val="00484F87"/>
    <w:rsid w:val="004850B4"/>
    <w:rsid w:val="00486A5C"/>
    <w:rsid w:val="00487690"/>
    <w:rsid w:val="00491B29"/>
    <w:rsid w:val="00491C0A"/>
    <w:rsid w:val="00491FC1"/>
    <w:rsid w:val="004933D2"/>
    <w:rsid w:val="004945DC"/>
    <w:rsid w:val="004946DF"/>
    <w:rsid w:val="00495DCB"/>
    <w:rsid w:val="00496263"/>
    <w:rsid w:val="00497A82"/>
    <w:rsid w:val="00497D50"/>
    <w:rsid w:val="004A077C"/>
    <w:rsid w:val="004A2874"/>
    <w:rsid w:val="004A3408"/>
    <w:rsid w:val="004A4E0A"/>
    <w:rsid w:val="004A526B"/>
    <w:rsid w:val="004A6964"/>
    <w:rsid w:val="004A736D"/>
    <w:rsid w:val="004A73FC"/>
    <w:rsid w:val="004B0120"/>
    <w:rsid w:val="004B0E37"/>
    <w:rsid w:val="004B20C1"/>
    <w:rsid w:val="004B56E3"/>
    <w:rsid w:val="004B62CB"/>
    <w:rsid w:val="004B62F6"/>
    <w:rsid w:val="004B6D53"/>
    <w:rsid w:val="004C0631"/>
    <w:rsid w:val="004C2148"/>
    <w:rsid w:val="004C3B9C"/>
    <w:rsid w:val="004C4B55"/>
    <w:rsid w:val="004C63C4"/>
    <w:rsid w:val="004C7402"/>
    <w:rsid w:val="004D0EE9"/>
    <w:rsid w:val="004D1679"/>
    <w:rsid w:val="004D1993"/>
    <w:rsid w:val="004D2794"/>
    <w:rsid w:val="004D3B06"/>
    <w:rsid w:val="004D3BB8"/>
    <w:rsid w:val="004D4C4E"/>
    <w:rsid w:val="004D5048"/>
    <w:rsid w:val="004D50FF"/>
    <w:rsid w:val="004E2507"/>
    <w:rsid w:val="004E5BEF"/>
    <w:rsid w:val="004F32BF"/>
    <w:rsid w:val="004F3D00"/>
    <w:rsid w:val="004F531F"/>
    <w:rsid w:val="004F5A2E"/>
    <w:rsid w:val="004F6C50"/>
    <w:rsid w:val="004F7A11"/>
    <w:rsid w:val="00501B46"/>
    <w:rsid w:val="00502561"/>
    <w:rsid w:val="00502F66"/>
    <w:rsid w:val="00503E90"/>
    <w:rsid w:val="00503F67"/>
    <w:rsid w:val="00506E4D"/>
    <w:rsid w:val="00506F6B"/>
    <w:rsid w:val="00507054"/>
    <w:rsid w:val="005133C8"/>
    <w:rsid w:val="00513813"/>
    <w:rsid w:val="00514139"/>
    <w:rsid w:val="00515DD6"/>
    <w:rsid w:val="0051643B"/>
    <w:rsid w:val="00517222"/>
    <w:rsid w:val="00517D2A"/>
    <w:rsid w:val="005230D6"/>
    <w:rsid w:val="005230FB"/>
    <w:rsid w:val="005233C9"/>
    <w:rsid w:val="00523412"/>
    <w:rsid w:val="00523C6C"/>
    <w:rsid w:val="0052408B"/>
    <w:rsid w:val="0052457B"/>
    <w:rsid w:val="00524B72"/>
    <w:rsid w:val="00525053"/>
    <w:rsid w:val="00526D18"/>
    <w:rsid w:val="00526E9B"/>
    <w:rsid w:val="00527ED6"/>
    <w:rsid w:val="00531D44"/>
    <w:rsid w:val="005324DF"/>
    <w:rsid w:val="005327A8"/>
    <w:rsid w:val="005333B2"/>
    <w:rsid w:val="005346D5"/>
    <w:rsid w:val="00534986"/>
    <w:rsid w:val="00537B88"/>
    <w:rsid w:val="00537FBB"/>
    <w:rsid w:val="00540546"/>
    <w:rsid w:val="00540BEE"/>
    <w:rsid w:val="00543D93"/>
    <w:rsid w:val="00544D8F"/>
    <w:rsid w:val="00545B2B"/>
    <w:rsid w:val="0054686E"/>
    <w:rsid w:val="005475DD"/>
    <w:rsid w:val="0055078D"/>
    <w:rsid w:val="0055227E"/>
    <w:rsid w:val="00553DCC"/>
    <w:rsid w:val="005548D9"/>
    <w:rsid w:val="00554B8E"/>
    <w:rsid w:val="00555AC5"/>
    <w:rsid w:val="00555E4A"/>
    <w:rsid w:val="005563B6"/>
    <w:rsid w:val="00556FCD"/>
    <w:rsid w:val="00557B72"/>
    <w:rsid w:val="00560833"/>
    <w:rsid w:val="00561944"/>
    <w:rsid w:val="00562339"/>
    <w:rsid w:val="0056275C"/>
    <w:rsid w:val="00562B20"/>
    <w:rsid w:val="00563A39"/>
    <w:rsid w:val="005641D9"/>
    <w:rsid w:val="00565BD3"/>
    <w:rsid w:val="00565D21"/>
    <w:rsid w:val="0057086F"/>
    <w:rsid w:val="00570F73"/>
    <w:rsid w:val="00571035"/>
    <w:rsid w:val="00571A2B"/>
    <w:rsid w:val="005747A7"/>
    <w:rsid w:val="0057562A"/>
    <w:rsid w:val="00575C6A"/>
    <w:rsid w:val="0057680D"/>
    <w:rsid w:val="00580374"/>
    <w:rsid w:val="0058045B"/>
    <w:rsid w:val="005818B5"/>
    <w:rsid w:val="00581949"/>
    <w:rsid w:val="00581B64"/>
    <w:rsid w:val="0058244E"/>
    <w:rsid w:val="005837DE"/>
    <w:rsid w:val="0058568C"/>
    <w:rsid w:val="005862EF"/>
    <w:rsid w:val="0059017D"/>
    <w:rsid w:val="00591072"/>
    <w:rsid w:val="0059145E"/>
    <w:rsid w:val="00592898"/>
    <w:rsid w:val="00592C5C"/>
    <w:rsid w:val="00592FA1"/>
    <w:rsid w:val="00593C90"/>
    <w:rsid w:val="00595401"/>
    <w:rsid w:val="00595743"/>
    <w:rsid w:val="005959DC"/>
    <w:rsid w:val="005A2C29"/>
    <w:rsid w:val="005A347C"/>
    <w:rsid w:val="005A4030"/>
    <w:rsid w:val="005A5EEC"/>
    <w:rsid w:val="005A5FB3"/>
    <w:rsid w:val="005A5FF7"/>
    <w:rsid w:val="005A6660"/>
    <w:rsid w:val="005A68DE"/>
    <w:rsid w:val="005A6C62"/>
    <w:rsid w:val="005B00FA"/>
    <w:rsid w:val="005B05D7"/>
    <w:rsid w:val="005B1E23"/>
    <w:rsid w:val="005B1E97"/>
    <w:rsid w:val="005B2ED7"/>
    <w:rsid w:val="005B3A63"/>
    <w:rsid w:val="005B4CBD"/>
    <w:rsid w:val="005B5978"/>
    <w:rsid w:val="005C1B6E"/>
    <w:rsid w:val="005C2424"/>
    <w:rsid w:val="005C2D2D"/>
    <w:rsid w:val="005C3575"/>
    <w:rsid w:val="005C3D45"/>
    <w:rsid w:val="005C41BA"/>
    <w:rsid w:val="005C4979"/>
    <w:rsid w:val="005C4FAF"/>
    <w:rsid w:val="005C518A"/>
    <w:rsid w:val="005C5E3D"/>
    <w:rsid w:val="005C616E"/>
    <w:rsid w:val="005C644B"/>
    <w:rsid w:val="005C6DF7"/>
    <w:rsid w:val="005C7DF8"/>
    <w:rsid w:val="005D08F5"/>
    <w:rsid w:val="005D1A16"/>
    <w:rsid w:val="005D294C"/>
    <w:rsid w:val="005D53E2"/>
    <w:rsid w:val="005D5F74"/>
    <w:rsid w:val="005D611F"/>
    <w:rsid w:val="005E46CF"/>
    <w:rsid w:val="005E4888"/>
    <w:rsid w:val="005E4CA9"/>
    <w:rsid w:val="005E4DB6"/>
    <w:rsid w:val="005E5315"/>
    <w:rsid w:val="005E5D19"/>
    <w:rsid w:val="005E66E8"/>
    <w:rsid w:val="005E6DD0"/>
    <w:rsid w:val="005E6E4F"/>
    <w:rsid w:val="005E7FB5"/>
    <w:rsid w:val="005F0389"/>
    <w:rsid w:val="005F0DCC"/>
    <w:rsid w:val="005F1EF9"/>
    <w:rsid w:val="005F2667"/>
    <w:rsid w:val="005F3991"/>
    <w:rsid w:val="005F3FA2"/>
    <w:rsid w:val="005F4341"/>
    <w:rsid w:val="005F4F5C"/>
    <w:rsid w:val="005F6E9E"/>
    <w:rsid w:val="005F7394"/>
    <w:rsid w:val="005F7FD5"/>
    <w:rsid w:val="006013C9"/>
    <w:rsid w:val="0060215E"/>
    <w:rsid w:val="00602363"/>
    <w:rsid w:val="00602C4F"/>
    <w:rsid w:val="00603625"/>
    <w:rsid w:val="00604619"/>
    <w:rsid w:val="00605853"/>
    <w:rsid w:val="00606251"/>
    <w:rsid w:val="00606AC2"/>
    <w:rsid w:val="00607ACA"/>
    <w:rsid w:val="0061036C"/>
    <w:rsid w:val="00610548"/>
    <w:rsid w:val="00612799"/>
    <w:rsid w:val="00615DB3"/>
    <w:rsid w:val="00617EEB"/>
    <w:rsid w:val="006218B6"/>
    <w:rsid w:val="00621FA2"/>
    <w:rsid w:val="00623595"/>
    <w:rsid w:val="00623DDB"/>
    <w:rsid w:val="0062429F"/>
    <w:rsid w:val="006253DB"/>
    <w:rsid w:val="006255DD"/>
    <w:rsid w:val="0062580D"/>
    <w:rsid w:val="00625E20"/>
    <w:rsid w:val="00627810"/>
    <w:rsid w:val="00630659"/>
    <w:rsid w:val="00630E12"/>
    <w:rsid w:val="00633141"/>
    <w:rsid w:val="00633297"/>
    <w:rsid w:val="006337F0"/>
    <w:rsid w:val="00634B31"/>
    <w:rsid w:val="00635D51"/>
    <w:rsid w:val="0063654E"/>
    <w:rsid w:val="00636C53"/>
    <w:rsid w:val="00636E2D"/>
    <w:rsid w:val="00637332"/>
    <w:rsid w:val="006377B0"/>
    <w:rsid w:val="006379A6"/>
    <w:rsid w:val="00640E7F"/>
    <w:rsid w:val="00640F00"/>
    <w:rsid w:val="00641517"/>
    <w:rsid w:val="00641882"/>
    <w:rsid w:val="00642B0E"/>
    <w:rsid w:val="00642BA8"/>
    <w:rsid w:val="006449E3"/>
    <w:rsid w:val="00644CAC"/>
    <w:rsid w:val="0064547C"/>
    <w:rsid w:val="0064598B"/>
    <w:rsid w:val="006464BE"/>
    <w:rsid w:val="00646DCD"/>
    <w:rsid w:val="00650E8B"/>
    <w:rsid w:val="00651AFA"/>
    <w:rsid w:val="00651D1E"/>
    <w:rsid w:val="006525DC"/>
    <w:rsid w:val="006529F9"/>
    <w:rsid w:val="00653143"/>
    <w:rsid w:val="0065321E"/>
    <w:rsid w:val="00653FC5"/>
    <w:rsid w:val="00654E45"/>
    <w:rsid w:val="00655864"/>
    <w:rsid w:val="006560F4"/>
    <w:rsid w:val="006564A2"/>
    <w:rsid w:val="00657824"/>
    <w:rsid w:val="00657D63"/>
    <w:rsid w:val="0066162A"/>
    <w:rsid w:val="00662A23"/>
    <w:rsid w:val="006635C4"/>
    <w:rsid w:val="006641EF"/>
    <w:rsid w:val="00665117"/>
    <w:rsid w:val="006654AC"/>
    <w:rsid w:val="00665B75"/>
    <w:rsid w:val="00665D2F"/>
    <w:rsid w:val="00666CBF"/>
    <w:rsid w:val="00667077"/>
    <w:rsid w:val="006675FF"/>
    <w:rsid w:val="006703B1"/>
    <w:rsid w:val="00670459"/>
    <w:rsid w:val="006710F7"/>
    <w:rsid w:val="0067179B"/>
    <w:rsid w:val="00671A12"/>
    <w:rsid w:val="0067308E"/>
    <w:rsid w:val="00673192"/>
    <w:rsid w:val="00673573"/>
    <w:rsid w:val="00675DB7"/>
    <w:rsid w:val="00676316"/>
    <w:rsid w:val="00676803"/>
    <w:rsid w:val="00681147"/>
    <w:rsid w:val="006817DF"/>
    <w:rsid w:val="006821CC"/>
    <w:rsid w:val="00682E44"/>
    <w:rsid w:val="00683969"/>
    <w:rsid w:val="00684379"/>
    <w:rsid w:val="00684F6B"/>
    <w:rsid w:val="0068529A"/>
    <w:rsid w:val="006869FE"/>
    <w:rsid w:val="00692F53"/>
    <w:rsid w:val="006935BD"/>
    <w:rsid w:val="00693F35"/>
    <w:rsid w:val="00694C24"/>
    <w:rsid w:val="006961AD"/>
    <w:rsid w:val="0069626A"/>
    <w:rsid w:val="00696DB3"/>
    <w:rsid w:val="006979BF"/>
    <w:rsid w:val="00697F15"/>
    <w:rsid w:val="006A00B9"/>
    <w:rsid w:val="006A0346"/>
    <w:rsid w:val="006A0AB6"/>
    <w:rsid w:val="006A0D1A"/>
    <w:rsid w:val="006A2A1E"/>
    <w:rsid w:val="006A31AD"/>
    <w:rsid w:val="006A3798"/>
    <w:rsid w:val="006A3E0E"/>
    <w:rsid w:val="006A421B"/>
    <w:rsid w:val="006A695E"/>
    <w:rsid w:val="006B4947"/>
    <w:rsid w:val="006B4E4E"/>
    <w:rsid w:val="006B4E88"/>
    <w:rsid w:val="006B57DD"/>
    <w:rsid w:val="006C0EE3"/>
    <w:rsid w:val="006C16BF"/>
    <w:rsid w:val="006C2131"/>
    <w:rsid w:val="006C2700"/>
    <w:rsid w:val="006C6819"/>
    <w:rsid w:val="006C7406"/>
    <w:rsid w:val="006C7758"/>
    <w:rsid w:val="006D0A7F"/>
    <w:rsid w:val="006D11DA"/>
    <w:rsid w:val="006D1568"/>
    <w:rsid w:val="006D303A"/>
    <w:rsid w:val="006D4928"/>
    <w:rsid w:val="006D5435"/>
    <w:rsid w:val="006D5C71"/>
    <w:rsid w:val="006D5DC1"/>
    <w:rsid w:val="006D6CD3"/>
    <w:rsid w:val="006D6F6A"/>
    <w:rsid w:val="006D747F"/>
    <w:rsid w:val="006D7910"/>
    <w:rsid w:val="006E0BC6"/>
    <w:rsid w:val="006E5830"/>
    <w:rsid w:val="006E5F6E"/>
    <w:rsid w:val="006E6641"/>
    <w:rsid w:val="006F0ED0"/>
    <w:rsid w:val="006F1427"/>
    <w:rsid w:val="006F1CF4"/>
    <w:rsid w:val="006F2707"/>
    <w:rsid w:val="006F3AFA"/>
    <w:rsid w:val="006F505C"/>
    <w:rsid w:val="006F6901"/>
    <w:rsid w:val="006F699B"/>
    <w:rsid w:val="006F7D79"/>
    <w:rsid w:val="0070444A"/>
    <w:rsid w:val="007053B0"/>
    <w:rsid w:val="0070559F"/>
    <w:rsid w:val="007073BE"/>
    <w:rsid w:val="00707421"/>
    <w:rsid w:val="0070778A"/>
    <w:rsid w:val="00710133"/>
    <w:rsid w:val="0071031D"/>
    <w:rsid w:val="00710A49"/>
    <w:rsid w:val="00710D47"/>
    <w:rsid w:val="00714E17"/>
    <w:rsid w:val="00721106"/>
    <w:rsid w:val="00721220"/>
    <w:rsid w:val="007214CC"/>
    <w:rsid w:val="00722691"/>
    <w:rsid w:val="007253E0"/>
    <w:rsid w:val="00725638"/>
    <w:rsid w:val="00725D37"/>
    <w:rsid w:val="00725F6C"/>
    <w:rsid w:val="00726819"/>
    <w:rsid w:val="00727594"/>
    <w:rsid w:val="00727D3D"/>
    <w:rsid w:val="00730961"/>
    <w:rsid w:val="00730FBF"/>
    <w:rsid w:val="007313BA"/>
    <w:rsid w:val="0073300A"/>
    <w:rsid w:val="00734AAA"/>
    <w:rsid w:val="00735DB7"/>
    <w:rsid w:val="007369C3"/>
    <w:rsid w:val="00736B9B"/>
    <w:rsid w:val="00740A0F"/>
    <w:rsid w:val="00741340"/>
    <w:rsid w:val="00741C83"/>
    <w:rsid w:val="00742438"/>
    <w:rsid w:val="00742910"/>
    <w:rsid w:val="007429BC"/>
    <w:rsid w:val="0074358E"/>
    <w:rsid w:val="00744731"/>
    <w:rsid w:val="00745642"/>
    <w:rsid w:val="00754BD2"/>
    <w:rsid w:val="0075582B"/>
    <w:rsid w:val="00755B02"/>
    <w:rsid w:val="00755F43"/>
    <w:rsid w:val="007568E5"/>
    <w:rsid w:val="00763933"/>
    <w:rsid w:val="00763A30"/>
    <w:rsid w:val="00764BB7"/>
    <w:rsid w:val="00766977"/>
    <w:rsid w:val="007701DB"/>
    <w:rsid w:val="00770306"/>
    <w:rsid w:val="0077172A"/>
    <w:rsid w:val="0077188A"/>
    <w:rsid w:val="00771C45"/>
    <w:rsid w:val="007746EF"/>
    <w:rsid w:val="00774AF1"/>
    <w:rsid w:val="00774C22"/>
    <w:rsid w:val="00774CB5"/>
    <w:rsid w:val="0077560D"/>
    <w:rsid w:val="00775742"/>
    <w:rsid w:val="00777031"/>
    <w:rsid w:val="007776E6"/>
    <w:rsid w:val="00781250"/>
    <w:rsid w:val="00781F31"/>
    <w:rsid w:val="0078244E"/>
    <w:rsid w:val="00783320"/>
    <w:rsid w:val="007833F9"/>
    <w:rsid w:val="0078566B"/>
    <w:rsid w:val="00792E20"/>
    <w:rsid w:val="00792FA9"/>
    <w:rsid w:val="00793A71"/>
    <w:rsid w:val="00793DCF"/>
    <w:rsid w:val="007946B9"/>
    <w:rsid w:val="0079487F"/>
    <w:rsid w:val="00796338"/>
    <w:rsid w:val="00796985"/>
    <w:rsid w:val="007A00A9"/>
    <w:rsid w:val="007A0645"/>
    <w:rsid w:val="007A0CAE"/>
    <w:rsid w:val="007A1BDF"/>
    <w:rsid w:val="007A1F3A"/>
    <w:rsid w:val="007A351E"/>
    <w:rsid w:val="007A39DF"/>
    <w:rsid w:val="007A7329"/>
    <w:rsid w:val="007B105F"/>
    <w:rsid w:val="007B2FBA"/>
    <w:rsid w:val="007B3552"/>
    <w:rsid w:val="007B4ED0"/>
    <w:rsid w:val="007B6995"/>
    <w:rsid w:val="007C024F"/>
    <w:rsid w:val="007C0B84"/>
    <w:rsid w:val="007C198E"/>
    <w:rsid w:val="007C3281"/>
    <w:rsid w:val="007C3488"/>
    <w:rsid w:val="007C3B14"/>
    <w:rsid w:val="007C466E"/>
    <w:rsid w:val="007C4C3F"/>
    <w:rsid w:val="007C6390"/>
    <w:rsid w:val="007D0D98"/>
    <w:rsid w:val="007D14DB"/>
    <w:rsid w:val="007D15A4"/>
    <w:rsid w:val="007D18A8"/>
    <w:rsid w:val="007D31F7"/>
    <w:rsid w:val="007D4206"/>
    <w:rsid w:val="007D47C2"/>
    <w:rsid w:val="007D4E29"/>
    <w:rsid w:val="007E0284"/>
    <w:rsid w:val="007E0F70"/>
    <w:rsid w:val="007E17CF"/>
    <w:rsid w:val="007E1F7D"/>
    <w:rsid w:val="007E3101"/>
    <w:rsid w:val="007E34A2"/>
    <w:rsid w:val="007E4298"/>
    <w:rsid w:val="007E4F2C"/>
    <w:rsid w:val="007E63EE"/>
    <w:rsid w:val="007E73D1"/>
    <w:rsid w:val="007E790D"/>
    <w:rsid w:val="007F1790"/>
    <w:rsid w:val="007F1E2A"/>
    <w:rsid w:val="007F2031"/>
    <w:rsid w:val="007F2056"/>
    <w:rsid w:val="007F3435"/>
    <w:rsid w:val="007F35C6"/>
    <w:rsid w:val="007F3CE3"/>
    <w:rsid w:val="007F5DB4"/>
    <w:rsid w:val="007F62E4"/>
    <w:rsid w:val="007F6962"/>
    <w:rsid w:val="007F7BF4"/>
    <w:rsid w:val="00800CFF"/>
    <w:rsid w:val="00800FB0"/>
    <w:rsid w:val="00801076"/>
    <w:rsid w:val="00801CBA"/>
    <w:rsid w:val="00804644"/>
    <w:rsid w:val="00804B83"/>
    <w:rsid w:val="00805090"/>
    <w:rsid w:val="00805C96"/>
    <w:rsid w:val="00807754"/>
    <w:rsid w:val="008079AE"/>
    <w:rsid w:val="00807F7E"/>
    <w:rsid w:val="008107C0"/>
    <w:rsid w:val="008107D7"/>
    <w:rsid w:val="00812FBB"/>
    <w:rsid w:val="008138E7"/>
    <w:rsid w:val="00816245"/>
    <w:rsid w:val="008167B5"/>
    <w:rsid w:val="0081688F"/>
    <w:rsid w:val="00817782"/>
    <w:rsid w:val="00820783"/>
    <w:rsid w:val="00820FB1"/>
    <w:rsid w:val="0082103D"/>
    <w:rsid w:val="008210C8"/>
    <w:rsid w:val="00822092"/>
    <w:rsid w:val="008220F5"/>
    <w:rsid w:val="00823502"/>
    <w:rsid w:val="00823916"/>
    <w:rsid w:val="0082393D"/>
    <w:rsid w:val="00826561"/>
    <w:rsid w:val="008303A3"/>
    <w:rsid w:val="008317A2"/>
    <w:rsid w:val="00832372"/>
    <w:rsid w:val="00832744"/>
    <w:rsid w:val="00833803"/>
    <w:rsid w:val="00833ADB"/>
    <w:rsid w:val="00835976"/>
    <w:rsid w:val="00836AAF"/>
    <w:rsid w:val="00836CF5"/>
    <w:rsid w:val="008404A2"/>
    <w:rsid w:val="00840A03"/>
    <w:rsid w:val="00841732"/>
    <w:rsid w:val="008420F8"/>
    <w:rsid w:val="00842D8F"/>
    <w:rsid w:val="00843027"/>
    <w:rsid w:val="008436D9"/>
    <w:rsid w:val="00844170"/>
    <w:rsid w:val="00844410"/>
    <w:rsid w:val="00846240"/>
    <w:rsid w:val="00846568"/>
    <w:rsid w:val="0085255F"/>
    <w:rsid w:val="00853511"/>
    <w:rsid w:val="00854EBD"/>
    <w:rsid w:val="00855382"/>
    <w:rsid w:val="00855FF4"/>
    <w:rsid w:val="00856050"/>
    <w:rsid w:val="00857E42"/>
    <w:rsid w:val="00861701"/>
    <w:rsid w:val="008626A7"/>
    <w:rsid w:val="00862800"/>
    <w:rsid w:val="0086471D"/>
    <w:rsid w:val="008655E3"/>
    <w:rsid w:val="008669B8"/>
    <w:rsid w:val="0086719B"/>
    <w:rsid w:val="008672B4"/>
    <w:rsid w:val="008706E7"/>
    <w:rsid w:val="00871156"/>
    <w:rsid w:val="00872400"/>
    <w:rsid w:val="00872BBB"/>
    <w:rsid w:val="0087326B"/>
    <w:rsid w:val="0087452D"/>
    <w:rsid w:val="008749B5"/>
    <w:rsid w:val="00875108"/>
    <w:rsid w:val="00875C87"/>
    <w:rsid w:val="00876F91"/>
    <w:rsid w:val="0087781A"/>
    <w:rsid w:val="008805AC"/>
    <w:rsid w:val="008829A7"/>
    <w:rsid w:val="00885FFC"/>
    <w:rsid w:val="008900D4"/>
    <w:rsid w:val="00891955"/>
    <w:rsid w:val="00892848"/>
    <w:rsid w:val="0089460B"/>
    <w:rsid w:val="00895545"/>
    <w:rsid w:val="0089650D"/>
    <w:rsid w:val="00896D4B"/>
    <w:rsid w:val="008974A2"/>
    <w:rsid w:val="008A00ED"/>
    <w:rsid w:val="008A174A"/>
    <w:rsid w:val="008A1F0F"/>
    <w:rsid w:val="008A281C"/>
    <w:rsid w:val="008A2B1B"/>
    <w:rsid w:val="008A5F8E"/>
    <w:rsid w:val="008B0941"/>
    <w:rsid w:val="008B5A06"/>
    <w:rsid w:val="008B68A2"/>
    <w:rsid w:val="008B6A8B"/>
    <w:rsid w:val="008B7C10"/>
    <w:rsid w:val="008B7CD5"/>
    <w:rsid w:val="008C010F"/>
    <w:rsid w:val="008C17B3"/>
    <w:rsid w:val="008C299A"/>
    <w:rsid w:val="008C3250"/>
    <w:rsid w:val="008C532A"/>
    <w:rsid w:val="008C5AE9"/>
    <w:rsid w:val="008C5FC7"/>
    <w:rsid w:val="008C71F6"/>
    <w:rsid w:val="008C74EA"/>
    <w:rsid w:val="008C7631"/>
    <w:rsid w:val="008C7A49"/>
    <w:rsid w:val="008D0A45"/>
    <w:rsid w:val="008D133B"/>
    <w:rsid w:val="008D3113"/>
    <w:rsid w:val="008D36AD"/>
    <w:rsid w:val="008D6095"/>
    <w:rsid w:val="008D6E2E"/>
    <w:rsid w:val="008D7B86"/>
    <w:rsid w:val="008E049B"/>
    <w:rsid w:val="008E1E33"/>
    <w:rsid w:val="008E1F1E"/>
    <w:rsid w:val="008E2F34"/>
    <w:rsid w:val="008E3369"/>
    <w:rsid w:val="008E4596"/>
    <w:rsid w:val="008E4AB5"/>
    <w:rsid w:val="008E5318"/>
    <w:rsid w:val="008E6650"/>
    <w:rsid w:val="008E7A1F"/>
    <w:rsid w:val="008F16B5"/>
    <w:rsid w:val="008F1B3D"/>
    <w:rsid w:val="008F2E2A"/>
    <w:rsid w:val="008F3F42"/>
    <w:rsid w:val="008F4F7F"/>
    <w:rsid w:val="008F51A3"/>
    <w:rsid w:val="008F6ECE"/>
    <w:rsid w:val="009003CA"/>
    <w:rsid w:val="0090150E"/>
    <w:rsid w:val="00901A39"/>
    <w:rsid w:val="0090464D"/>
    <w:rsid w:val="009047F1"/>
    <w:rsid w:val="00904C88"/>
    <w:rsid w:val="00905B5B"/>
    <w:rsid w:val="009071D2"/>
    <w:rsid w:val="0090766B"/>
    <w:rsid w:val="00907D38"/>
    <w:rsid w:val="00907F12"/>
    <w:rsid w:val="00912D3E"/>
    <w:rsid w:val="00914733"/>
    <w:rsid w:val="00915135"/>
    <w:rsid w:val="009152AB"/>
    <w:rsid w:val="00915DE8"/>
    <w:rsid w:val="00915EE7"/>
    <w:rsid w:val="00915FF5"/>
    <w:rsid w:val="00916450"/>
    <w:rsid w:val="00916FB9"/>
    <w:rsid w:val="00920C1C"/>
    <w:rsid w:val="00925244"/>
    <w:rsid w:val="0092602B"/>
    <w:rsid w:val="00926FB3"/>
    <w:rsid w:val="0093120C"/>
    <w:rsid w:val="009323D1"/>
    <w:rsid w:val="00933DBD"/>
    <w:rsid w:val="00934358"/>
    <w:rsid w:val="00934983"/>
    <w:rsid w:val="00934AAB"/>
    <w:rsid w:val="00935987"/>
    <w:rsid w:val="00935DAD"/>
    <w:rsid w:val="009364B7"/>
    <w:rsid w:val="00936CFC"/>
    <w:rsid w:val="009403F0"/>
    <w:rsid w:val="009407F3"/>
    <w:rsid w:val="00941FA0"/>
    <w:rsid w:val="00943323"/>
    <w:rsid w:val="00943F92"/>
    <w:rsid w:val="00945352"/>
    <w:rsid w:val="00951CC7"/>
    <w:rsid w:val="00953E0D"/>
    <w:rsid w:val="00954A4E"/>
    <w:rsid w:val="0095572F"/>
    <w:rsid w:val="0095601C"/>
    <w:rsid w:val="0095663B"/>
    <w:rsid w:val="009566BC"/>
    <w:rsid w:val="009569EC"/>
    <w:rsid w:val="00956B92"/>
    <w:rsid w:val="00956D9C"/>
    <w:rsid w:val="00957692"/>
    <w:rsid w:val="00957932"/>
    <w:rsid w:val="00960F4B"/>
    <w:rsid w:val="009633DB"/>
    <w:rsid w:val="009638A5"/>
    <w:rsid w:val="00964899"/>
    <w:rsid w:val="00965652"/>
    <w:rsid w:val="00967031"/>
    <w:rsid w:val="00970F4A"/>
    <w:rsid w:val="00975CDF"/>
    <w:rsid w:val="00975FB1"/>
    <w:rsid w:val="00976678"/>
    <w:rsid w:val="009772DB"/>
    <w:rsid w:val="00980F31"/>
    <w:rsid w:val="0098248D"/>
    <w:rsid w:val="00982B06"/>
    <w:rsid w:val="009831E1"/>
    <w:rsid w:val="00984122"/>
    <w:rsid w:val="00984BC1"/>
    <w:rsid w:val="0098545E"/>
    <w:rsid w:val="0098571F"/>
    <w:rsid w:val="00985BD1"/>
    <w:rsid w:val="0099010E"/>
    <w:rsid w:val="00993231"/>
    <w:rsid w:val="009933D3"/>
    <w:rsid w:val="00994C42"/>
    <w:rsid w:val="00995119"/>
    <w:rsid w:val="00995A85"/>
    <w:rsid w:val="00995F8F"/>
    <w:rsid w:val="00996C6C"/>
    <w:rsid w:val="009A1A08"/>
    <w:rsid w:val="009A37D2"/>
    <w:rsid w:val="009A4691"/>
    <w:rsid w:val="009A47DF"/>
    <w:rsid w:val="009A4D2E"/>
    <w:rsid w:val="009A585B"/>
    <w:rsid w:val="009A7A1B"/>
    <w:rsid w:val="009B00A2"/>
    <w:rsid w:val="009B01B0"/>
    <w:rsid w:val="009B0DCD"/>
    <w:rsid w:val="009B1431"/>
    <w:rsid w:val="009B20E4"/>
    <w:rsid w:val="009B24D4"/>
    <w:rsid w:val="009B3672"/>
    <w:rsid w:val="009B4CFD"/>
    <w:rsid w:val="009B555C"/>
    <w:rsid w:val="009B64B1"/>
    <w:rsid w:val="009C0E9E"/>
    <w:rsid w:val="009C1CBF"/>
    <w:rsid w:val="009C38D4"/>
    <w:rsid w:val="009C4800"/>
    <w:rsid w:val="009C4BB9"/>
    <w:rsid w:val="009C5FB1"/>
    <w:rsid w:val="009C6378"/>
    <w:rsid w:val="009C6ECF"/>
    <w:rsid w:val="009C6F87"/>
    <w:rsid w:val="009D4334"/>
    <w:rsid w:val="009D49E2"/>
    <w:rsid w:val="009D4B02"/>
    <w:rsid w:val="009D4BF7"/>
    <w:rsid w:val="009D5484"/>
    <w:rsid w:val="009D6157"/>
    <w:rsid w:val="009D61FD"/>
    <w:rsid w:val="009D63BE"/>
    <w:rsid w:val="009D6FDC"/>
    <w:rsid w:val="009D727B"/>
    <w:rsid w:val="009E13DB"/>
    <w:rsid w:val="009E5D53"/>
    <w:rsid w:val="009E5FE2"/>
    <w:rsid w:val="009E6FEF"/>
    <w:rsid w:val="009F06BD"/>
    <w:rsid w:val="009F14C6"/>
    <w:rsid w:val="009F19EA"/>
    <w:rsid w:val="009F2B36"/>
    <w:rsid w:val="009F491C"/>
    <w:rsid w:val="009F6A84"/>
    <w:rsid w:val="009F6C09"/>
    <w:rsid w:val="00A01E60"/>
    <w:rsid w:val="00A0628D"/>
    <w:rsid w:val="00A07A56"/>
    <w:rsid w:val="00A106AB"/>
    <w:rsid w:val="00A10834"/>
    <w:rsid w:val="00A11739"/>
    <w:rsid w:val="00A121D0"/>
    <w:rsid w:val="00A128F9"/>
    <w:rsid w:val="00A13DA3"/>
    <w:rsid w:val="00A149B6"/>
    <w:rsid w:val="00A158C8"/>
    <w:rsid w:val="00A20287"/>
    <w:rsid w:val="00A2089D"/>
    <w:rsid w:val="00A217D4"/>
    <w:rsid w:val="00A21FC2"/>
    <w:rsid w:val="00A243CA"/>
    <w:rsid w:val="00A2443B"/>
    <w:rsid w:val="00A25766"/>
    <w:rsid w:val="00A26388"/>
    <w:rsid w:val="00A2652A"/>
    <w:rsid w:val="00A26BC8"/>
    <w:rsid w:val="00A27765"/>
    <w:rsid w:val="00A303B2"/>
    <w:rsid w:val="00A30A49"/>
    <w:rsid w:val="00A30F62"/>
    <w:rsid w:val="00A3165A"/>
    <w:rsid w:val="00A31735"/>
    <w:rsid w:val="00A31D76"/>
    <w:rsid w:val="00A32D5C"/>
    <w:rsid w:val="00A334B4"/>
    <w:rsid w:val="00A33B26"/>
    <w:rsid w:val="00A353E6"/>
    <w:rsid w:val="00A36ABD"/>
    <w:rsid w:val="00A36B01"/>
    <w:rsid w:val="00A40422"/>
    <w:rsid w:val="00A435A7"/>
    <w:rsid w:val="00A435EE"/>
    <w:rsid w:val="00A43950"/>
    <w:rsid w:val="00A4433A"/>
    <w:rsid w:val="00A46167"/>
    <w:rsid w:val="00A46582"/>
    <w:rsid w:val="00A46FC4"/>
    <w:rsid w:val="00A47BEC"/>
    <w:rsid w:val="00A50DBB"/>
    <w:rsid w:val="00A5195A"/>
    <w:rsid w:val="00A5367C"/>
    <w:rsid w:val="00A53AA3"/>
    <w:rsid w:val="00A53F10"/>
    <w:rsid w:val="00A540B0"/>
    <w:rsid w:val="00A55E73"/>
    <w:rsid w:val="00A57015"/>
    <w:rsid w:val="00A57DDA"/>
    <w:rsid w:val="00A60217"/>
    <w:rsid w:val="00A61A8E"/>
    <w:rsid w:val="00A622E4"/>
    <w:rsid w:val="00A673F2"/>
    <w:rsid w:val="00A678A1"/>
    <w:rsid w:val="00A70A3A"/>
    <w:rsid w:val="00A70B96"/>
    <w:rsid w:val="00A70C8B"/>
    <w:rsid w:val="00A712BA"/>
    <w:rsid w:val="00A71CD8"/>
    <w:rsid w:val="00A71E4F"/>
    <w:rsid w:val="00A733B6"/>
    <w:rsid w:val="00A73B3C"/>
    <w:rsid w:val="00A74417"/>
    <w:rsid w:val="00A745AC"/>
    <w:rsid w:val="00A74D58"/>
    <w:rsid w:val="00A74EC7"/>
    <w:rsid w:val="00A76535"/>
    <w:rsid w:val="00A76616"/>
    <w:rsid w:val="00A76706"/>
    <w:rsid w:val="00A77808"/>
    <w:rsid w:val="00A77F13"/>
    <w:rsid w:val="00A800E4"/>
    <w:rsid w:val="00A81A87"/>
    <w:rsid w:val="00A83560"/>
    <w:rsid w:val="00A85433"/>
    <w:rsid w:val="00A8572F"/>
    <w:rsid w:val="00A86B78"/>
    <w:rsid w:val="00A9127E"/>
    <w:rsid w:val="00A916DB"/>
    <w:rsid w:val="00A91899"/>
    <w:rsid w:val="00A927A7"/>
    <w:rsid w:val="00A94048"/>
    <w:rsid w:val="00A94188"/>
    <w:rsid w:val="00A94D4C"/>
    <w:rsid w:val="00A9552C"/>
    <w:rsid w:val="00A95C0E"/>
    <w:rsid w:val="00A95F6D"/>
    <w:rsid w:val="00A97A76"/>
    <w:rsid w:val="00AA0EA8"/>
    <w:rsid w:val="00AA1405"/>
    <w:rsid w:val="00AA2178"/>
    <w:rsid w:val="00AA3BB0"/>
    <w:rsid w:val="00AA61C1"/>
    <w:rsid w:val="00AA6C19"/>
    <w:rsid w:val="00AA6DF7"/>
    <w:rsid w:val="00AB0CBB"/>
    <w:rsid w:val="00AB26FC"/>
    <w:rsid w:val="00AB2747"/>
    <w:rsid w:val="00AB2F52"/>
    <w:rsid w:val="00AB3539"/>
    <w:rsid w:val="00AB3C8C"/>
    <w:rsid w:val="00AB4A4F"/>
    <w:rsid w:val="00AB5982"/>
    <w:rsid w:val="00AB5A97"/>
    <w:rsid w:val="00AB6051"/>
    <w:rsid w:val="00AB6944"/>
    <w:rsid w:val="00AC1147"/>
    <w:rsid w:val="00AC1CBE"/>
    <w:rsid w:val="00AC38BD"/>
    <w:rsid w:val="00AC3CC7"/>
    <w:rsid w:val="00AC3ED1"/>
    <w:rsid w:val="00AC3EEE"/>
    <w:rsid w:val="00AC559B"/>
    <w:rsid w:val="00AC59BE"/>
    <w:rsid w:val="00AC7694"/>
    <w:rsid w:val="00AC7C2E"/>
    <w:rsid w:val="00AD0400"/>
    <w:rsid w:val="00AD0BDD"/>
    <w:rsid w:val="00AD0F58"/>
    <w:rsid w:val="00AD2737"/>
    <w:rsid w:val="00AD2973"/>
    <w:rsid w:val="00AD6550"/>
    <w:rsid w:val="00AD6A1E"/>
    <w:rsid w:val="00AD6B11"/>
    <w:rsid w:val="00AD6E10"/>
    <w:rsid w:val="00AD6FAB"/>
    <w:rsid w:val="00AE01D0"/>
    <w:rsid w:val="00AE06AB"/>
    <w:rsid w:val="00AE0C43"/>
    <w:rsid w:val="00AE0C49"/>
    <w:rsid w:val="00AE2054"/>
    <w:rsid w:val="00AE20DB"/>
    <w:rsid w:val="00AE6451"/>
    <w:rsid w:val="00AF076B"/>
    <w:rsid w:val="00AF0BD7"/>
    <w:rsid w:val="00AF2D15"/>
    <w:rsid w:val="00AF3A57"/>
    <w:rsid w:val="00AF581F"/>
    <w:rsid w:val="00B0279E"/>
    <w:rsid w:val="00B028CA"/>
    <w:rsid w:val="00B05B5C"/>
    <w:rsid w:val="00B06105"/>
    <w:rsid w:val="00B131EE"/>
    <w:rsid w:val="00B14A5D"/>
    <w:rsid w:val="00B14B8A"/>
    <w:rsid w:val="00B15003"/>
    <w:rsid w:val="00B154D8"/>
    <w:rsid w:val="00B17138"/>
    <w:rsid w:val="00B17840"/>
    <w:rsid w:val="00B20209"/>
    <w:rsid w:val="00B2328D"/>
    <w:rsid w:val="00B236FA"/>
    <w:rsid w:val="00B23C80"/>
    <w:rsid w:val="00B26228"/>
    <w:rsid w:val="00B31222"/>
    <w:rsid w:val="00B322F9"/>
    <w:rsid w:val="00B330CE"/>
    <w:rsid w:val="00B351AD"/>
    <w:rsid w:val="00B354B8"/>
    <w:rsid w:val="00B357B8"/>
    <w:rsid w:val="00B358D9"/>
    <w:rsid w:val="00B35FF1"/>
    <w:rsid w:val="00B36FA2"/>
    <w:rsid w:val="00B36FED"/>
    <w:rsid w:val="00B37089"/>
    <w:rsid w:val="00B402A5"/>
    <w:rsid w:val="00B40991"/>
    <w:rsid w:val="00B419E7"/>
    <w:rsid w:val="00B4238C"/>
    <w:rsid w:val="00B42516"/>
    <w:rsid w:val="00B42DFC"/>
    <w:rsid w:val="00B457F2"/>
    <w:rsid w:val="00B45914"/>
    <w:rsid w:val="00B464B9"/>
    <w:rsid w:val="00B46521"/>
    <w:rsid w:val="00B469A7"/>
    <w:rsid w:val="00B50507"/>
    <w:rsid w:val="00B510A1"/>
    <w:rsid w:val="00B513C2"/>
    <w:rsid w:val="00B543C8"/>
    <w:rsid w:val="00B559DE"/>
    <w:rsid w:val="00B55C8F"/>
    <w:rsid w:val="00B5627C"/>
    <w:rsid w:val="00B624EA"/>
    <w:rsid w:val="00B6255C"/>
    <w:rsid w:val="00B62F57"/>
    <w:rsid w:val="00B6317F"/>
    <w:rsid w:val="00B63EDC"/>
    <w:rsid w:val="00B6666B"/>
    <w:rsid w:val="00B66A4B"/>
    <w:rsid w:val="00B66BC3"/>
    <w:rsid w:val="00B675F7"/>
    <w:rsid w:val="00B67C0C"/>
    <w:rsid w:val="00B70D96"/>
    <w:rsid w:val="00B7164C"/>
    <w:rsid w:val="00B762E9"/>
    <w:rsid w:val="00B764BA"/>
    <w:rsid w:val="00B77453"/>
    <w:rsid w:val="00B803D3"/>
    <w:rsid w:val="00B825A7"/>
    <w:rsid w:val="00B83246"/>
    <w:rsid w:val="00B836F6"/>
    <w:rsid w:val="00B83CA3"/>
    <w:rsid w:val="00B83E99"/>
    <w:rsid w:val="00B842DC"/>
    <w:rsid w:val="00B86C56"/>
    <w:rsid w:val="00B870EB"/>
    <w:rsid w:val="00B9254B"/>
    <w:rsid w:val="00B931B3"/>
    <w:rsid w:val="00B93F49"/>
    <w:rsid w:val="00B954F0"/>
    <w:rsid w:val="00B95559"/>
    <w:rsid w:val="00B95AAA"/>
    <w:rsid w:val="00B95F50"/>
    <w:rsid w:val="00B9613F"/>
    <w:rsid w:val="00B9638C"/>
    <w:rsid w:val="00B9782B"/>
    <w:rsid w:val="00BA1358"/>
    <w:rsid w:val="00BA1C00"/>
    <w:rsid w:val="00BA3408"/>
    <w:rsid w:val="00BA55C7"/>
    <w:rsid w:val="00BA6095"/>
    <w:rsid w:val="00BA6106"/>
    <w:rsid w:val="00BA6391"/>
    <w:rsid w:val="00BA7868"/>
    <w:rsid w:val="00BB0271"/>
    <w:rsid w:val="00BB41EE"/>
    <w:rsid w:val="00BB5F97"/>
    <w:rsid w:val="00BB6CB8"/>
    <w:rsid w:val="00BC17ED"/>
    <w:rsid w:val="00BC4F21"/>
    <w:rsid w:val="00BD02A6"/>
    <w:rsid w:val="00BD1D4B"/>
    <w:rsid w:val="00BD3F19"/>
    <w:rsid w:val="00BD4002"/>
    <w:rsid w:val="00BD4614"/>
    <w:rsid w:val="00BD4ED9"/>
    <w:rsid w:val="00BD54F3"/>
    <w:rsid w:val="00BD5E85"/>
    <w:rsid w:val="00BD64DA"/>
    <w:rsid w:val="00BD77AF"/>
    <w:rsid w:val="00BE179E"/>
    <w:rsid w:val="00BE1A07"/>
    <w:rsid w:val="00BE1C25"/>
    <w:rsid w:val="00BE2007"/>
    <w:rsid w:val="00BE2193"/>
    <w:rsid w:val="00BE3D00"/>
    <w:rsid w:val="00BE618C"/>
    <w:rsid w:val="00BE6511"/>
    <w:rsid w:val="00BE69F3"/>
    <w:rsid w:val="00BE73F3"/>
    <w:rsid w:val="00BE7BD9"/>
    <w:rsid w:val="00BE7F35"/>
    <w:rsid w:val="00BF0042"/>
    <w:rsid w:val="00BF01E0"/>
    <w:rsid w:val="00BF0C58"/>
    <w:rsid w:val="00BF25CD"/>
    <w:rsid w:val="00BF2940"/>
    <w:rsid w:val="00BF2E79"/>
    <w:rsid w:val="00BF45DF"/>
    <w:rsid w:val="00BF4698"/>
    <w:rsid w:val="00BF4841"/>
    <w:rsid w:val="00BF5249"/>
    <w:rsid w:val="00BF61A1"/>
    <w:rsid w:val="00BF6502"/>
    <w:rsid w:val="00BF7FAC"/>
    <w:rsid w:val="00C020AD"/>
    <w:rsid w:val="00C027DC"/>
    <w:rsid w:val="00C02849"/>
    <w:rsid w:val="00C034C8"/>
    <w:rsid w:val="00C05857"/>
    <w:rsid w:val="00C058C8"/>
    <w:rsid w:val="00C06EB0"/>
    <w:rsid w:val="00C07E17"/>
    <w:rsid w:val="00C10305"/>
    <w:rsid w:val="00C14324"/>
    <w:rsid w:val="00C14BF3"/>
    <w:rsid w:val="00C1514D"/>
    <w:rsid w:val="00C15AEF"/>
    <w:rsid w:val="00C15F22"/>
    <w:rsid w:val="00C161B3"/>
    <w:rsid w:val="00C16689"/>
    <w:rsid w:val="00C17360"/>
    <w:rsid w:val="00C205B2"/>
    <w:rsid w:val="00C21F88"/>
    <w:rsid w:val="00C21FE6"/>
    <w:rsid w:val="00C22A6F"/>
    <w:rsid w:val="00C23B4C"/>
    <w:rsid w:val="00C2483A"/>
    <w:rsid w:val="00C2720E"/>
    <w:rsid w:val="00C30D10"/>
    <w:rsid w:val="00C316D7"/>
    <w:rsid w:val="00C32D5E"/>
    <w:rsid w:val="00C35FA9"/>
    <w:rsid w:val="00C41379"/>
    <w:rsid w:val="00C4277B"/>
    <w:rsid w:val="00C434CF"/>
    <w:rsid w:val="00C439EA"/>
    <w:rsid w:val="00C4644B"/>
    <w:rsid w:val="00C468DA"/>
    <w:rsid w:val="00C46A43"/>
    <w:rsid w:val="00C477BF"/>
    <w:rsid w:val="00C50A4A"/>
    <w:rsid w:val="00C5185A"/>
    <w:rsid w:val="00C51B81"/>
    <w:rsid w:val="00C51BE4"/>
    <w:rsid w:val="00C51C4C"/>
    <w:rsid w:val="00C52559"/>
    <w:rsid w:val="00C53CA2"/>
    <w:rsid w:val="00C56BCB"/>
    <w:rsid w:val="00C56EB6"/>
    <w:rsid w:val="00C57513"/>
    <w:rsid w:val="00C61D84"/>
    <w:rsid w:val="00C625B0"/>
    <w:rsid w:val="00C62B21"/>
    <w:rsid w:val="00C63CD8"/>
    <w:rsid w:val="00C6532D"/>
    <w:rsid w:val="00C658A2"/>
    <w:rsid w:val="00C70A70"/>
    <w:rsid w:val="00C70E34"/>
    <w:rsid w:val="00C7259B"/>
    <w:rsid w:val="00C73584"/>
    <w:rsid w:val="00C739E6"/>
    <w:rsid w:val="00C75154"/>
    <w:rsid w:val="00C75765"/>
    <w:rsid w:val="00C76743"/>
    <w:rsid w:val="00C76ECD"/>
    <w:rsid w:val="00C77AAB"/>
    <w:rsid w:val="00C81B68"/>
    <w:rsid w:val="00C820F8"/>
    <w:rsid w:val="00C82C9E"/>
    <w:rsid w:val="00C83923"/>
    <w:rsid w:val="00C83C86"/>
    <w:rsid w:val="00C84774"/>
    <w:rsid w:val="00C854B5"/>
    <w:rsid w:val="00C85DB4"/>
    <w:rsid w:val="00C8728C"/>
    <w:rsid w:val="00C87297"/>
    <w:rsid w:val="00C87379"/>
    <w:rsid w:val="00C90416"/>
    <w:rsid w:val="00C90482"/>
    <w:rsid w:val="00C90D24"/>
    <w:rsid w:val="00C91E94"/>
    <w:rsid w:val="00C9388A"/>
    <w:rsid w:val="00C945FF"/>
    <w:rsid w:val="00C94AAF"/>
    <w:rsid w:val="00C95A41"/>
    <w:rsid w:val="00C96AE9"/>
    <w:rsid w:val="00CA0862"/>
    <w:rsid w:val="00CA0A65"/>
    <w:rsid w:val="00CA1B35"/>
    <w:rsid w:val="00CA288D"/>
    <w:rsid w:val="00CA3686"/>
    <w:rsid w:val="00CA4256"/>
    <w:rsid w:val="00CA5FEC"/>
    <w:rsid w:val="00CB0317"/>
    <w:rsid w:val="00CB22D6"/>
    <w:rsid w:val="00CB236C"/>
    <w:rsid w:val="00CB30C9"/>
    <w:rsid w:val="00CB4715"/>
    <w:rsid w:val="00CB6109"/>
    <w:rsid w:val="00CC0D9A"/>
    <w:rsid w:val="00CC11BE"/>
    <w:rsid w:val="00CC1BDE"/>
    <w:rsid w:val="00CC1C7A"/>
    <w:rsid w:val="00CC1F20"/>
    <w:rsid w:val="00CC2011"/>
    <w:rsid w:val="00CC2154"/>
    <w:rsid w:val="00CC22D0"/>
    <w:rsid w:val="00CC2F9D"/>
    <w:rsid w:val="00CC6C5B"/>
    <w:rsid w:val="00CC78DC"/>
    <w:rsid w:val="00CC7F56"/>
    <w:rsid w:val="00CC7FC8"/>
    <w:rsid w:val="00CD073D"/>
    <w:rsid w:val="00CD2A8D"/>
    <w:rsid w:val="00CD2E28"/>
    <w:rsid w:val="00CD4103"/>
    <w:rsid w:val="00CD440D"/>
    <w:rsid w:val="00CD4A37"/>
    <w:rsid w:val="00CD5896"/>
    <w:rsid w:val="00CD7B41"/>
    <w:rsid w:val="00CE05F3"/>
    <w:rsid w:val="00CE0DA3"/>
    <w:rsid w:val="00CE1875"/>
    <w:rsid w:val="00CE1CF2"/>
    <w:rsid w:val="00CE3300"/>
    <w:rsid w:val="00CE3C9B"/>
    <w:rsid w:val="00CE3CBB"/>
    <w:rsid w:val="00CE407A"/>
    <w:rsid w:val="00CE4A86"/>
    <w:rsid w:val="00CE530E"/>
    <w:rsid w:val="00CE6548"/>
    <w:rsid w:val="00CE6DD6"/>
    <w:rsid w:val="00CF3909"/>
    <w:rsid w:val="00D03408"/>
    <w:rsid w:val="00D039D2"/>
    <w:rsid w:val="00D06F25"/>
    <w:rsid w:val="00D0763C"/>
    <w:rsid w:val="00D07AD9"/>
    <w:rsid w:val="00D12862"/>
    <w:rsid w:val="00D12C45"/>
    <w:rsid w:val="00D13A71"/>
    <w:rsid w:val="00D151AD"/>
    <w:rsid w:val="00D2022F"/>
    <w:rsid w:val="00D2071F"/>
    <w:rsid w:val="00D21096"/>
    <w:rsid w:val="00D21647"/>
    <w:rsid w:val="00D22262"/>
    <w:rsid w:val="00D2306F"/>
    <w:rsid w:val="00D23364"/>
    <w:rsid w:val="00D24288"/>
    <w:rsid w:val="00D2430F"/>
    <w:rsid w:val="00D24CB8"/>
    <w:rsid w:val="00D25AD3"/>
    <w:rsid w:val="00D26BC0"/>
    <w:rsid w:val="00D27FAF"/>
    <w:rsid w:val="00D30320"/>
    <w:rsid w:val="00D30B96"/>
    <w:rsid w:val="00D336DF"/>
    <w:rsid w:val="00D337E6"/>
    <w:rsid w:val="00D3592B"/>
    <w:rsid w:val="00D35EE6"/>
    <w:rsid w:val="00D37A88"/>
    <w:rsid w:val="00D4048C"/>
    <w:rsid w:val="00D404A9"/>
    <w:rsid w:val="00D404C9"/>
    <w:rsid w:val="00D42491"/>
    <w:rsid w:val="00D42DC9"/>
    <w:rsid w:val="00D437C5"/>
    <w:rsid w:val="00D45737"/>
    <w:rsid w:val="00D473CE"/>
    <w:rsid w:val="00D47456"/>
    <w:rsid w:val="00D508E1"/>
    <w:rsid w:val="00D52520"/>
    <w:rsid w:val="00D52E50"/>
    <w:rsid w:val="00D53003"/>
    <w:rsid w:val="00D53663"/>
    <w:rsid w:val="00D539C9"/>
    <w:rsid w:val="00D54884"/>
    <w:rsid w:val="00D54E6C"/>
    <w:rsid w:val="00D56D17"/>
    <w:rsid w:val="00D577C2"/>
    <w:rsid w:val="00D60739"/>
    <w:rsid w:val="00D60979"/>
    <w:rsid w:val="00D6191F"/>
    <w:rsid w:val="00D6262E"/>
    <w:rsid w:val="00D62E95"/>
    <w:rsid w:val="00D6472B"/>
    <w:rsid w:val="00D64D6F"/>
    <w:rsid w:val="00D67793"/>
    <w:rsid w:val="00D71D2C"/>
    <w:rsid w:val="00D73F3F"/>
    <w:rsid w:val="00D75760"/>
    <w:rsid w:val="00D80464"/>
    <w:rsid w:val="00D80F91"/>
    <w:rsid w:val="00D83F2A"/>
    <w:rsid w:val="00D84304"/>
    <w:rsid w:val="00D847FA"/>
    <w:rsid w:val="00D84AE3"/>
    <w:rsid w:val="00D86CDF"/>
    <w:rsid w:val="00D86DAF"/>
    <w:rsid w:val="00D86DCE"/>
    <w:rsid w:val="00D87121"/>
    <w:rsid w:val="00D90356"/>
    <w:rsid w:val="00D91C9E"/>
    <w:rsid w:val="00D93359"/>
    <w:rsid w:val="00D951D6"/>
    <w:rsid w:val="00D95869"/>
    <w:rsid w:val="00D96ADB"/>
    <w:rsid w:val="00D974B1"/>
    <w:rsid w:val="00D97688"/>
    <w:rsid w:val="00DA00A8"/>
    <w:rsid w:val="00DA0C54"/>
    <w:rsid w:val="00DA1781"/>
    <w:rsid w:val="00DA1922"/>
    <w:rsid w:val="00DA4EB4"/>
    <w:rsid w:val="00DA519B"/>
    <w:rsid w:val="00DA5C33"/>
    <w:rsid w:val="00DA7565"/>
    <w:rsid w:val="00DA7664"/>
    <w:rsid w:val="00DA7915"/>
    <w:rsid w:val="00DB26D0"/>
    <w:rsid w:val="00DB39DD"/>
    <w:rsid w:val="00DB4CDB"/>
    <w:rsid w:val="00DB5247"/>
    <w:rsid w:val="00DB6274"/>
    <w:rsid w:val="00DB6829"/>
    <w:rsid w:val="00DC1360"/>
    <w:rsid w:val="00DC2B83"/>
    <w:rsid w:val="00DC48E4"/>
    <w:rsid w:val="00DC5D83"/>
    <w:rsid w:val="00DD0868"/>
    <w:rsid w:val="00DD09D0"/>
    <w:rsid w:val="00DD0D20"/>
    <w:rsid w:val="00DD22F6"/>
    <w:rsid w:val="00DD28D9"/>
    <w:rsid w:val="00DD3805"/>
    <w:rsid w:val="00DD3BFF"/>
    <w:rsid w:val="00DD5D11"/>
    <w:rsid w:val="00DD5F74"/>
    <w:rsid w:val="00DD77A9"/>
    <w:rsid w:val="00DE0642"/>
    <w:rsid w:val="00DE126C"/>
    <w:rsid w:val="00DE1B19"/>
    <w:rsid w:val="00DE37D9"/>
    <w:rsid w:val="00DE3F0B"/>
    <w:rsid w:val="00DE5168"/>
    <w:rsid w:val="00DE56CE"/>
    <w:rsid w:val="00DE73D8"/>
    <w:rsid w:val="00DF01C3"/>
    <w:rsid w:val="00DF0F3B"/>
    <w:rsid w:val="00DF1510"/>
    <w:rsid w:val="00DF33A6"/>
    <w:rsid w:val="00DF4D4D"/>
    <w:rsid w:val="00DF572D"/>
    <w:rsid w:val="00DF586A"/>
    <w:rsid w:val="00DF597A"/>
    <w:rsid w:val="00DF59DB"/>
    <w:rsid w:val="00DF5D6D"/>
    <w:rsid w:val="00DF5E5F"/>
    <w:rsid w:val="00DF754B"/>
    <w:rsid w:val="00E0209A"/>
    <w:rsid w:val="00E02694"/>
    <w:rsid w:val="00E026FC"/>
    <w:rsid w:val="00E02795"/>
    <w:rsid w:val="00E04893"/>
    <w:rsid w:val="00E048BE"/>
    <w:rsid w:val="00E051B9"/>
    <w:rsid w:val="00E05485"/>
    <w:rsid w:val="00E069B9"/>
    <w:rsid w:val="00E10392"/>
    <w:rsid w:val="00E10D9D"/>
    <w:rsid w:val="00E1278B"/>
    <w:rsid w:val="00E13237"/>
    <w:rsid w:val="00E133B0"/>
    <w:rsid w:val="00E13AC0"/>
    <w:rsid w:val="00E14DB1"/>
    <w:rsid w:val="00E15428"/>
    <w:rsid w:val="00E158D4"/>
    <w:rsid w:val="00E15BD0"/>
    <w:rsid w:val="00E17E2C"/>
    <w:rsid w:val="00E21730"/>
    <w:rsid w:val="00E22478"/>
    <w:rsid w:val="00E2251A"/>
    <w:rsid w:val="00E23949"/>
    <w:rsid w:val="00E2596E"/>
    <w:rsid w:val="00E26D0A"/>
    <w:rsid w:val="00E2774F"/>
    <w:rsid w:val="00E27FE3"/>
    <w:rsid w:val="00E3112A"/>
    <w:rsid w:val="00E31B68"/>
    <w:rsid w:val="00E31D54"/>
    <w:rsid w:val="00E32F5F"/>
    <w:rsid w:val="00E3445D"/>
    <w:rsid w:val="00E35EF4"/>
    <w:rsid w:val="00E408E0"/>
    <w:rsid w:val="00E43111"/>
    <w:rsid w:val="00E43144"/>
    <w:rsid w:val="00E440EA"/>
    <w:rsid w:val="00E44A01"/>
    <w:rsid w:val="00E45152"/>
    <w:rsid w:val="00E466C3"/>
    <w:rsid w:val="00E470EE"/>
    <w:rsid w:val="00E4727D"/>
    <w:rsid w:val="00E474A5"/>
    <w:rsid w:val="00E47A3F"/>
    <w:rsid w:val="00E50FCD"/>
    <w:rsid w:val="00E521AC"/>
    <w:rsid w:val="00E53368"/>
    <w:rsid w:val="00E54277"/>
    <w:rsid w:val="00E604D9"/>
    <w:rsid w:val="00E6087C"/>
    <w:rsid w:val="00E61A98"/>
    <w:rsid w:val="00E6277C"/>
    <w:rsid w:val="00E62EF0"/>
    <w:rsid w:val="00E64E34"/>
    <w:rsid w:val="00E67229"/>
    <w:rsid w:val="00E711BE"/>
    <w:rsid w:val="00E71AD8"/>
    <w:rsid w:val="00E72101"/>
    <w:rsid w:val="00E72808"/>
    <w:rsid w:val="00E72B2A"/>
    <w:rsid w:val="00E73EC2"/>
    <w:rsid w:val="00E7422F"/>
    <w:rsid w:val="00E744B1"/>
    <w:rsid w:val="00E74760"/>
    <w:rsid w:val="00E74BA1"/>
    <w:rsid w:val="00E74BF2"/>
    <w:rsid w:val="00E77196"/>
    <w:rsid w:val="00E7740B"/>
    <w:rsid w:val="00E80149"/>
    <w:rsid w:val="00E812EB"/>
    <w:rsid w:val="00E81DD5"/>
    <w:rsid w:val="00E85009"/>
    <w:rsid w:val="00E8674B"/>
    <w:rsid w:val="00E8681F"/>
    <w:rsid w:val="00E870B8"/>
    <w:rsid w:val="00E90A62"/>
    <w:rsid w:val="00E9384C"/>
    <w:rsid w:val="00E93C4F"/>
    <w:rsid w:val="00E9673D"/>
    <w:rsid w:val="00EA10F6"/>
    <w:rsid w:val="00EA11B4"/>
    <w:rsid w:val="00EA1CD7"/>
    <w:rsid w:val="00EA30E1"/>
    <w:rsid w:val="00EA31F1"/>
    <w:rsid w:val="00EA40CC"/>
    <w:rsid w:val="00EA47AA"/>
    <w:rsid w:val="00EA7E04"/>
    <w:rsid w:val="00EB02AB"/>
    <w:rsid w:val="00EB2B1C"/>
    <w:rsid w:val="00EB2B80"/>
    <w:rsid w:val="00EB36AB"/>
    <w:rsid w:val="00EB3A54"/>
    <w:rsid w:val="00EB41C3"/>
    <w:rsid w:val="00EB4DDC"/>
    <w:rsid w:val="00EB5FDA"/>
    <w:rsid w:val="00EB632A"/>
    <w:rsid w:val="00EB7153"/>
    <w:rsid w:val="00EB7F32"/>
    <w:rsid w:val="00EC0B21"/>
    <w:rsid w:val="00EC0D05"/>
    <w:rsid w:val="00EC15DD"/>
    <w:rsid w:val="00EC20EE"/>
    <w:rsid w:val="00EC37BB"/>
    <w:rsid w:val="00ED17F4"/>
    <w:rsid w:val="00ED1857"/>
    <w:rsid w:val="00ED46E2"/>
    <w:rsid w:val="00ED64C8"/>
    <w:rsid w:val="00ED6F10"/>
    <w:rsid w:val="00EE0270"/>
    <w:rsid w:val="00EE3A19"/>
    <w:rsid w:val="00EE490F"/>
    <w:rsid w:val="00EE49B8"/>
    <w:rsid w:val="00EE6316"/>
    <w:rsid w:val="00EE6638"/>
    <w:rsid w:val="00EE735B"/>
    <w:rsid w:val="00EF0000"/>
    <w:rsid w:val="00EF4402"/>
    <w:rsid w:val="00EF4434"/>
    <w:rsid w:val="00EF5EA7"/>
    <w:rsid w:val="00EF6303"/>
    <w:rsid w:val="00EF7134"/>
    <w:rsid w:val="00EF7FD8"/>
    <w:rsid w:val="00F00D37"/>
    <w:rsid w:val="00F01DF4"/>
    <w:rsid w:val="00F0223A"/>
    <w:rsid w:val="00F030B2"/>
    <w:rsid w:val="00F030DD"/>
    <w:rsid w:val="00F035E8"/>
    <w:rsid w:val="00F05C15"/>
    <w:rsid w:val="00F05CEE"/>
    <w:rsid w:val="00F05EDF"/>
    <w:rsid w:val="00F0649B"/>
    <w:rsid w:val="00F064BF"/>
    <w:rsid w:val="00F1072E"/>
    <w:rsid w:val="00F11416"/>
    <w:rsid w:val="00F11DCC"/>
    <w:rsid w:val="00F13D5A"/>
    <w:rsid w:val="00F14E4E"/>
    <w:rsid w:val="00F14FCB"/>
    <w:rsid w:val="00F15150"/>
    <w:rsid w:val="00F15E99"/>
    <w:rsid w:val="00F167BC"/>
    <w:rsid w:val="00F16815"/>
    <w:rsid w:val="00F17068"/>
    <w:rsid w:val="00F20ECF"/>
    <w:rsid w:val="00F2267E"/>
    <w:rsid w:val="00F228DE"/>
    <w:rsid w:val="00F23222"/>
    <w:rsid w:val="00F238E0"/>
    <w:rsid w:val="00F23C7E"/>
    <w:rsid w:val="00F24AA3"/>
    <w:rsid w:val="00F24BE0"/>
    <w:rsid w:val="00F2592C"/>
    <w:rsid w:val="00F27A95"/>
    <w:rsid w:val="00F27E00"/>
    <w:rsid w:val="00F27EFD"/>
    <w:rsid w:val="00F31849"/>
    <w:rsid w:val="00F31D35"/>
    <w:rsid w:val="00F33F0A"/>
    <w:rsid w:val="00F3428F"/>
    <w:rsid w:val="00F3511C"/>
    <w:rsid w:val="00F3659C"/>
    <w:rsid w:val="00F365F3"/>
    <w:rsid w:val="00F36E6E"/>
    <w:rsid w:val="00F37243"/>
    <w:rsid w:val="00F37667"/>
    <w:rsid w:val="00F37833"/>
    <w:rsid w:val="00F4064A"/>
    <w:rsid w:val="00F42564"/>
    <w:rsid w:val="00F4499E"/>
    <w:rsid w:val="00F45246"/>
    <w:rsid w:val="00F46139"/>
    <w:rsid w:val="00F46453"/>
    <w:rsid w:val="00F46998"/>
    <w:rsid w:val="00F51252"/>
    <w:rsid w:val="00F5129F"/>
    <w:rsid w:val="00F51944"/>
    <w:rsid w:val="00F51D8A"/>
    <w:rsid w:val="00F51FB0"/>
    <w:rsid w:val="00F52363"/>
    <w:rsid w:val="00F52817"/>
    <w:rsid w:val="00F52D01"/>
    <w:rsid w:val="00F54098"/>
    <w:rsid w:val="00F559B0"/>
    <w:rsid w:val="00F57264"/>
    <w:rsid w:val="00F5788D"/>
    <w:rsid w:val="00F60C31"/>
    <w:rsid w:val="00F61655"/>
    <w:rsid w:val="00F61E91"/>
    <w:rsid w:val="00F6391B"/>
    <w:rsid w:val="00F63979"/>
    <w:rsid w:val="00F63AEC"/>
    <w:rsid w:val="00F64ABA"/>
    <w:rsid w:val="00F65518"/>
    <w:rsid w:val="00F664FE"/>
    <w:rsid w:val="00F665E0"/>
    <w:rsid w:val="00F70186"/>
    <w:rsid w:val="00F715F7"/>
    <w:rsid w:val="00F7211E"/>
    <w:rsid w:val="00F7270C"/>
    <w:rsid w:val="00F75CA3"/>
    <w:rsid w:val="00F76482"/>
    <w:rsid w:val="00F774A4"/>
    <w:rsid w:val="00F77FC8"/>
    <w:rsid w:val="00F81EA2"/>
    <w:rsid w:val="00F821BA"/>
    <w:rsid w:val="00F824C6"/>
    <w:rsid w:val="00F87DCE"/>
    <w:rsid w:val="00F9135B"/>
    <w:rsid w:val="00F916B7"/>
    <w:rsid w:val="00F926F0"/>
    <w:rsid w:val="00F93D03"/>
    <w:rsid w:val="00F93E75"/>
    <w:rsid w:val="00F94B20"/>
    <w:rsid w:val="00F94DF5"/>
    <w:rsid w:val="00F95B1D"/>
    <w:rsid w:val="00F95BED"/>
    <w:rsid w:val="00F96228"/>
    <w:rsid w:val="00F97156"/>
    <w:rsid w:val="00FA02FB"/>
    <w:rsid w:val="00FA05AB"/>
    <w:rsid w:val="00FA1D44"/>
    <w:rsid w:val="00FA2084"/>
    <w:rsid w:val="00FA232A"/>
    <w:rsid w:val="00FA3674"/>
    <w:rsid w:val="00FA4EAC"/>
    <w:rsid w:val="00FA5295"/>
    <w:rsid w:val="00FA5465"/>
    <w:rsid w:val="00FA57AE"/>
    <w:rsid w:val="00FA6668"/>
    <w:rsid w:val="00FB02D8"/>
    <w:rsid w:val="00FB0D06"/>
    <w:rsid w:val="00FB1DE4"/>
    <w:rsid w:val="00FB2CF9"/>
    <w:rsid w:val="00FB5FA5"/>
    <w:rsid w:val="00FB659E"/>
    <w:rsid w:val="00FB6621"/>
    <w:rsid w:val="00FB7836"/>
    <w:rsid w:val="00FB7AF5"/>
    <w:rsid w:val="00FB7D2E"/>
    <w:rsid w:val="00FC0178"/>
    <w:rsid w:val="00FC0273"/>
    <w:rsid w:val="00FC0A19"/>
    <w:rsid w:val="00FC0F74"/>
    <w:rsid w:val="00FC18AB"/>
    <w:rsid w:val="00FC18F0"/>
    <w:rsid w:val="00FC3BBA"/>
    <w:rsid w:val="00FC4269"/>
    <w:rsid w:val="00FC4A69"/>
    <w:rsid w:val="00FC51A2"/>
    <w:rsid w:val="00FC56A4"/>
    <w:rsid w:val="00FC587E"/>
    <w:rsid w:val="00FC61C3"/>
    <w:rsid w:val="00FC72F4"/>
    <w:rsid w:val="00FC743E"/>
    <w:rsid w:val="00FC7A98"/>
    <w:rsid w:val="00FD069E"/>
    <w:rsid w:val="00FD0B12"/>
    <w:rsid w:val="00FD1713"/>
    <w:rsid w:val="00FD3572"/>
    <w:rsid w:val="00FD4EF7"/>
    <w:rsid w:val="00FD544D"/>
    <w:rsid w:val="00FD66B5"/>
    <w:rsid w:val="00FE0348"/>
    <w:rsid w:val="00FE216E"/>
    <w:rsid w:val="00FE266E"/>
    <w:rsid w:val="00FE4B39"/>
    <w:rsid w:val="00FE654E"/>
    <w:rsid w:val="00FF08AE"/>
    <w:rsid w:val="00FF1ACC"/>
    <w:rsid w:val="00FF1B35"/>
    <w:rsid w:val="00FF2623"/>
    <w:rsid w:val="00FF38A8"/>
    <w:rsid w:val="00FF3C7F"/>
    <w:rsid w:val="00FF4F29"/>
    <w:rsid w:val="00FF5D58"/>
    <w:rsid w:val="00FF6FA3"/>
    <w:rsid w:val="027A4AA0"/>
    <w:rsid w:val="0BA36386"/>
    <w:rsid w:val="1F814BEC"/>
    <w:rsid w:val="30AE0031"/>
    <w:rsid w:val="328174CB"/>
    <w:rsid w:val="330333C8"/>
    <w:rsid w:val="356B0FB6"/>
    <w:rsid w:val="37295FAC"/>
    <w:rsid w:val="3DFA6794"/>
    <w:rsid w:val="3EDB168A"/>
    <w:rsid w:val="4817779C"/>
    <w:rsid w:val="4CDC7AE6"/>
    <w:rsid w:val="54952386"/>
    <w:rsid w:val="5F790EB8"/>
    <w:rsid w:val="614302E0"/>
    <w:rsid w:val="61AA23D9"/>
    <w:rsid w:val="65131272"/>
    <w:rsid w:val="6B301194"/>
    <w:rsid w:val="6D2E2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0"/>
    <w:qFormat/>
    <w:uiPriority w:val="0"/>
    <w:pPr>
      <w:jc w:val="left"/>
    </w:p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link w:val="51"/>
    <w:qFormat/>
    <w:uiPriority w:val="99"/>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7"/>
    <w:qFormat/>
    <w:uiPriority w:val="99"/>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link w:val="74"/>
    <w:qFormat/>
    <w:uiPriority w:val="99"/>
    <w:rPr>
      <w:b/>
    </w:rPr>
  </w:style>
  <w:style w:type="paragraph" w:styleId="21">
    <w:name w:val="Body Text First Indent"/>
    <w:basedOn w:val="8"/>
    <w:link w:val="48"/>
    <w:semiHidden/>
    <w:unhideWhenUsed/>
    <w:qFormat/>
    <w:uiPriority w:val="99"/>
    <w:pPr>
      <w:autoSpaceDE/>
      <w:autoSpaceDN/>
      <w:adjustRightInd/>
      <w:spacing w:after="120" w:line="240" w:lineRule="auto"/>
      <w:ind w:firstLine="420" w:firstLineChars="100"/>
      <w:jc w:val="both"/>
    </w:pPr>
    <w:rPr>
      <w:kern w:val="2"/>
      <w:sz w:val="21"/>
    </w:rPr>
  </w:style>
  <w:style w:type="character" w:styleId="24">
    <w:name w:val="page number"/>
    <w:basedOn w:val="23"/>
    <w:qFormat/>
    <w:uiPriority w:val="0"/>
  </w:style>
  <w:style w:type="character" w:styleId="25">
    <w:name w:val="Hyperlink"/>
    <w:qFormat/>
    <w:uiPriority w:val="0"/>
    <w:rPr>
      <w:color w:val="0000FF"/>
      <w:u w:val="single"/>
    </w:rPr>
  </w:style>
  <w:style w:type="character" w:styleId="26">
    <w:name w:val="annotation reference"/>
    <w:qFormat/>
    <w:uiPriority w:val="99"/>
    <w:rPr>
      <w:sz w:val="21"/>
    </w:rPr>
  </w:style>
  <w:style w:type="character" w:styleId="27">
    <w:name w:val="footnote reference"/>
    <w:qFormat/>
    <w:uiPriority w:val="0"/>
    <w:rPr>
      <w:vertAlign w:val="superscript"/>
    </w:rPr>
  </w:style>
  <w:style w:type="character" w:customStyle="1" w:styleId="28">
    <w:name w:val="正文文本 Char"/>
    <w:link w:val="8"/>
    <w:qFormat/>
    <w:uiPriority w:val="0"/>
    <w:rPr>
      <w:rFonts w:ascii="宋体"/>
      <w:kern w:val="0"/>
    </w:rPr>
  </w:style>
  <w:style w:type="character" w:customStyle="1" w:styleId="29">
    <w:name w:val="unnamed11"/>
    <w:qFormat/>
    <w:uiPriority w:val="0"/>
    <w:rPr>
      <w:rFonts w:hint="eastAsia" w:ascii="宋体" w:hAnsi="宋体" w:eastAsia="宋体"/>
      <w:sz w:val="18"/>
    </w:rPr>
  </w:style>
  <w:style w:type="character" w:customStyle="1" w:styleId="30">
    <w:name w:val="标题 Char"/>
    <w:link w:val="19"/>
    <w:qFormat/>
    <w:uiPriority w:val="0"/>
    <w:rPr>
      <w:rFonts w:ascii="Cambria" w:hAnsi="Cambria"/>
      <w:b/>
      <w:kern w:val="2"/>
      <w:sz w:val="32"/>
    </w:rPr>
  </w:style>
  <w:style w:type="character" w:customStyle="1" w:styleId="31">
    <w:name w:val="页眉 Char1"/>
    <w:link w:val="14"/>
    <w:qFormat/>
    <w:uiPriority w:val="0"/>
    <w:rPr>
      <w:rFonts w:eastAsia="宋体"/>
      <w:kern w:val="2"/>
      <w:sz w:val="18"/>
      <w:lang w:val="en-US" w:eastAsia="zh-CN"/>
    </w:rPr>
  </w:style>
  <w:style w:type="character" w:customStyle="1" w:styleId="32">
    <w:name w:val="read"/>
    <w:basedOn w:val="23"/>
    <w:qFormat/>
    <w:uiPriority w:val="0"/>
  </w:style>
  <w:style w:type="paragraph" w:customStyle="1" w:styleId="33">
    <w:name w:val="Char Char"/>
    <w:basedOn w:val="1"/>
    <w:qFormat/>
    <w:uiPriority w:val="0"/>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5">
    <w:name w:val="unnamed1"/>
    <w:basedOn w:val="1"/>
    <w:qFormat/>
    <w:uiPriority w:val="0"/>
    <w:pPr>
      <w:spacing w:before="60" w:after="60"/>
      <w:ind w:left="15" w:right="15"/>
    </w:pPr>
    <w:rPr>
      <w:rFonts w:hint="eastAsia" w:ascii="宋体" w:hAnsi="宋体"/>
      <w:color w:val="000000"/>
      <w:sz w:val="18"/>
      <w:szCs w:val="18"/>
    </w:rPr>
  </w:style>
  <w:style w:type="paragraph" w:customStyle="1" w:styleId="36">
    <w:name w:val="List_bullet"/>
    <w:basedOn w:val="1"/>
    <w:qFormat/>
    <w:uiPriority w:val="0"/>
    <w:pPr>
      <w:widowControl/>
      <w:tabs>
        <w:tab w:val="left" w:pos="360"/>
      </w:tabs>
      <w:ind w:left="360" w:hanging="360"/>
      <w:jc w:val="left"/>
    </w:pPr>
    <w:rPr>
      <w:kern w:val="0"/>
      <w:sz w:val="24"/>
    </w:r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正文"/>
    <w:basedOn w:val="1"/>
    <w:qFormat/>
    <w:uiPriority w:val="0"/>
    <w:pPr>
      <w:spacing w:afterLines="25" w:line="360" w:lineRule="auto"/>
      <w:ind w:firstLine="200" w:firstLineChars="200"/>
    </w:pPr>
    <w:rPr>
      <w:sz w:val="24"/>
    </w:rPr>
  </w:style>
  <w:style w:type="paragraph" w:customStyle="1" w:styleId="39">
    <w:name w:val="Char"/>
    <w:basedOn w:val="1"/>
    <w:qFormat/>
    <w:uiPriority w:val="0"/>
  </w:style>
  <w:style w:type="paragraph" w:customStyle="1" w:styleId="40">
    <w:name w:val="Char1"/>
    <w:basedOn w:val="1"/>
    <w:qFormat/>
    <w:uiPriority w:val="0"/>
  </w:style>
  <w:style w:type="paragraph" w:customStyle="1" w:styleId="41">
    <w:name w:val="Char Char Char"/>
    <w:basedOn w:val="1"/>
    <w:qFormat/>
    <w:uiPriority w:val="0"/>
  </w:style>
  <w:style w:type="paragraph" w:customStyle="1" w:styleId="4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3">
    <w:name w:val="Char Char Char Char"/>
    <w:basedOn w:val="1"/>
    <w:qFormat/>
    <w:uiPriority w:val="0"/>
    <w:pPr>
      <w:tabs>
        <w:tab w:val="left" w:pos="360"/>
      </w:tabs>
    </w:pPr>
  </w:style>
  <w:style w:type="paragraph" w:customStyle="1" w:styleId="44">
    <w:name w:val="Char Char1"/>
    <w:basedOn w:val="1"/>
    <w:qFormat/>
    <w:uiPriority w:val="0"/>
  </w:style>
  <w:style w:type="paragraph" w:customStyle="1" w:styleId="45">
    <w:name w:val="正文所"/>
    <w:basedOn w:val="1"/>
    <w:qFormat/>
    <w:uiPriority w:val="0"/>
    <w:pPr>
      <w:spacing w:line="360" w:lineRule="auto"/>
      <w:ind w:firstLine="420" w:firstLineChars="200"/>
    </w:pPr>
    <w:rPr>
      <w:rFonts w:ascii="宋体"/>
    </w:rPr>
  </w:style>
  <w:style w:type="paragraph" w:customStyle="1" w:styleId="46">
    <w:name w:val="修订1"/>
    <w:hidden/>
    <w:semiHidden/>
    <w:qFormat/>
    <w:uiPriority w:val="99"/>
    <w:rPr>
      <w:rFonts w:ascii="Times New Roman" w:hAnsi="Times New Roman" w:eastAsia="宋体" w:cs="Times New Roman"/>
      <w:kern w:val="2"/>
      <w:sz w:val="21"/>
      <w:lang w:val="en-US" w:eastAsia="zh-CN" w:bidi="ar-SA"/>
    </w:rPr>
  </w:style>
  <w:style w:type="character" w:customStyle="1" w:styleId="47">
    <w:name w:val="页脚 Char1"/>
    <w:link w:val="13"/>
    <w:qFormat/>
    <w:uiPriority w:val="99"/>
    <w:rPr>
      <w:kern w:val="2"/>
      <w:sz w:val="18"/>
    </w:rPr>
  </w:style>
  <w:style w:type="character" w:customStyle="1" w:styleId="48">
    <w:name w:val="正文首行缩进 Char"/>
    <w:link w:val="21"/>
    <w:qFormat/>
    <w:uiPriority w:val="0"/>
    <w:rPr>
      <w:rFonts w:ascii="宋体"/>
      <w:kern w:val="2"/>
      <w:sz w:val="21"/>
    </w:rPr>
  </w:style>
  <w:style w:type="paragraph" w:customStyle="1" w:styleId="49">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character" w:customStyle="1" w:styleId="50">
    <w:name w:val="批注文字 Char"/>
    <w:link w:val="7"/>
    <w:qFormat/>
    <w:uiPriority w:val="0"/>
    <w:rPr>
      <w:kern w:val="2"/>
      <w:sz w:val="21"/>
    </w:rPr>
  </w:style>
  <w:style w:type="character" w:customStyle="1" w:styleId="51">
    <w:name w:val="纯文本 Char"/>
    <w:basedOn w:val="23"/>
    <w:link w:val="10"/>
    <w:qFormat/>
    <w:uiPriority w:val="99"/>
    <w:rPr>
      <w:rFonts w:ascii="宋体" w:hAnsi="Courier New"/>
      <w:sz w:val="21"/>
    </w:rPr>
  </w:style>
  <w:style w:type="paragraph" w:customStyle="1" w:styleId="52">
    <w:name w:val="列出段落1"/>
    <w:basedOn w:val="1"/>
    <w:qFormat/>
    <w:uiPriority w:val="0"/>
    <w:pPr>
      <w:ind w:firstLine="420" w:firstLineChars="200"/>
    </w:pPr>
  </w:style>
  <w:style w:type="paragraph" w:styleId="53">
    <w:name w:val="List Paragraph"/>
    <w:basedOn w:val="1"/>
    <w:qFormat/>
    <w:uiPriority w:val="34"/>
    <w:pPr>
      <w:ind w:firstLine="420" w:firstLineChars="200"/>
    </w:pPr>
  </w:style>
  <w:style w:type="paragraph" w:customStyle="1" w:styleId="54">
    <w:name w:val="HTML 预设格式1"/>
    <w:basedOn w:val="1"/>
    <w:link w:val="7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customStyle="1" w:styleId="55">
    <w:name w:val="普通(网站)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customStyle="1" w:styleId="56">
    <w:name w:val="修订11"/>
    <w:qFormat/>
    <w:uiPriority w:val="0"/>
    <w:rPr>
      <w:rFonts w:ascii="Times New Roman" w:hAnsi="Times New Roman" w:eastAsia="宋体" w:cs="Times New Roman"/>
      <w:kern w:val="2"/>
      <w:sz w:val="21"/>
      <w:lang w:val="en-US" w:eastAsia="zh-CN" w:bidi="ar-SA"/>
    </w:rPr>
  </w:style>
  <w:style w:type="paragraph" w:customStyle="1" w:styleId="57">
    <w:name w:val="正文文本缩进 31"/>
    <w:basedOn w:val="1"/>
    <w:qFormat/>
    <w:uiPriority w:val="0"/>
    <w:pPr>
      <w:autoSpaceDE w:val="0"/>
      <w:autoSpaceDN w:val="0"/>
      <w:adjustRightInd w:val="0"/>
      <w:spacing w:line="360" w:lineRule="auto"/>
      <w:ind w:left="420" w:firstLine="435"/>
    </w:pPr>
    <w:rPr>
      <w:color w:val="0000FF"/>
    </w:rPr>
  </w:style>
  <w:style w:type="paragraph" w:customStyle="1" w:styleId="58">
    <w:name w:val="正文文本缩进 21"/>
    <w:basedOn w:val="1"/>
    <w:qFormat/>
    <w:uiPriority w:val="0"/>
    <w:pPr>
      <w:spacing w:line="360" w:lineRule="auto"/>
      <w:ind w:firstLine="425"/>
    </w:pPr>
    <w:rPr>
      <w:rFonts w:ascii="仿宋_GB2312" w:eastAsia="仿宋_GB2312"/>
      <w:sz w:val="28"/>
    </w:rPr>
  </w:style>
  <w:style w:type="paragraph" w:customStyle="1" w:styleId="59">
    <w:name w:val="修订2"/>
    <w:qFormat/>
    <w:uiPriority w:val="0"/>
    <w:rPr>
      <w:rFonts w:ascii="Times New Roman" w:hAnsi="Times New Roman" w:eastAsia="宋体" w:cs="Times New Roman"/>
      <w:kern w:val="2"/>
      <w:sz w:val="21"/>
      <w:lang w:val="en-US" w:eastAsia="zh-CN" w:bidi="ar-SA"/>
    </w:rPr>
  </w:style>
  <w:style w:type="paragraph" w:customStyle="1" w:styleId="60">
    <w:name w:val="纯文本1"/>
    <w:basedOn w:val="1"/>
    <w:qFormat/>
    <w:uiPriority w:val="0"/>
    <w:pPr>
      <w:adjustRightInd w:val="0"/>
      <w:spacing w:line="312" w:lineRule="atLeast"/>
      <w:textAlignment w:val="baseline"/>
    </w:pPr>
    <w:rPr>
      <w:rFonts w:ascii="宋体" w:hAnsi="Courier New"/>
      <w:kern w:val="0"/>
    </w:rPr>
  </w:style>
  <w:style w:type="paragraph" w:customStyle="1" w:styleId="61">
    <w:name w:val="批注主题1"/>
    <w:basedOn w:val="7"/>
    <w:next w:val="7"/>
    <w:qFormat/>
    <w:uiPriority w:val="0"/>
    <w:rPr>
      <w:b/>
    </w:rPr>
  </w:style>
  <w:style w:type="paragraph" w:customStyle="1" w:styleId="62">
    <w:name w:val="Char2"/>
    <w:basedOn w:val="1"/>
    <w:qFormat/>
    <w:uiPriority w:val="0"/>
  </w:style>
  <w:style w:type="paragraph" w:customStyle="1" w:styleId="63">
    <w:name w:val="正文首行缩进1"/>
    <w:basedOn w:val="8"/>
    <w:qFormat/>
    <w:uiPriority w:val="0"/>
    <w:pPr>
      <w:adjustRightInd/>
      <w:spacing w:after="120" w:line="240" w:lineRule="auto"/>
      <w:ind w:firstLine="420" w:firstLineChars="100"/>
      <w:jc w:val="both"/>
    </w:pPr>
    <w:rPr>
      <w:kern w:val="2"/>
      <w:sz w:val="21"/>
    </w:rPr>
  </w:style>
  <w:style w:type="paragraph" w:customStyle="1" w:styleId="64">
    <w:name w:val="文档结构图1"/>
    <w:basedOn w:val="1"/>
    <w:link w:val="68"/>
    <w:qFormat/>
    <w:uiPriority w:val="0"/>
    <w:rPr>
      <w:rFonts w:ascii="宋体"/>
      <w:sz w:val="18"/>
      <w:szCs w:val="18"/>
    </w:rPr>
  </w:style>
  <w:style w:type="paragraph" w:customStyle="1" w:styleId="65">
    <w:name w:val="批注主题2"/>
    <w:basedOn w:val="7"/>
    <w:next w:val="7"/>
    <w:link w:val="69"/>
    <w:qFormat/>
    <w:uiPriority w:val="0"/>
    <w:rPr>
      <w:b/>
      <w:bCs/>
    </w:rPr>
  </w:style>
  <w:style w:type="paragraph" w:customStyle="1" w:styleId="66">
    <w:name w:val="文档结构图11"/>
    <w:basedOn w:val="1"/>
    <w:qFormat/>
    <w:uiPriority w:val="0"/>
    <w:pPr>
      <w:shd w:val="clear" w:color="auto" w:fill="000080"/>
    </w:pPr>
  </w:style>
  <w:style w:type="paragraph" w:customStyle="1" w:styleId="67">
    <w:name w:val="修订3"/>
    <w:hidden/>
    <w:semiHidden/>
    <w:qFormat/>
    <w:uiPriority w:val="99"/>
    <w:rPr>
      <w:rFonts w:ascii="Times New Roman" w:hAnsi="Times New Roman" w:eastAsia="宋体" w:cs="Times New Roman"/>
      <w:kern w:val="2"/>
      <w:sz w:val="21"/>
      <w:lang w:val="en-US" w:eastAsia="zh-CN" w:bidi="ar-SA"/>
    </w:rPr>
  </w:style>
  <w:style w:type="character" w:customStyle="1" w:styleId="68">
    <w:name w:val="文档结构图 Char"/>
    <w:link w:val="64"/>
    <w:qFormat/>
    <w:uiPriority w:val="0"/>
    <w:rPr>
      <w:rFonts w:ascii="宋体"/>
      <w:kern w:val="2"/>
      <w:sz w:val="18"/>
      <w:szCs w:val="18"/>
    </w:rPr>
  </w:style>
  <w:style w:type="character" w:customStyle="1" w:styleId="69">
    <w:name w:val="批注主题 Char"/>
    <w:link w:val="65"/>
    <w:qFormat/>
    <w:uiPriority w:val="0"/>
    <w:rPr>
      <w:b/>
      <w:bCs/>
      <w:kern w:val="2"/>
      <w:sz w:val="21"/>
    </w:rPr>
  </w:style>
  <w:style w:type="character" w:customStyle="1" w:styleId="70">
    <w:name w:val="HTML 预设格式 Char"/>
    <w:link w:val="54"/>
    <w:qFormat/>
    <w:uiPriority w:val="0"/>
    <w:rPr>
      <w:rFonts w:ascii="宋体" w:hAnsi="宋体"/>
      <w:sz w:val="24"/>
      <w:szCs w:val="24"/>
    </w:rPr>
  </w:style>
  <w:style w:type="character" w:customStyle="1" w:styleId="71">
    <w:name w:val="批注引用1"/>
    <w:qFormat/>
    <w:uiPriority w:val="0"/>
    <w:rPr>
      <w:sz w:val="21"/>
    </w:rPr>
  </w:style>
  <w:style w:type="character" w:customStyle="1" w:styleId="72">
    <w:name w:val="批注引用2"/>
    <w:qFormat/>
    <w:uiPriority w:val="0"/>
    <w:rPr>
      <w:sz w:val="21"/>
      <w:szCs w:val="21"/>
    </w:rPr>
  </w:style>
  <w:style w:type="character" w:customStyle="1" w:styleId="73">
    <w:name w:val="页码1"/>
    <w:basedOn w:val="23"/>
    <w:qFormat/>
    <w:uiPriority w:val="0"/>
  </w:style>
  <w:style w:type="character" w:customStyle="1" w:styleId="74">
    <w:name w:val="批注主题 Char1"/>
    <w:basedOn w:val="50"/>
    <w:link w:val="20"/>
    <w:qFormat/>
    <w:uiPriority w:val="99"/>
    <w:rPr>
      <w:b/>
      <w:kern w:val="2"/>
      <w:sz w:val="21"/>
    </w:rPr>
  </w:style>
  <w:style w:type="paragraph" w:customStyle="1" w:styleId="75">
    <w:name w:val="修订4"/>
    <w:hidden/>
    <w:semiHidden/>
    <w:qFormat/>
    <w:uiPriority w:val="99"/>
    <w:rPr>
      <w:rFonts w:ascii="Times New Roman" w:hAnsi="Times New Roman" w:eastAsia="宋体" w:cs="Times New Roman"/>
      <w:kern w:val="2"/>
      <w:sz w:val="21"/>
      <w:lang w:val="en-US" w:eastAsia="zh-CN" w:bidi="ar-SA"/>
    </w:rPr>
  </w:style>
  <w:style w:type="character" w:customStyle="1" w:styleId="76">
    <w:name w:val="页眉 Char"/>
    <w:qFormat/>
    <w:uiPriority w:val="0"/>
    <w:rPr>
      <w:rFonts w:eastAsia="宋体"/>
      <w:kern w:val="2"/>
      <w:sz w:val="18"/>
      <w:lang w:val="en-US" w:eastAsia="zh-CN"/>
    </w:rPr>
  </w:style>
  <w:style w:type="character" w:customStyle="1" w:styleId="77">
    <w:name w:val="页脚 Char"/>
    <w:qFormat/>
    <w:uiPriority w:val="99"/>
    <w:rPr>
      <w:kern w:val="2"/>
      <w:sz w:val="18"/>
    </w:rPr>
  </w:style>
  <w:style w:type="character" w:customStyle="1" w:styleId="78">
    <w:name w:val="页脚 字符"/>
    <w:qFormat/>
    <w:uiPriority w:val="99"/>
    <w:rPr>
      <w:kern w:val="2"/>
      <w:sz w:val="18"/>
    </w:rPr>
  </w:style>
  <w:style w:type="character" w:customStyle="1" w:styleId="79">
    <w:name w:val="页眉 字符"/>
    <w:qFormat/>
    <w:uiPriority w:val="0"/>
    <w:rPr>
      <w:rFonts w:eastAsia="宋体"/>
      <w:kern w:val="2"/>
      <w:sz w:val="18"/>
      <w:lang w:val="en-US" w:eastAsia="zh-CN"/>
    </w:rPr>
  </w:style>
  <w:style w:type="character" w:customStyle="1" w:styleId="80">
    <w:name w:val="15"/>
    <w:basedOn w:val="2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1E5AA3-4163-41CA-BC7E-D56C513A7ABE}">
  <ds:schemaRefs/>
</ds:datastoreItem>
</file>

<file path=customXml/itemProps2.xml><?xml version="1.0" encoding="utf-8"?>
<ds:datastoreItem xmlns:ds="http://schemas.openxmlformats.org/officeDocument/2006/customXml" ds:itemID="{1614DD0A-0D22-469A-915F-E78954DFCFF4}">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35</Pages>
  <Words>3488</Words>
  <Characters>19886</Characters>
  <Lines>1</Lines>
  <Paragraphs>1</Paragraphs>
  <TotalTime>1</TotalTime>
  <ScaleCrop>false</ScaleCrop>
  <LinksUpToDate>false</LinksUpToDate>
  <CharactersWithSpaces>23328</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2023-01-30T02:31:00Z</dcterms:created>
  <dc:creator>zhangminjun</dc:creator>
  <cp:lastModifiedBy>zhangjing1</cp:lastModifiedBy>
  <dcterms:modified xsi:type="dcterms:W3CDTF">2026-10-19T01:59:46Z</dcterms:modified>
  <dc:title>___证券投资基金招募说明书1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5C6A220BFD68467C9100CBF27975556E_13</vt:lpwstr>
  </property>
</Properties>
</file>