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ascii="黑体" w:hAnsi="黑体" w:eastAsia="黑体"/>
          <w:b/>
          <w:sz w:val="36"/>
        </w:rPr>
      </w:pPr>
      <w:r>
        <w:rPr>
          <w:rFonts w:hint="eastAsia" w:ascii="黑体" w:hAnsi="黑体" w:eastAsia="黑体"/>
          <w:b/>
          <w:sz w:val="36"/>
        </w:rPr>
        <w:t>交银施罗德中证A50指数型证券投资基金（C类份额）</w:t>
      </w:r>
    </w:p>
    <w:p>
      <w:pPr>
        <w:spacing w:after="0"/>
        <w:jc w:val="center"/>
        <w:rPr>
          <w:rFonts w:ascii="黑体" w:hAnsi="黑体" w:eastAsia="黑体"/>
          <w:b/>
          <w:sz w:val="36"/>
        </w:rPr>
      </w:pPr>
      <w:r>
        <w:rPr>
          <w:rFonts w:hint="eastAsia" w:ascii="黑体" w:hAnsi="黑体" w:eastAsia="黑体"/>
          <w:b/>
          <w:sz w:val="36"/>
        </w:rPr>
        <w:t>基金产品资料概要更新</w:t>
      </w:r>
    </w:p>
    <w:p>
      <w:pPr>
        <w:spacing w:after="0"/>
        <w:jc w:val="right"/>
        <w:rPr>
          <w:rFonts w:hint="eastAsia" w:ascii="仿宋_GB2312" w:eastAsia="仿宋_GB2312"/>
          <w:kern w:val="0"/>
          <w:sz w:val="21"/>
          <w:szCs w:val="21"/>
        </w:rPr>
      </w:pPr>
      <w:r>
        <w:rPr>
          <w:rFonts w:hint="eastAsia" w:ascii="仿宋_GB2312" w:eastAsia="仿宋_GB2312"/>
          <w:sz w:val="21"/>
        </w:rPr>
        <w:t>编制日期：</w:t>
      </w:r>
      <w:r>
        <w:rPr>
          <w:rFonts w:hint="eastAsia" w:ascii="Times New Roman" w:hAnsi="Times New Roman" w:eastAsia="Times New Roman" w:cs="Times New Roman"/>
          <w:kern w:val="0"/>
          <w:sz w:val="21"/>
          <w:szCs w:val="21"/>
        </w:rPr>
        <w:t>2026-09-02</w:t>
      </w:r>
    </w:p>
    <w:p>
      <w:pPr>
        <w:spacing w:after="0" w:line="380" w:lineRule="exact"/>
        <w:jc w:val="center"/>
        <w:rPr>
          <w:rFonts w:hint="eastAsia" w:ascii="仿宋_GB2312" w:eastAsia="仿宋_GB2312"/>
          <w:b/>
          <w:iCs/>
          <w:sz w:val="21"/>
          <w:szCs w:val="21"/>
        </w:rPr>
      </w:pPr>
      <w:r>
        <w:rPr>
          <w:rFonts w:hint="eastAsia" w:ascii="仿宋_GB2312" w:eastAsia="仿宋_GB2312"/>
          <w:sz w:val="21"/>
        </w:rPr>
        <w:t>送出日期：</w:t>
      </w:r>
      <w:r>
        <w:rPr>
          <w:rFonts w:hint="eastAsia" w:ascii="Times New Roman" w:hAnsi="Times New Roman" w:eastAsia="Times New Roman" w:cs="Times New Roman"/>
          <w:kern w:val="0"/>
          <w:sz w:val="21"/>
          <w:szCs w:val="21"/>
        </w:rPr>
        <w:t>2026-10-09</w:t>
      </w:r>
      <w:r>
        <w:rPr>
          <w:rFonts w:hint="eastAsia" w:ascii="仿宋" w:hAnsi="仿宋" w:cs="仿宋"/>
          <w:b/>
          <w:iCs/>
          <w:sz w:val="21"/>
          <w:szCs w:val="21"/>
        </w:rPr>
        <w:t xml:space="preserve"> </w:t>
      </w:r>
    </w:p>
    <w:p>
      <w:pPr>
        <w:autoSpaceDE w:val="0"/>
        <w:autoSpaceDN w:val="0"/>
        <w:adjustRightInd w:val="0"/>
        <w:spacing w:after="0"/>
        <w:jc w:val="center"/>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pPr>
        <w:spacing w:after="0"/>
        <w:jc w:val="center"/>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07"/>
        <w:gridCol w:w="1563"/>
        <w:gridCol w:w="3285"/>
        <w:gridCol w:w="1917"/>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ascii="仿宋_GB2312" w:eastAsia="仿宋_GB2312"/>
                <w:sz w:val="21"/>
                <w:szCs w:val="21"/>
              </w:rPr>
            </w:pPr>
            <w:r>
              <w:rPr>
                <w:rFonts w:hint="eastAsia" w:ascii="仿宋_GB2312" w:eastAsia="仿宋_GB2312"/>
                <w:sz w:val="21"/>
                <w:szCs w:val="21"/>
              </w:rPr>
              <w:t>基金简称</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交银中证A50指数C</w:t>
            </w:r>
          </w:p>
        </w:tc>
        <w:tc>
          <w:tcPr>
            <w:tcW w:w="3649" w:type="dxa"/>
            <w:vAlign w:val="center"/>
          </w:tcPr>
          <w:p>
            <w:pPr>
              <w:spacing w:after="0" w:line="240" w:lineRule="auto"/>
              <w:rPr>
                <w:rFonts w:ascii="仿宋_GB2312" w:eastAsia="仿宋_GB2312"/>
                <w:sz w:val="21"/>
                <w:szCs w:val="21"/>
              </w:rPr>
            </w:pPr>
            <w:r>
              <w:rPr>
                <w:rFonts w:hint="eastAsia" w:ascii="仿宋_GB2312" w:eastAsia="仿宋_GB2312"/>
                <w:sz w:val="21"/>
                <w:szCs w:val="21"/>
              </w:rPr>
              <w:t>基金代码</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023053</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基金管理人</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交银施罗德基金管理有限公司</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上海浦东发展银行股份有限公司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gridAfter w:val="2"/>
          <w:wAfter w:w="4924" w:type="dxa"/>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基金合同生效日</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2025-04-02</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基金类型</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股票型</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交易币种</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人民币</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运作方式</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普通开放式</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开放频率</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每个开放日</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基金经理</w:t>
            </w:r>
          </w:p>
        </w:tc>
        <w:tc>
          <w:tcPr>
            <w:tcW w:w="1601"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邵文婷</w:t>
            </w:r>
          </w:p>
        </w:tc>
        <w:tc>
          <w:tcPr>
            <w:tcW w:w="3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开始担任本基金基金经理的日期</w:t>
            </w:r>
          </w:p>
        </w:tc>
        <w:tc>
          <w:tcPr>
            <w:tcW w:w="2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2025-04-02</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continue"/>
          </w:tcPr>
          <w:p>
            <w:pPr>
              <w:spacing w:after="0" w:line="240" w:lineRule="auto"/>
              <w:jc w:val="left"/>
              <w:rPr>
                <w:rFonts w:hint="eastAsia" w:ascii="仿宋_GB2312" w:eastAsia="仿宋_GB2312"/>
                <w:sz w:val="21"/>
                <w:szCs w:val="21"/>
              </w:rPr>
            </w:pPr>
          </w:p>
        </w:tc>
        <w:tc>
          <w:tcPr>
            <w:tcW w:w="1601" w:type="dxa"/>
            <w:vMerge w:val="continue"/>
          </w:tcPr>
          <w:p>
            <w:pPr>
              <w:spacing w:after="0" w:line="240" w:lineRule="auto"/>
              <w:jc w:val="left"/>
              <w:rPr>
                <w:rFonts w:hint="eastAsia" w:ascii="仿宋_GB2312" w:eastAsia="仿宋_GB2312"/>
                <w:sz w:val="21"/>
                <w:szCs w:val="21"/>
              </w:rPr>
            </w:pPr>
          </w:p>
        </w:tc>
        <w:tc>
          <w:tcPr>
            <w:tcW w:w="3649"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证券从业日期</w:t>
            </w:r>
          </w:p>
        </w:tc>
        <w:tc>
          <w:tcPr>
            <w:tcW w:w="1275"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2016-01-25</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其他</w:t>
            </w:r>
          </w:p>
        </w:tc>
        <w:tc>
          <w:tcPr>
            <w:tcW w:w="6525" w:type="dxa"/>
            <w:gridSpan w:val="3"/>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二、基金投资与净值表现</w:t>
      </w:r>
    </w:p>
    <w:p>
      <w:pPr>
        <w:spacing w:after="0"/>
        <w:jc w:val="left"/>
        <w:rPr>
          <w:rFonts w:ascii="仿宋_GB2312" w:eastAsia="仿宋_GB2312"/>
          <w:b/>
          <w:sz w:val="21"/>
          <w:szCs w:val="21"/>
        </w:rPr>
      </w:pPr>
      <w:r>
        <w:rPr>
          <w:rFonts w:hint="eastAsia" w:ascii="仿宋_GB2312" w:eastAsia="仿宋_GB2312"/>
          <w:b/>
          <w:sz w:val="21"/>
          <w:szCs w:val="21"/>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547"/>
        <w:gridCol w:w="6525"/>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hint="eastAsia" w:ascii="仿宋_GB2312" w:eastAsia="仿宋_GB2312"/>
                <w:sz w:val="21"/>
                <w:szCs w:val="21"/>
              </w:rPr>
            </w:pPr>
            <w:r>
              <w:rPr>
                <w:rFonts w:hint="eastAsia" w:ascii="仿宋_GB2312" w:eastAsia="仿宋_GB2312"/>
                <w:sz w:val="21"/>
                <w:szCs w:val="21"/>
              </w:rPr>
              <w:t>投资目标</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本基金采用指数化投资策略，紧密跟踪中证A50指数，追求跟踪偏离度与跟踪误差最小化。</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投资范围</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的投资范围为具有良好流动性的金融工具，包括中证A50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本基金可根据法律法规的规定参与融资及转融通证券出借业务。未来在法律法规允许的前提下，本基金可根据相关法律法规规定参与融券业务。</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如法律法规或监管机构以后允许基金投资其他品种，基金管理人在履行适当程序后，可以将其纳入投资范围。</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基金的投资组合比例为：本基金投资于中证A50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如果法律法规或中国证监会变更投资品种的投资比例限制，基金管理人在履行适当程序后，可以调整上述投资品种的投资比例。</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本基金标的指数为中证A50指数。</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主要投资策略</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1、股票投资策略；2、债券投资策略；3、股指期货投资策略；4、资产支持证券投资策略；5、存托凭证投资策略；6、融资、转融通证券出借业务投资策略。</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业绩比较基准</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中证A50指数收益率×95%＋人民币银行活期存款利率（税后）×5%</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风险收益特征</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本基金是一只股票型基金，其预期风险和预期收益理论上高于混合型基金、债券型基金和货币市场基金。</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本基金为指数型基金，主要采用完全复制法跟踪中证A50指数，具有与标的指数相似的风险收益特征。</w:t>
            </w:r>
          </w:p>
        </w:tc>
      </w:tr>
    </w:tbl>
    <w:p>
      <w:pPr>
        <w:spacing w:after="0"/>
        <w:jc w:val="left"/>
        <w:rPr>
          <w:rFonts w:hint="eastAsia" w:ascii="仿宋_GB2312" w:eastAsia="仿宋_GB2312"/>
          <w:sz w:val="21"/>
          <w:szCs w:val="21"/>
        </w:rPr>
      </w:pPr>
      <w:r>
        <w:rPr>
          <w:rFonts w:hint="eastAsia" w:ascii="仿宋_GB2312" w:eastAsia="仿宋_GB2312"/>
          <w:sz w:val="21"/>
          <w:szCs w:val="21"/>
        </w:rPr>
        <w:t>注：详见《交银施罗德中证A50指数型证券投资基金招募说明书》“基金的投资”。</w:t>
      </w:r>
    </w:p>
    <w:p>
      <w:pPr>
        <w:spacing w:after="0"/>
        <w:jc w:val="left"/>
        <w:rPr>
          <w:rFonts w:hint="eastAsia" w:ascii="仿宋_GB2312" w:eastAsia="仿宋_GB2312"/>
          <w:b/>
          <w:sz w:val="21"/>
          <w:szCs w:val="21"/>
        </w:rPr>
      </w:pPr>
      <w:r>
        <w:rPr>
          <w:rFonts w:hint="eastAsia" w:ascii="仿宋_GB2312" w:eastAsia="仿宋_GB2312"/>
          <w:b/>
          <w:sz w:val="21"/>
          <w:szCs w:val="21"/>
        </w:rPr>
        <w:t>（二）投资组合资产配置图表/区域配置图表</w:t>
      </w:r>
    </w:p>
    <w:p>
      <w:pPr>
        <w:spacing w:after="0"/>
        <w:jc w:val="center"/>
        <w:rPr>
          <w:rFonts w:ascii="仿宋_GB2312" w:eastAsia="仿宋_GB2312"/>
          <w:b/>
          <w:sz w:val="21"/>
          <w:szCs w:val="21"/>
        </w:rPr>
      </w:pPr>
      <w:r>
        <w:rPr>
          <w:rFonts w:ascii="仿宋_GB2312" w:hAnsi="仿宋_GB2312"/>
          <w:kern w:val="0"/>
          <w:sz w:val="21"/>
        </w:rPr>
        <w:pict>
          <v:shape id="_x0000_i1025" o:spt="75" type="#_x0000_t75" style="height:250pt;width:454pt;" filled="f" o:preferrelative="t" stroked="f" coordsize="21600,21600">
            <v:path/>
            <v:fill on="f" focussize="0,0"/>
            <v:stroke on="f" joinstyle="miter"/>
            <v:imagedata r:id="rId4"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注：由于四舍五入的原因，分项之和与合计项之间可能存在尾差。</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（三）自基金合同生效以来/最近十年（孰短）基金每年的净值增长率及与同期业绩比较基准的比较图</w:t>
      </w:r>
    </w:p>
    <w:p>
      <w:pPr>
        <w:spacing w:after="0"/>
        <w:jc w:val="center"/>
        <w:rPr>
          <w:rFonts w:ascii="仿宋_GB2312" w:eastAsia="仿宋_GB2312"/>
          <w:b/>
          <w:sz w:val="21"/>
          <w:szCs w:val="21"/>
        </w:rPr>
      </w:pPr>
      <w:r>
        <w:rPr>
          <w:rFonts w:ascii="仿宋_GB2312" w:hAnsi="仿宋_GB2312"/>
          <w:kern w:val="0"/>
          <w:sz w:val="21"/>
        </w:rPr>
        <w:pict>
          <v:shape id="_x0000_i1026" o:spt="75" type="#_x0000_t75" style="height:160pt;width:500pt;" filled="f" o:preferrelative="t" stroked="f" coordsize="21600,21600">
            <v:path/>
            <v:fill on="f" focussize="0,0"/>
            <v:stroke on="f" joinstyle="miter"/>
            <v:imagedata r:id="rId5"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注：1、净值表现数据的截止日为2025年12月31日；</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2、本基金合同于2025年4月2日生效，合同生效当年净值增长率按实际存续期计算；</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3、基金的过往业绩不代表未来表现。</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三、投资本基金涉及的费用</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（一）基金销售相关费用</w:t>
      </w:r>
    </w:p>
    <w:p>
      <w:pPr>
        <w:spacing w:after="0"/>
        <w:jc w:val="left"/>
        <w:rPr>
          <w:rFonts w:ascii="仿宋_GB2312" w:eastAsia="仿宋_GB2312"/>
          <w:sz w:val="21"/>
          <w:szCs w:val="21"/>
        </w:rPr>
      </w:pPr>
      <w:r>
        <w:rPr>
          <w:rFonts w:hint="eastAsia" w:ascii="仿宋_GB2312" w:eastAsia="仿宋_GB2312"/>
          <w:sz w:val="21"/>
          <w:szCs w:val="21"/>
        </w:rPr>
        <w:t>以下费用在认购/申购/赎回基金过程中收取：</w:t>
      </w:r>
    </w:p>
    <w:tbl>
      <w:tblPr>
        <w:tblStyle w:val="8"/>
        <w:tblW w:w="9308"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737"/>
        <w:gridCol w:w="2826"/>
        <w:gridCol w:w="1750"/>
        <w:gridCol w:w="1995"/>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Align w:val="center"/>
          </w:tcPr>
          <w:p>
            <w:pPr>
              <w:widowControl/>
              <w:spacing w:after="0" w:line="240" w:lineRule="auto"/>
              <w:jc w:val="left"/>
              <w:rPr>
                <w:rFonts w:hint="eastAsia" w:ascii="仿宋_GB2312" w:hAnsi="宋体" w:eastAsia="仿宋_GB2312" w:cs="宋体"/>
                <w:b/>
                <w:sz w:val="21"/>
                <w:szCs w:val="21"/>
              </w:rPr>
            </w:pPr>
            <w:r>
              <w:rPr>
                <w:rFonts w:hint="eastAsia" w:ascii="仿宋_GB2312" w:hAnsi="宋体" w:eastAsia="仿宋_GB2312" w:cs="宋体"/>
                <w:b/>
                <w:kern w:val="0"/>
                <w:sz w:val="21"/>
                <w:szCs w:val="21"/>
              </w:rPr>
              <w:t>费用类型</w:t>
            </w:r>
          </w:p>
        </w:tc>
        <w:tc>
          <w:tcPr>
            <w:tcW w:w="2409" w:type="dxa"/>
            <w:vAlign w:val="center"/>
          </w:tcPr>
          <w:p>
            <w:pPr>
              <w:spacing w:after="0" w:line="240" w:lineRule="auto"/>
              <w:rPr>
                <w:rFonts w:ascii="仿宋_GB2312" w:eastAsia="仿宋_GB2312"/>
                <w:sz w:val="21"/>
                <w:szCs w:val="21"/>
              </w:rPr>
            </w:pPr>
            <w:r>
              <w:rPr>
                <w:rFonts w:hint="eastAsia" w:ascii="仿宋_GB2312" w:eastAsia="仿宋_GB2312"/>
                <w:b/>
                <w:sz w:val="21"/>
                <w:szCs w:val="21"/>
              </w:rPr>
              <w:t>份额（S）或金额（M）/持有期限（N）</w:t>
            </w:r>
          </w:p>
        </w:tc>
        <w:tc>
          <w:tcPr>
            <w:tcW w:w="1843" w:type="dxa"/>
            <w:vAlign w:val="center"/>
          </w:tcPr>
          <w:p>
            <w:pPr>
              <w:spacing w:after="0" w:line="240" w:lineRule="auto"/>
              <w:jc w:val="center"/>
              <w:rPr>
                <w:rFonts w:hint="eastAsia" w:ascii="仿宋_GB2312" w:hAnsi="宋体" w:eastAsia="仿宋_GB2312" w:cs="宋体"/>
                <w:b/>
                <w:sz w:val="21"/>
                <w:szCs w:val="21"/>
              </w:rPr>
            </w:pPr>
            <w:r>
              <w:rPr>
                <w:rFonts w:hint="eastAsia" w:ascii="仿宋_GB2312" w:hAnsi="宋体" w:eastAsia="仿宋_GB2312" w:cs="宋体"/>
                <w:b/>
                <w:sz w:val="21"/>
                <w:szCs w:val="21"/>
              </w:rPr>
              <w:t>收费方式/费率</w:t>
            </w:r>
          </w:p>
        </w:tc>
        <w:tc>
          <w:tcPr>
            <w:tcW w:w="2126" w:type="dxa"/>
            <w:vAlign w:val="center"/>
          </w:tcPr>
          <w:p>
            <w:pPr>
              <w:widowControl/>
              <w:spacing w:after="0" w:line="240" w:lineRule="auto"/>
              <w:jc w:val="center"/>
              <w:rPr>
                <w:rFonts w:hint="eastAsia" w:ascii="仿宋_GB2312" w:hAnsi="宋体" w:eastAsia="仿宋_GB2312" w:cs="宋体"/>
                <w:b/>
                <w:sz w:val="21"/>
                <w:szCs w:val="21"/>
              </w:rPr>
            </w:pPr>
            <w:r>
              <w:rPr>
                <w:rFonts w:hint="eastAsia" w:ascii="仿宋_GB2312" w:hAnsi="宋体" w:eastAsia="仿宋_GB2312" w:cs="宋体"/>
                <w:b/>
                <w:kern w:val="0"/>
                <w:sz w:val="21"/>
                <w:szCs w:val="21"/>
              </w:rPr>
              <w:t>备注</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Merge w:val="restart"/>
            <w:vAlign w:val="center"/>
          </w:tcPr>
          <w:p>
            <w:pPr>
              <w:widowControl/>
              <w:spacing w:after="0" w:line="240" w:lineRule="auto"/>
              <w:jc w:val="center"/>
              <w:rPr>
                <w:rFonts w:hint="eastAsia" w:ascii="仿宋_GB2312" w:hAnsi="宋体" w:eastAsia="仿宋_GB2312" w:cs="宋体"/>
                <w:kern w:val="0"/>
                <w:sz w:val="21"/>
                <w:szCs w:val="21"/>
              </w:rPr>
            </w:pPr>
            <w:r>
              <w:rPr>
                <w:rFonts w:hint="eastAsia" w:ascii="仿宋_GB2312" w:hAnsi="宋体" w:eastAsia="仿宋_GB2312" w:cs="宋体"/>
                <w:kern w:val="0"/>
                <w:sz w:val="21"/>
                <w:szCs w:val="21"/>
              </w:rPr>
              <w:t>赎回费</w:t>
            </w:r>
          </w:p>
        </w:tc>
        <w:tc>
          <w:tcPr>
            <w:tcW w:w="2409" w:type="dxa"/>
          </w:tcPr>
          <w:p>
            <w:pPr>
              <w:spacing w:after="0" w:line="240" w:lineRule="auto"/>
              <w:jc w:val="center"/>
              <w:rPr>
                <w:rFonts w:hint="eastAsia" w:ascii="仿宋_GB2312" w:hAnsi="宋体" w:eastAsia="仿宋_GB2312" w:cs="宋体"/>
                <w:sz w:val="21"/>
                <w:szCs w:val="21"/>
              </w:rPr>
            </w:pPr>
            <w:r>
              <w:rPr>
                <w:rFonts w:hint="eastAsia" w:ascii="仿宋_GB2312" w:hAnsi="宋体" w:eastAsia="仿宋_GB2312" w:cs="宋体"/>
                <w:sz w:val="21"/>
                <w:szCs w:val="21"/>
              </w:rPr>
              <w:t>N＜7天</w:t>
            </w:r>
          </w:p>
        </w:tc>
        <w:tc>
          <w:tcPr>
            <w:tcW w:w="1843" w:type="dxa"/>
            <w:vAlign w:val="center"/>
          </w:tcPr>
          <w:p>
            <w:pPr>
              <w:spacing w:after="0" w:line="240" w:lineRule="auto"/>
              <w:jc w:val="center"/>
              <w:rPr>
                <w:rFonts w:hint="eastAsia" w:ascii="仿宋_GB2312" w:hAnsi="宋体" w:eastAsia="仿宋_GB2312" w:cs="宋体"/>
                <w:sz w:val="21"/>
                <w:szCs w:val="21"/>
              </w:rPr>
            </w:pPr>
            <w:r>
              <w:rPr>
                <w:rFonts w:hint="eastAsia" w:ascii="仿宋_GB2312" w:hAnsi="宋体" w:eastAsia="仿宋_GB2312" w:cs="宋体"/>
                <w:sz w:val="21"/>
                <w:szCs w:val="21"/>
              </w:rPr>
              <w:t>1.5%</w:t>
            </w:r>
          </w:p>
        </w:tc>
        <w:tc>
          <w:tcPr>
            <w:tcW w:w="1843" w:type="dxa"/>
            <w:vAlign w:val="center"/>
          </w:tcPr>
          <w:p>
            <w:pPr>
              <w:spacing w:after="0" w:line="240" w:lineRule="auto"/>
              <w:jc w:val="center"/>
              <w:rPr>
                <w:rFonts w:hint="eastAsia" w:ascii="仿宋_GB2312" w:hAnsi="宋体" w:eastAsia="仿宋_GB2312" w:cs="宋体"/>
                <w:sz w:val="21"/>
                <w:szCs w:val="21"/>
              </w:rPr>
            </w:pP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Merge w:val="continue"/>
            <w:vAlign w:val="center"/>
          </w:tcPr>
          <w:p>
            <w:pPr>
              <w:widowControl/>
              <w:spacing w:after="0" w:line="240" w:lineRule="auto"/>
              <w:jc w:val="left"/>
              <w:rPr>
                <w:rFonts w:hint="eastAsia" w:ascii="仿宋_GB2312" w:hAnsi="仿宋_GB2312" w:eastAsia="仿宋_GB2312" w:cs="仿宋_GB2312"/>
                <w:kern w:val="0"/>
                <w:sz w:val="21"/>
                <w:szCs w:val="21"/>
              </w:rPr>
            </w:pPr>
          </w:p>
        </w:tc>
        <w:tc>
          <w:tcPr>
            <w:tcW w:w="3000" w:type="dxa"/>
          </w:tcPr>
          <w:p>
            <w:pPr>
              <w:spacing w:after="0"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7天≤N</w:t>
            </w:r>
          </w:p>
        </w:tc>
        <w:tc>
          <w:tcPr>
            <w:tcW w:w="1843" w:type="dxa"/>
            <w:vAlign w:val="center"/>
          </w:tcPr>
          <w:p>
            <w:pPr>
              <w:spacing w:after="0"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w:t>
            </w:r>
          </w:p>
        </w:tc>
        <w:tc>
          <w:tcPr>
            <w:tcW w:w="1843" w:type="dxa"/>
            <w:vAlign w:val="center"/>
          </w:tcPr>
          <w:p>
            <w:pPr>
              <w:spacing w:after="0" w:line="240" w:lineRule="auto"/>
              <w:jc w:val="center"/>
              <w:rPr>
                <w:rFonts w:hint="eastAsia" w:ascii="仿宋_GB2312" w:hAnsi="仿宋_GB2312" w:eastAsia="仿宋_GB2312" w:cs="仿宋_GB2312"/>
                <w:sz w:val="21"/>
                <w:szCs w:val="21"/>
              </w:rPr>
            </w:pPr>
          </w:p>
        </w:tc>
      </w:tr>
    </w:tbl>
    <w:p>
      <w:pPr>
        <w:spacing w:after="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注：1、本基金对持续持有期少于7日的投资人收取1.5%的赎回费，请投资人予以关注。 2、销售机构若有其他费率优惠请见基金管理人或其他销售机构的有关公告或通知。</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（二）基金运作相关费用</w:t>
      </w:r>
    </w:p>
    <w:p>
      <w:pPr>
        <w:spacing w:after="0"/>
        <w:jc w:val="left"/>
        <w:rPr>
          <w:rFonts w:hint="eastAsia" w:ascii="仿宋_GB2312" w:eastAsia="仿宋_GB2312"/>
          <w:b/>
          <w:sz w:val="21"/>
          <w:szCs w:val="21"/>
        </w:rPr>
      </w:pPr>
      <w:r>
        <w:rPr>
          <w:rFonts w:hint="eastAsia" w:ascii="仿宋_GB2312" w:eastAsia="仿宋_GB2312"/>
          <w:sz w:val="21"/>
          <w:szCs w:val="21"/>
        </w:rPr>
        <w:t>以下费用将从基金资产中扣除：</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809"/>
        <w:gridCol w:w="2886"/>
        <w:gridCol w:w="2810"/>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ascii="仿宋_GB2312" w:eastAsia="仿宋_GB2312"/>
                <w:b/>
                <w:sz w:val="21"/>
                <w:szCs w:val="21"/>
              </w:rPr>
            </w:pPr>
            <w:r>
              <w:rPr>
                <w:rFonts w:ascii="仿宋_GB2312" w:eastAsia="仿宋_GB2312"/>
                <w:b/>
                <w:sz w:val="21"/>
                <w:szCs w:val="21"/>
              </w:rPr>
              <w:t>费用类别</w:t>
            </w:r>
          </w:p>
        </w:tc>
        <w:tc>
          <w:tcPr>
            <w:tcW w:w="3080" w:type="dxa"/>
            <w:vAlign w:val="center"/>
          </w:tcPr>
          <w:p>
            <w:pPr>
              <w:spacing w:after="0" w:line="240" w:lineRule="auto"/>
              <w:rPr>
                <w:rFonts w:ascii="仿宋_GB2312" w:eastAsia="仿宋_GB2312"/>
                <w:b/>
                <w:sz w:val="21"/>
                <w:szCs w:val="21"/>
              </w:rPr>
            </w:pPr>
            <w:r>
              <w:rPr>
                <w:rFonts w:ascii="仿宋_GB2312" w:eastAsia="仿宋_GB2312"/>
                <w:b/>
                <w:sz w:val="21"/>
                <w:szCs w:val="21"/>
              </w:rPr>
              <w:t>收费方式/年费率或金额</w:t>
            </w:r>
          </w:p>
        </w:tc>
        <w:tc>
          <w:tcPr>
            <w:tcW w:w="2542" w:type="dxa"/>
          </w:tcPr>
          <w:p>
            <w:pPr>
              <w:spacing w:after="0" w:line="240" w:lineRule="auto"/>
              <w:rPr>
                <w:rFonts w:ascii="仿宋_GB2312" w:eastAsia="仿宋_GB2312"/>
                <w:b/>
                <w:sz w:val="21"/>
                <w:szCs w:val="21"/>
              </w:rPr>
            </w:pPr>
            <w:r>
              <w:rPr>
                <w:rFonts w:ascii="仿宋_GB2312" w:eastAsia="仿宋_GB2312"/>
                <w:b/>
                <w:sz w:val="21"/>
                <w:szCs w:val="21"/>
              </w:rPr>
              <w:t>收取方</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管理费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0.15%</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基金管理人和销售机构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托管费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0.05%</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销售服务费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0.25%</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审计费用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30000.00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会计师事务所</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信息披露费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120000.00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规定披露报刊</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指数许可使用费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指数编制公司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其他费用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详见本基金招募说明书“基金的费用与税收”部分</w:t>
            </w:r>
          </w:p>
        </w:tc>
        <w:tc>
          <w:tcPr>
            <w:tcW w:w="3078" w:type="dxa"/>
          </w:tcPr>
          <w:p>
            <w:pPr>
              <w:spacing w:after="0" w:line="240" w:lineRule="auto"/>
              <w:rPr>
                <w:rFonts w:hint="eastAsia" w:ascii="仿宋_GB2312" w:eastAsia="仿宋_GB2312"/>
                <w:sz w:val="21"/>
                <w:szCs w:val="21"/>
              </w:rPr>
            </w:pPr>
          </w:p>
        </w:tc>
      </w:tr>
    </w:tbl>
    <w:p>
      <w:pPr>
        <w:spacing w:after="0"/>
        <w:jc w:val="left"/>
        <w:rPr>
          <w:rFonts w:hint="eastAsia" w:ascii="仿宋_GB2312" w:eastAsia="仿宋_GB2312"/>
          <w:sz w:val="21"/>
          <w:szCs w:val="21"/>
        </w:rPr>
      </w:pPr>
      <w:r>
        <w:rPr>
          <w:rFonts w:hint="eastAsia" w:ascii="仿宋_GB2312" w:eastAsia="仿宋_GB2312"/>
          <w:sz w:val="21"/>
          <w:szCs w:val="21"/>
        </w:rPr>
        <w:t>注：本基金交易证券、基金等产生的费用和税负，按实际发生额从基金资产扣除。上表中披露的年费用金额为基金整体承担费用，非单个份额类别费用，且年金额为预估值，最终实际金额以基金定期报告披露为准。</w:t>
      </w:r>
    </w:p>
    <w:p>
      <w:pPr>
        <w:spacing w:after="0"/>
        <w:jc w:val="left"/>
        <w:rPr>
          <w:rFonts w:hint="eastAsia" w:ascii="仿宋_GB2312" w:eastAsia="仿宋_GB2312"/>
          <w:b/>
          <w:sz w:val="21"/>
          <w:szCs w:val="21"/>
        </w:rPr>
      </w:pPr>
      <w:r>
        <w:rPr>
          <w:rFonts w:hint="eastAsia" w:ascii="仿宋_GB2312" w:eastAsia="仿宋_GB2312"/>
          <w:b/>
          <w:sz w:val="21"/>
          <w:szCs w:val="21"/>
        </w:rPr>
        <w:t>（三）基金运作综合费用测算</w:t>
      </w:r>
    </w:p>
    <w:p>
      <w:pPr>
        <w:spacing w:after="0"/>
        <w:jc w:val="left"/>
        <w:rPr>
          <w:rFonts w:hint="eastAsia" w:ascii="仿宋_GB2312" w:eastAsia="仿宋_GB2312"/>
          <w:b/>
          <w:sz w:val="21"/>
          <w:szCs w:val="21"/>
        </w:rPr>
      </w:pPr>
      <w:r>
        <w:rPr>
          <w:rFonts w:hint="eastAsia" w:ascii="仿宋_GB2312" w:eastAsia="仿宋_GB2312"/>
          <w:sz w:val="21"/>
          <w:szCs w:val="21"/>
        </w:rPr>
        <w:t>若投资者认购/申购本基金份额，在持有期间，投资者需支出的运作费率如下表：</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3109"/>
        <w:gridCol w:w="5396"/>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b/>
                <w:sz w:val="21"/>
                <w:szCs w:val="21"/>
              </w:rPr>
            </w:pPr>
          </w:p>
        </w:tc>
        <w:tc>
          <w:tcPr>
            <w:tcW w:w="5342" w:type="dxa"/>
          </w:tcPr>
          <w:p>
            <w:pPr>
              <w:spacing w:after="0" w:line="240" w:lineRule="auto"/>
              <w:rPr>
                <w:rFonts w:hint="eastAsia" w:ascii="仿宋_GB2312" w:eastAsia="仿宋_GB2312"/>
                <w:b/>
                <w:sz w:val="21"/>
                <w:szCs w:val="21"/>
              </w:rPr>
            </w:pPr>
            <w:r>
              <w:rPr>
                <w:rFonts w:hint="eastAsia" w:ascii="仿宋_GB2312" w:eastAsia="仿宋_GB2312"/>
                <w:b/>
                <w:sz w:val="21"/>
                <w:szCs w:val="21"/>
              </w:rPr>
              <w:t>基金运作综合费率（年化）</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0.56%</w:t>
            </w:r>
          </w:p>
        </w:tc>
      </w:tr>
    </w:tbl>
    <w:p>
      <w:pPr>
        <w:spacing w:after="0"/>
        <w:jc w:val="left"/>
        <w:rPr>
          <w:rFonts w:hint="eastAsia" w:ascii="仿宋_GB2312" w:eastAsia="仿宋_GB2312"/>
          <w:sz w:val="21"/>
          <w:szCs w:val="21"/>
        </w:rPr>
      </w:pPr>
      <w:r>
        <w:rPr>
          <w:rFonts w:hint="eastAsia" w:ascii="仿宋_GB2312" w:eastAsia="仿宋_GB2312"/>
          <w:sz w:val="21"/>
          <w:szCs w:val="21"/>
        </w:rPr>
        <w:t>注：</w:t>
      </w:r>
      <w:bookmarkStart w:id="0" w:name="_GoBack"/>
      <w:bookmarkEnd w:id="0"/>
      <w:r>
        <w:rPr>
          <w:rFonts w:hint="eastAsia" w:ascii="仿宋_GB2312" w:eastAsia="仿宋_GB2312"/>
          <w:sz w:val="21"/>
          <w:szCs w:val="21"/>
        </w:rPr>
        <w:t>基金管理费率、托管费率、销售服务费率（若有）为基金现行费率，其他运作费用以最近一次基金年报披露的相关数据为基准测算。</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四、风险揭示与重要提示</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（一）风险揭示</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本基金不提供任何保证。投资者可能损失投资本金。</w:t>
      </w:r>
    </w:p>
    <w:p>
      <w:pPr>
        <w:spacing w:after="0"/>
        <w:ind w:firstLine="420"/>
        <w:jc w:val="left"/>
        <w:rPr>
          <w:rFonts w:hint="eastAsia" w:ascii="仿宋_GB2312" w:eastAsia="仿宋_GB2312"/>
          <w:sz w:val="21"/>
          <w:szCs w:val="21"/>
        </w:rPr>
      </w:pPr>
      <w:r>
        <w:rPr>
          <w:rFonts w:hint="eastAsia" w:ascii="仿宋_GB2312" w:eastAsia="仿宋_GB2312"/>
          <w:sz w:val="21"/>
          <w:szCs w:val="21"/>
        </w:rPr>
        <w:t>投资有风险，投资者购买基金时应认真阅读本基金的《招募说明书》等销售文件。</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基金份额持有人须了解并承受以下风险：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1、市场风险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（1）政策风险、（2）经济周期风险、（3）利率风险、（4）上市公司经营风险、（5）购买力风险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2、管理风险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3、流动性风险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4、信用风险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5、本基金的特有风险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本基金为股票型基金，投资于中证A50指数成份股（含存托凭证）及备选成份股（含存托凭证）的比例不低于基金资产净值的90%且不低于非现金基金资产的80%，因投资权益类资产而面临权益类资产市场的系统性风险和个股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2）标的指数回报与股票市场平均回报偏离的风险、（3）标的指数波动的风险、（4）标的指数部分成份股权重较大的风险、（5）基金投资组合回报与标的指数回报偏离及跟踪误差控制未达约定目标的风险、（6）标的指数变更的风险、（7）指数编制机构停止服务的风险、（8）成份股停牌或退市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（9）基金合同提前终止风险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（10）本基金可投资创业板股票，创业板个股上市后的前五个交易日不设价格涨跌幅限制，第六个交易日开始涨跌幅限制比例为20%</w:t>
      </w:r>
    </w:p>
    <w:p>
      <w:pPr>
        <w:spacing w:after="0"/>
        <w:ind w:firstLine="420"/>
        <w:jc w:val="left"/>
        <w:rPr>
          <w:rFonts w:hint="eastAsia" w:ascii="仿宋_GB2312" w:eastAsia="仿宋_GB2312"/>
          <w:sz w:val="21"/>
          <w:szCs w:val="21"/>
        </w:rPr>
      </w:pPr>
      <w:r>
        <w:rPr>
          <w:rFonts w:hint="eastAsia" w:ascii="仿宋_GB2312" w:eastAsia="仿宋_GB2312"/>
          <w:sz w:val="21"/>
          <w:szCs w:val="21"/>
        </w:rPr>
        <w:t>6、投资股指期货的特定风险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此外，由于衍生品通常具有杠杆效应，价格波动比标的工具更为剧烈，并且其定价相当复杂，不适当的估值也有可能使基金资产面临损失风险。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7、投资资产支持证券的特定风险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8、投资流通受限证券的特定风险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9、投资存托凭证的特定风险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本基金可根据投资策略需要或市场环境的变化，选择将部分基金资产投资于存托凭证或选择不将基金资产投资于存托凭证，基金资产并非必然投资存托凭证。</w:t>
      </w:r>
    </w:p>
    <w:p>
      <w:pPr>
        <w:spacing w:after="0"/>
        <w:ind w:firstLine="420"/>
        <w:jc w:val="left"/>
        <w:rPr>
          <w:rFonts w:hint="eastAsia" w:ascii="仿宋_GB2312" w:eastAsia="仿宋_GB2312"/>
          <w:sz w:val="21"/>
          <w:szCs w:val="21"/>
        </w:rPr>
      </w:pPr>
      <w:r>
        <w:rPr>
          <w:rFonts w:hint="eastAsia" w:ascii="仿宋_GB2312" w:eastAsia="仿宋_GB2312"/>
          <w:sz w:val="21"/>
          <w:szCs w:val="21"/>
        </w:rPr>
        <w:t>10、投资科创板股票的特定风险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11、本基金参与融资业务的特定风险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本基金可参与融资业务，面临的风险包括但不限于市场风险、流动性风险、信用风险等。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12、本基金参与转融通证券出借业务的特定风险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本基金可参与转融通证券出借业务，面临的风险包括但不限于流动性风险、信用风险、市场风险、其他风险等。</w:t>
      </w:r>
    </w:p>
    <w:p>
      <w:pPr>
        <w:spacing w:after="0"/>
        <w:ind w:firstLine="420"/>
        <w:jc w:val="left"/>
        <w:rPr>
          <w:rFonts w:hint="eastAsia" w:ascii="仿宋_GB2312" w:eastAsia="仿宋_GB2312"/>
          <w:sz w:val="21"/>
          <w:szCs w:val="21"/>
        </w:rPr>
      </w:pPr>
      <w:r>
        <w:rPr>
          <w:rFonts w:hint="eastAsia" w:ascii="仿宋_GB2312" w:eastAsia="仿宋_GB2312"/>
          <w:sz w:val="21"/>
          <w:szCs w:val="21"/>
        </w:rPr>
        <w:t>13、本基金法律文件风险收益特征表述与销售机构基金风险评价可能不一致的风险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eastAsia="仿宋_GB2312"/>
          <w:sz w:val="21"/>
          <w:szCs w:val="21"/>
        </w:rPr>
        <w:t>14、其他风险</w:t>
      </w:r>
    </w:p>
    <w:p>
      <w:pPr>
        <w:spacing w:after="0"/>
        <w:jc w:val="left"/>
        <w:rPr>
          <w:rFonts w:ascii="仿宋_GB2312" w:eastAsia="仿宋_GB2312"/>
          <w:b/>
          <w:sz w:val="21"/>
          <w:szCs w:val="21"/>
        </w:rPr>
      </w:pPr>
      <w:r>
        <w:rPr>
          <w:rFonts w:ascii="仿宋_GB2312" w:eastAsia="仿宋_GB2312"/>
          <w:b/>
          <w:sz w:val="21"/>
          <w:szCs w:val="21"/>
        </w:rPr>
        <w:t>（二）重要提示</w:t>
      </w:r>
    </w:p>
    <w:p>
      <w:pPr>
        <w:spacing w:after="0"/>
        <w:ind w:firstLine="420"/>
        <w:jc w:val="left"/>
        <w:rPr>
          <w:rFonts w:hint="eastAsia" w:ascii="仿宋_GB2312" w:eastAsia="仿宋_GB2312"/>
          <w:sz w:val="21"/>
          <w:szCs w:val="21"/>
        </w:rPr>
      </w:pPr>
      <w:r>
        <w:rPr>
          <w:rFonts w:hint="eastAsia" w:ascii="仿宋_GB2312" w:eastAsia="仿宋_GB2312"/>
          <w:sz w:val="21"/>
          <w:szCs w:val="21"/>
        </w:rPr>
        <w:t>中国证监会对本基金募集的核准或注册，并不表明其对本基金的价值和收益作出实质性判断或保证，也不表明投资于本基金没有风险。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基金管理人依照恪尽职守、诚实信用、谨慎勤勉的原则管理和运用基金财产，但不保证基金一定盈利，也不保证最低收益。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pPr>
        <w:spacing w:after="0"/>
        <w:ind w:firstLine="420"/>
        <w:jc w:val="left"/>
        <w:rPr>
          <w:rFonts w:hint="eastAsia" w:ascii="仿宋_GB2312" w:eastAsia="仿宋_GB2312"/>
          <w:sz w:val="21"/>
          <w:szCs w:val="21"/>
        </w:rPr>
      </w:pPr>
      <w:r>
        <w:rPr>
          <w:rFonts w:hint="eastAsia" w:ascii="仿宋_GB2312" w:eastAsia="仿宋_GB2312"/>
          <w:sz w:val="21"/>
          <w:szCs w:val="21"/>
        </w:rPr>
        <w:t>销售机构的风险等级评价与基金法律文件中风险收益特征的表述可能存在不同，投资人在购买本基金时需按照销售机构的要求完成风险承受能力与产品风险之间的匹配检验。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eastAsia="仿宋_GB2312"/>
          <w:sz w:val="21"/>
          <w:szCs w:val="21"/>
        </w:rPr>
        <w:t>▲▲</w:t>
      </w:r>
      <w:r>
        <w:rPr>
          <w:rFonts w:hint="eastAsia" w:ascii="仿宋_GB2312" w:hAnsi="仿宋_GB2312" w:eastAsia="仿宋_GB2312"/>
          <w:b/>
          <w:kern w:val="0"/>
          <w:sz w:val="21"/>
        </w:rPr>
        <w:t>因基金合同而产生的或与基金合同有关的一切争议，如经友好协商未能解决的，任何一方均有权将争议提交上海国际经济贸易仲裁委员会，按其届时有效的仲裁规则进行仲裁。仲裁地点为上海市。</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pPr>
        <w:spacing w:after="0"/>
        <w:jc w:val="left"/>
        <w:rPr>
          <w:rFonts w:ascii="仿宋_GB2312" w:eastAsia="仿宋_GB2312"/>
          <w:b/>
          <w:sz w:val="21"/>
          <w:szCs w:val="21"/>
        </w:rPr>
      </w:pPr>
      <w:r>
        <w:rPr>
          <w:rFonts w:ascii="仿宋_GB2312" w:eastAsia="仿宋_GB2312"/>
          <w:b/>
          <w:sz w:val="21"/>
          <w:szCs w:val="21"/>
        </w:rPr>
        <w:t>五、其他资料查询方式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以下资料详见交银施罗德基金官方网站[www.fund001.com][客服电话：400-700-5000]</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●《交银施罗德中证A50指数型证券投资基金基金合同》、</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《交银施罗德中证A50指数型证券投资基金托管协议》、</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《交银施罗德中证A50指数型证券投资基金招募说明书》</w:t>
      </w:r>
    </w:p>
    <w:p>
      <w:pPr>
        <w:spacing w:after="0"/>
        <w:ind w:firstLine="420"/>
        <w:jc w:val="left"/>
        <w:rPr>
          <w:rFonts w:hint="eastAsia" w:ascii="仿宋_GB2312" w:eastAsia="仿宋_GB2312"/>
          <w:sz w:val="21"/>
          <w:szCs w:val="21"/>
        </w:rPr>
      </w:pPr>
      <w:r>
        <w:rPr>
          <w:rFonts w:hint="eastAsia" w:ascii="仿宋_GB2312" w:eastAsia="仿宋_GB2312"/>
          <w:sz w:val="21"/>
          <w:szCs w:val="21"/>
        </w:rPr>
        <w:t>●定期报告，包括基金季度报告、中期报告和年度报告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●基金份额净值</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●基金销售机构及联系方式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●其他重要资料</w:t>
      </w:r>
    </w:p>
    <w:p>
      <w:pPr>
        <w:spacing w:after="0"/>
        <w:jc w:val="left"/>
        <w:rPr>
          <w:rFonts w:hint="eastAsia" w:ascii="仿宋_GB2312" w:eastAsia="仿宋_GB2312"/>
          <w:b/>
          <w:sz w:val="21"/>
          <w:szCs w:val="21"/>
        </w:rPr>
      </w:pPr>
      <w:r>
        <w:rPr>
          <w:rFonts w:hint="eastAsia" w:ascii="仿宋_GB2312" w:eastAsia="仿宋_GB2312"/>
          <w:b/>
          <w:sz w:val="21"/>
          <w:szCs w:val="21"/>
        </w:rPr>
        <w:t>六、其他情况说明</w:t>
      </w:r>
    </w:p>
    <w:p>
      <w:pPr>
        <w:spacing w:after="0"/>
        <w:ind w:firstLine="420"/>
        <w:jc w:val="left"/>
        <w:rPr>
          <w:rFonts w:hint="eastAsia" w:ascii="仿宋_GB2312" w:eastAsia="仿宋_GB2312"/>
          <w:sz w:val="21"/>
          <w:szCs w:val="21"/>
        </w:rPr>
      </w:pPr>
      <w:r>
        <w:rPr>
          <w:rFonts w:hint="eastAsia" w:ascii="仿宋_GB2312" w:eastAsia="仿宋_GB2312"/>
          <w:sz w:val="21"/>
          <w:szCs w:val="21"/>
        </w:rPr>
        <w:t>无。</w:t>
      </w: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ZHTJW--GB1-0">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C133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uiPriority w:val="99"/>
    <w:pPr>
      <w:jc w:val="left"/>
    </w:pPr>
  </w:style>
  <w:style w:type="paragraph" w:styleId="3">
    <w:name w:val="Balloon Text"/>
    <w:basedOn w:val="1"/>
    <w:link w:val="16"/>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uiPriority w:val="99"/>
    <w:rPr>
      <w:b/>
      <w:bCs/>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4"/>
      <w:szCs w:val="24"/>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Char"/>
    <w:basedOn w:val="9"/>
    <w:link w:val="2"/>
    <w:semiHidden/>
    <w:uiPriority w:val="99"/>
  </w:style>
  <w:style w:type="character" w:customStyle="1" w:styleId="15">
    <w:name w:val="批注主题 Char"/>
    <w:basedOn w:val="14"/>
    <w:link w:val="6"/>
    <w:semiHidden/>
    <w:uiPriority w:val="99"/>
    <w:rPr>
      <w:b/>
      <w:bCs/>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165</Words>
  <Characters>947</Characters>
  <Lines>7</Lines>
  <Paragraphs>2</Paragraphs>
  <TotalTime>3</TotalTime>
  <ScaleCrop>false</ScaleCrop>
  <LinksUpToDate>false</LinksUpToDate>
  <CharactersWithSpaces>1110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2020-05-03T04:18:00Z</dcterms:created>
  <dc:creator>Cc</dc:creator>
  <cp:lastModifiedBy>haotingting</cp:lastModifiedBy>
  <dcterms:modified xsi:type="dcterms:W3CDTF">2026-09-23T06:18:31Z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4F5799DD8DA74454804AFFA76937B1C2</vt:lpwstr>
  </property>
</Properties>
</file>