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交银施罗德启衡混合型证券投资基金（A类份额）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交银启衡混合A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016541</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招商银行股份有限公司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2022-11-30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芮晨</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2022-11-30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2007-02-01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本基金在严格控制风险的前提下，充分发挥专业研究与管理能力，追求超越业绩比较基准的投资收益，力争为投资者提供长期稳健的投资回报。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创业板及其他经中国证监会核准或注册上市的股票、存托凭证）、港股通标的股票、债券（含国债、央行票据、金融债券、政府支持债券、政府支持机构债券、地方政府债券、企业债券、公司债券、可转换债券（含可分离交易可转换债券的纯债部分）、可交换公司债券、公开发行的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投资（含存托凭证）占基金资产的比例为60%-95%，其中投资于港股通标的股票的比例占股票资产的0%-50%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1、大类资产配置；2、股票投资策略；3、债券投资策略；4、资产支持证券投资策略；5、股指期货投资策略。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沪深300指数收益率×75%+中债-国债总财富（1-3年）指数收益率×10%+中证港股通综合指数（人民币）收益率×15%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本基金是一只混合型基金，其预期风险和预期收益理论上高于债券型基金和货币市场基金，低于股票型基金。</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详见《交银施罗德启衡混合型证券投资基金招募说明书》“基金的投资”。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2、本基金于合同于2022年10月20日生效，合同生效当年净值增长率按实际存续期计算；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0.75%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30天≤N＜365天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365天≤N＜730天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0.25%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1.50%</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（3）基金合同提前终止风险。连续50个工作日出现基金份额持有人数量不满200人或者基金资产净值低于5000万元情形的，基金合同终止，不需召开基金份额持有人大会。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9、投资港股通标的股票的特定风险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或选择不将基金资产投资于港股，基金资产并非必然投资港股。</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因基金合同而产生的或与基金合同有关的一切争议，如经友好协商未能解决的，任何一方均有权将争议提交深圳国际仲裁院，按其届时有效的仲裁规则进行仲裁。仲裁地点为深圳市。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●《交银施罗德启衡混合型证券投资基金基金合同》、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《交银施罗德启衡混合型证券投资基金托管协议》、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《交银施罗德启衡混合型证券投资基金招募说明书》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