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交银施罗德科技创新灵活配置混合型证券投资基金（C类份额）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交银科技创新灵活配置混合C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015394</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中国工商银行股份有限公司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2016-05-05</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芮晨</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2016-05-05</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2007-02-01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60个工作日出现前述情形的，基金管理人应当向中国证监会报告并提出解决方案，如转换运作方式、与其他基金合并或者终止基金合同等，并召开基金份额持有人大会进行表决。</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本基金重点关注以科技为创新驱动力、在产业竞争中掌握核心竞争优势的优质上市公司，在控制风险并保持基金资产良好的流动性的前提下，力争实现基金资产的长期稳定增值。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上市的股票、存托凭证）、债券、中期票据、货币市场工具、权证、资产支持证券、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资产（含存托凭证）占基金资产0%-95%；本基金投资受益于科技创新相关上市公司证券的比例不低于非现金基金资产的80%；每个交易日日终在扣除股指期货合约需缴纳的交易保证金后，本基金保留的现金或者投资于到期日在一年以内的政府债券的比例合计不低于基金资产净值的5%，其中现金不包括结算备付金、存出保证金和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将综合考虑国家经济政策、经济周期、各行业的相对估值水平和行业竞争格局等因素，进行大类资产在各行业间的配置。本基金聚焦于具有科技创新优势的行业和企业，深度挖掘依附于科技创新背后的新商业模式，重点关注以科技为创新驱动力、在产业竞争中掌握核心竞争优势的优质上市公司，致力于占领科技创新进程中的制高点。 其中，本基金股票投资重点关注直接受益于科技创新红利、或在新科技、新技术推动下盈利水平长期显著提升的其他上市公司。</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1、资产配置；2、行业配置；3、股票投资；4、债券投资；5、权证投资；6、资产支持证券投资；7、股指期货投资。</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60%×沪深300指数+40%×中证综合债券指数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详见《交银施罗德科技创新灵活配置混合型证券投资基金招募说明书》“基金的投资”。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2、本基金自2022年3月16日起，开始销售C类份额，基金份额类别首次确认当年净值增长率按实际存续期计算；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0.60%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38000.00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2.02%</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属于混合型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资产支持证券具有一定的价格波动风险、流动性风险、信用风险等风险，本公司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●《交银施罗德科技创新灵活配置混合型证券投资基金基金合同》、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《交银施罗德科技创新灵活配置混合型证券投资基金托管协议》、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《交银施罗德科技创新灵活配置混合型证券投资基金招募说明书》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