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C92FC0" w:rsidRPr="00EB07BC">
      <w:pPr>
        <w:spacing w:after="0"/>
        <w:rPr>
          <w:rFonts w:hint="eastAsia"/>
          <w:sz w:val="32"/>
        </w:rPr>
      </w:pPr>
    </w:p>
    <w:p w:rsidR="00C92FC0" w:rsidRPr="00EB07BC">
      <w:pPr>
        <w:spacing w:after="0"/>
        <w:rPr>
          <w:sz w:val="32"/>
        </w:rPr>
      </w:pPr>
    </w:p>
    <w:p w:rsidR="00C92FC0" w:rsidRPr="00EB07BC">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交银施罗德上证科创板100指数型证券投资基金招募说明书（更新）</w:t>
      </w:r>
    </w:p>
    <w:p>
      <w:pPr>
        <w:snapToGrid w:val="0"/>
        <w:spacing w:after="0" w:line="360" w:lineRule="auto"/>
        <w:jc w:val="center"/>
        <w:rPr>
          <w:rFonts w:ascii="宋体" w:eastAsia="宋体" w:hAnsi="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基金托管人：中国农业银行股份有限公司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w:type="even" r:id="rId5"/>
          <w:headerReference w:type="default" r:id="rId6"/>
          <w:footerReference w:type="even" r:id="rId7"/>
          <w:footerReference w:type="default" r:id="rId8"/>
          <w:headerReference w:type="first" r:id="rId9"/>
          <w:footerReference w:type="first" r:id="rId10"/>
          <w:pgSz w:w="11920" w:h="16840"/>
          <w:pgMar w:top="1440" w:right="1680" w:bottom="280" w:left="1680" w:header="900" w:footer="1073" w:gutter="0"/>
          <w:cols w:num="1" w:space="720"/>
          <w:titlePg/>
          <w:docGrid w:linePitch="286" w:charSpace="0"/>
        </w:sectPr>
      </w:pPr>
    </w:p>
    <w:p>
      <w:pPr>
        <w:pStyle w:val="Heading1"/>
        <w:snapToGrid w:val="0"/>
        <w:spacing w:before="240" w:beforeLines="0" w:after="0"/>
        <w:rPr>
          <w:rFonts w:ascii="宋体" w:hAnsi="宋体"/>
          <w:kern w:val="0"/>
        </w:rPr>
      </w:pPr>
      <w:bookmarkStart w:id="0" w:name="_Toc324920538"/>
      <w:bookmarkStart w:id="1" w:name="_Toc496884613"/>
      <w:bookmarkStart w:id="2" w:name="_Toc256000000"/>
      <w:bookmarkStart w:id="3" w:name="_Toc256000027"/>
      <w:r>
        <w:rPr>
          <w:rFonts w:ascii="宋体" w:hAnsi="宋体"/>
          <w:kern w:val="0"/>
        </w:rPr>
        <w:t>重要提示</w:t>
      </w:r>
      <w:bookmarkEnd w:id="3"/>
      <w:bookmarkEnd w:id="2"/>
      <w:bookmarkEnd w:id="0"/>
      <w:bookmarkEnd w:id="1"/>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上证科创板100指数型证券投资基金（以下简称“本基金”）经2024年12月11日中国证券监督管理委员会（以下简称“中国证监会”）证监许可【2024】1804号文准予募集注册。本基金基金合同于2025年2月26日正式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保证招募说明书的内容真实、准确、完整。本招募说明书经中国证监会注册，但中国证监会对本基金募集的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基金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包括实施侧袋机制时的特定风险）；信用风险；本基金的特有风险；投资股指期货的特定风险；投资资产支持证券的特定风险；投资流通受限证券的特定风险；投资存托凭证的特定风险；投资科创板股票的特定风险；本基金参与融资业务的特定风险；本基金参与转融通证券出借业务的特定风险；本基金法律文件风险收益特征表述与销售机构基金风险评价可能不一致的风险；投资本基金的其他风险等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本基金是一只股票型基金，其预期风险和预期收益理论上高于混合型基金、债券型基金和货币市场基金。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本基金为指数型基金，主要采用完全复制法跟踪上证科创板100指数，具有与标的指数相似的风险收益特征。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本基金为指数基金，投资者投资于本基金面临跟踪误差控制未达约定目标、指数编制机构停止服务、成份股停牌等潜在风险。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本基金标的指数为上证科创板100指数。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1、样本空间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指数样本空间由满足以下条件的科创板上市的股票和红筹企业发行的存托凭证组成：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（1）上市时间超过12个月；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（2）非退市风险警示证券。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2、可投资性筛选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过去一年日均成交金额排名位于样本空间前90%。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3、选样方法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（1）对于样本空间内符合可投资性筛选条件的证券，剔除科创50指数样本以及过去一年日均总市值排名样本空间前40名的证券作为待选样本；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（2）对待选样本按照过去一年的日均总市值由高到低排名，选取排名在100名之前的证券作为指数样本。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4、指数计算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上证科创板100指数计算公式为：</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1.5pt;width:234.75pt">
            <v:imagedata r:id="rId11"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其中，调整市值＝∑(证券价格×调整股本数×权重因子)。调整股本数的计算方法、除数修正方法参见计算与维护细则。权重因子介于 0 和 1 之间，以使单个样本权重不超过10%，前五大样本权重合计不超过40%。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5、指数样本和权重调整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（1）定期调整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样本每季度调整一次，样本调整实施时间为每年3月、6月、9月和12月的第二个星期五的下一交易日。每次调整数量比例原则上不超过10%。采用缓冲区规则，排名在前80名的候选新样本优先进入指数，排名在前120名的老样本优先保留。权重因子随样本定期调整而调整，调整时间与指数样本定期调整实施时间相同。在下一个定期调整日前，权重因子一般固定不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指数定期审核时设置备选名单，具体规则参见指数计算与维护细则。当指数因为样本退市、合并等原因出现样本空缺或其他原因需要临时更换样本时，依次选择备选名单中排序靠前的证券作为样本。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（2）临时调整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特殊情况下将对指数进行临时调整。当样本退市时，将其从指数样本中剔除。样本公司发生收购、合并、分拆等情形的处理，参照计算与维护细则处理。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有关标的指数具体编制方案及成份股信息详见中证指数有限公司网站，网址：www.csindex.com.cn。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以及不适当的估值使基金资产面临损失的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本基金可参与融资业务，面临的风险包括但不限于市场风险、流动性风险、信用风险等。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本基金可参与转融通证券出借业务，面临的风险包括但不限于流动性风险、信用风险、市场风险、其他风险等。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提前终止风险。《基金合同》生效后，连续50个工作日出现基金份额持有人数量不满200人或基金资产净值低于5000万元情形的，基金合同终止，不需召开基金份额持有人大会。因此，投资者可能面临基金合同提前终止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本次更新招募说明书主要对指数编制方案进行了相应更新，更新生效日为2025年3月17日。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firstLine="480" w:rightChars="0"/>
        <w:rPr>
          <w:rFonts w:ascii="宋体" w:hAnsi="宋体"/>
          <w:kern w:val="0"/>
          <w:szCs w:val="24"/>
        </w:rPr>
        <w:sectPr>
          <w:headerReference w:type="default" r:id="rId12"/>
          <w:pgSz w:w="11920" w:h="16840"/>
          <w:pgMar w:top="1440" w:right="1680" w:bottom="280" w:left="1680" w:header="0" w:footer="1073" w:gutter="0"/>
          <w:pgNumType w:start="1"/>
          <w:cols w:num="1" w:space="720"/>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TOC \o "1-3" \h \z \u</w:instrText>
      </w:r>
      <w:r>
        <w:rPr>
          <w:rFonts w:ascii="宋体" w:hAnsi="宋体"/>
          <w:color w:val="auto"/>
        </w:rPr>
        <w:fldChar w:fldCharType="separate"/>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"_Toc256000027" </w:instrText>
      </w:r>
      <w:r>
        <w:fldChar w:fldCharType="separate"/>
      </w:r>
      <w:r>
        <w:rPr>
          <w:rStyle w:val="Hyperlink"/>
          <w:rFonts w:ascii="宋体" w:hAnsi="宋体"/>
          <w:kern w:val="0"/>
        </w:rPr>
        <w:t>重要提示</w:t>
      </w:r>
      <w:r>
        <w:rPr>
          <w:rStyle w:val="Hyperlink"/>
        </w:rPr>
        <w:tab/>
      </w:r>
      <w:r>
        <w:fldChar w:fldCharType="begin"/>
      </w:r>
      <w:r>
        <w:rPr>
          <w:rStyle w:val="Hyperlink"/>
        </w:rPr>
        <w:instrText xml:space="preserve"> PAGEREF _Toc256000027 \h </w:instrText>
      </w:r>
      <w:r>
        <w:fldChar w:fldCharType="separate"/>
      </w:r>
      <w:r>
        <w:rPr>
          <w:rStyle w:val="Hyperlink"/>
        </w:rPr>
        <w:t>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"_Toc256000028" </w:instrText>
      </w:r>
      <w:r>
        <w:fldChar w:fldCharType="separate"/>
      </w:r>
      <w:r>
        <w:rPr>
          <w:rStyle w:val="Hyperlink"/>
          <w:rFonts w:ascii="宋体" w:hAnsi="宋体"/>
        </w:rPr>
        <w:t>一、绪言</w:t>
      </w:r>
      <w:r>
        <w:rPr>
          <w:rStyle w:val="Hyperlink"/>
        </w:rPr>
        <w:tab/>
      </w:r>
      <w:r>
        <w:fldChar w:fldCharType="begin"/>
      </w:r>
      <w:r>
        <w:rPr>
          <w:rStyle w:val="Hyperlink"/>
        </w:rPr>
        <w:instrText xml:space="preserve"> PAGEREF _Toc256000028 \h </w:instrText>
      </w:r>
      <w:r>
        <w:fldChar w:fldCharType="separate"/>
      </w:r>
      <w:r>
        <w:rPr>
          <w:rStyle w:val="Hyperlink"/>
        </w:rPr>
        <w:t>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"_Toc256000029" </w:instrText>
      </w:r>
      <w:r>
        <w:fldChar w:fldCharType="separate"/>
      </w:r>
      <w:r>
        <w:rPr>
          <w:rStyle w:val="Hyperlink"/>
          <w:rFonts w:ascii="宋体" w:hAnsi="宋体"/>
        </w:rPr>
        <w:t>二、释义</w:t>
      </w:r>
      <w:r>
        <w:rPr>
          <w:rStyle w:val="Hyperlink"/>
        </w:rPr>
        <w:tab/>
      </w:r>
      <w:r>
        <w:fldChar w:fldCharType="begin"/>
      </w:r>
      <w:r>
        <w:rPr>
          <w:rStyle w:val="Hyperlink"/>
        </w:rPr>
        <w:instrText xml:space="preserve"> PAGEREF _Toc256000029 \h </w:instrText>
      </w:r>
      <w:r>
        <w:fldChar w:fldCharType="separate"/>
      </w:r>
      <w:r>
        <w:rPr>
          <w:rStyle w:val="Hyperlink"/>
        </w:rPr>
        <w:t>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"_Toc256000030" </w:instrText>
      </w:r>
      <w:r>
        <w:fldChar w:fldCharType="separate"/>
      </w:r>
      <w:r>
        <w:rPr>
          <w:rStyle w:val="Hyperlink"/>
          <w:rFonts w:ascii="宋体" w:hAnsi="宋体"/>
        </w:rPr>
        <w:t>三、基金管理人</w:t>
      </w:r>
      <w:r>
        <w:rPr>
          <w:rStyle w:val="Hyperlink"/>
        </w:rPr>
        <w:tab/>
      </w:r>
      <w:r>
        <w:fldChar w:fldCharType="begin"/>
      </w:r>
      <w:r>
        <w:rPr>
          <w:rStyle w:val="Hyperlink"/>
        </w:rPr>
        <w:instrText xml:space="preserve"> PAGEREF _Toc256000030 \h </w:instrText>
      </w:r>
      <w:r>
        <w:fldChar w:fldCharType="separate"/>
      </w:r>
      <w:r>
        <w:rPr>
          <w:rStyle w:val="Hyperlink"/>
        </w:rPr>
        <w:t>12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"_Toc256000031" </w:instrText>
      </w:r>
      <w:r>
        <w:fldChar w:fldCharType="separate"/>
      </w:r>
      <w:r>
        <w:rPr>
          <w:rStyle w:val="Hyperlink"/>
          <w:rFonts w:ascii="宋体" w:hAnsi="宋体"/>
        </w:rPr>
        <w:t>四、基金托管人</w:t>
      </w:r>
      <w:r>
        <w:rPr>
          <w:rStyle w:val="Hyperlink"/>
        </w:rPr>
        <w:tab/>
      </w:r>
      <w:r>
        <w:fldChar w:fldCharType="begin"/>
      </w:r>
      <w:r>
        <w:rPr>
          <w:rStyle w:val="Hyperlink"/>
        </w:rPr>
        <w:instrText xml:space="preserve"> PAGEREF _Toc256000031 \h </w:instrText>
      </w:r>
      <w:r>
        <w:fldChar w:fldCharType="separate"/>
      </w:r>
      <w:r>
        <w:rPr>
          <w:rStyle w:val="Hyperlink"/>
        </w:rPr>
        <w:t>20</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"_Toc256000032" </w:instrText>
      </w:r>
      <w:r>
        <w:fldChar w:fldCharType="separate"/>
      </w:r>
      <w:r>
        <w:rPr>
          <w:rStyle w:val="Hyperlink"/>
          <w:rFonts w:ascii="宋体" w:hAnsi="宋体"/>
        </w:rPr>
        <w:t>五、相关服务机构</w:t>
      </w:r>
      <w:r>
        <w:rPr>
          <w:rStyle w:val="Hyperlink"/>
        </w:rPr>
        <w:tab/>
      </w:r>
      <w:r>
        <w:fldChar w:fldCharType="begin"/>
      </w:r>
      <w:r>
        <w:rPr>
          <w:rStyle w:val="Hyperlink"/>
        </w:rPr>
        <w:instrText xml:space="preserve"> PAGEREF _Toc256000032 \h </w:instrText>
      </w:r>
      <w:r>
        <w:fldChar w:fldCharType="separate"/>
      </w:r>
      <w:r>
        <w:rPr>
          <w:rStyle w:val="Hyperlink"/>
        </w:rPr>
        <w:t>23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"_Toc256000033" </w:instrText>
      </w:r>
      <w:r>
        <w:fldChar w:fldCharType="separate"/>
      </w:r>
      <w:r>
        <w:rPr>
          <w:rStyle w:val="Hyperlink"/>
          <w:rFonts w:ascii="宋体" w:hAnsi="宋体"/>
        </w:rPr>
        <w:t>六、基金的募集</w:t>
      </w:r>
      <w:r>
        <w:rPr>
          <w:rStyle w:val="Hyperlink"/>
        </w:rPr>
        <w:tab/>
      </w:r>
      <w:r>
        <w:fldChar w:fldCharType="begin"/>
      </w:r>
      <w:r>
        <w:rPr>
          <w:rStyle w:val="Hyperlink"/>
        </w:rPr>
        <w:instrText xml:space="preserve"> PAGEREF _Toc256000033 \h </w:instrText>
      </w:r>
      <w:r>
        <w:fldChar w:fldCharType="separate"/>
      </w:r>
      <w:r>
        <w:rPr>
          <w:rStyle w:val="Hyperlink"/>
        </w:rPr>
        <w:t>44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"_Toc256000034" </w:instrText>
      </w:r>
      <w:r>
        <w:fldChar w:fldCharType="separate"/>
      </w:r>
      <w:r>
        <w:rPr>
          <w:rStyle w:val="Hyperlink"/>
          <w:rFonts w:ascii="宋体" w:hAnsi="宋体"/>
        </w:rPr>
        <w:t>七、基金合同的生效</w:t>
      </w:r>
      <w:r>
        <w:rPr>
          <w:rStyle w:val="Hyperlink"/>
        </w:rPr>
        <w:tab/>
      </w:r>
      <w:r>
        <w:fldChar w:fldCharType="begin"/>
      </w:r>
      <w:r>
        <w:rPr>
          <w:rStyle w:val="Hyperlink"/>
        </w:rPr>
        <w:instrText xml:space="preserve"> PAGEREF _Toc256000034 \h </w:instrText>
      </w:r>
      <w:r>
        <w:fldChar w:fldCharType="separate"/>
      </w:r>
      <w:r>
        <w:rPr>
          <w:rStyle w:val="Hyperlink"/>
        </w:rPr>
        <w:t>45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"_Toc256000035" </w:instrText>
      </w:r>
      <w:r>
        <w:fldChar w:fldCharType="separate"/>
      </w:r>
      <w:r>
        <w:rPr>
          <w:rStyle w:val="Hyperlink"/>
          <w:rFonts w:ascii="宋体" w:hAnsi="宋体"/>
        </w:rPr>
        <w:t>八、基金份额的申购与赎回</w:t>
      </w:r>
      <w:r>
        <w:rPr>
          <w:rStyle w:val="Hyperlink"/>
        </w:rPr>
        <w:tab/>
      </w:r>
      <w:r>
        <w:fldChar w:fldCharType="begin"/>
      </w:r>
      <w:r>
        <w:rPr>
          <w:rStyle w:val="Hyperlink"/>
        </w:rPr>
        <w:instrText xml:space="preserve"> PAGEREF _Toc256000035 \h </w:instrText>
      </w:r>
      <w:r>
        <w:fldChar w:fldCharType="separate"/>
      </w:r>
      <w:r>
        <w:rPr>
          <w:rStyle w:val="Hyperlink"/>
        </w:rPr>
        <w:t>46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"_Toc256000036" </w:instrText>
      </w:r>
      <w:r>
        <w:fldChar w:fldCharType="separate"/>
      </w:r>
      <w:r>
        <w:rPr>
          <w:rStyle w:val="Hyperlink"/>
          <w:rFonts w:ascii="宋体" w:hAnsi="宋体"/>
        </w:rPr>
        <w:t>九、基金的转换</w:t>
      </w:r>
      <w:r>
        <w:rPr>
          <w:rStyle w:val="Hyperlink"/>
        </w:rPr>
        <w:tab/>
      </w:r>
      <w:r>
        <w:fldChar w:fldCharType="begin"/>
      </w:r>
      <w:r>
        <w:rPr>
          <w:rStyle w:val="Hyperlink"/>
        </w:rPr>
        <w:instrText xml:space="preserve"> PAGEREF _Toc256000036 \h </w:instrText>
      </w:r>
      <w:r>
        <w:fldChar w:fldCharType="separate"/>
      </w:r>
      <w:r>
        <w:rPr>
          <w:rStyle w:val="Hyperlink"/>
        </w:rPr>
        <w:t>59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"_Toc256000037" </w:instrText>
      </w:r>
      <w:r>
        <w:fldChar w:fldCharType="separate"/>
      </w:r>
      <w:r>
        <w:rPr>
          <w:rStyle w:val="Hyperlink"/>
          <w:rFonts w:ascii="宋体" w:hAnsi="宋体"/>
        </w:rPr>
        <w:t>十、基金的投资</w:t>
      </w:r>
      <w:r>
        <w:rPr>
          <w:rStyle w:val="Hyperlink"/>
        </w:rPr>
        <w:tab/>
      </w:r>
      <w:r>
        <w:fldChar w:fldCharType="begin"/>
      </w:r>
      <w:r>
        <w:rPr>
          <w:rStyle w:val="Hyperlink"/>
        </w:rPr>
        <w:instrText xml:space="preserve"> PAGEREF _Toc256000037 \h </w:instrText>
      </w:r>
      <w:r>
        <w:fldChar w:fldCharType="separate"/>
      </w:r>
      <w:r>
        <w:rPr>
          <w:rStyle w:val="Hyperlink"/>
        </w:rPr>
        <w:t>66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"_Toc256000038" </w:instrText>
      </w:r>
      <w:r>
        <w:fldChar w:fldCharType="separate"/>
      </w:r>
      <w:r>
        <w:rPr>
          <w:rStyle w:val="Hyperlink"/>
          <w:rFonts w:ascii="宋体" w:hAnsi="宋体"/>
        </w:rPr>
        <w:t>十一、基金的业绩</w:t>
      </w:r>
      <w:r>
        <w:rPr>
          <w:rStyle w:val="Hyperlink"/>
        </w:rPr>
        <w:tab/>
      </w:r>
      <w:r>
        <w:fldChar w:fldCharType="begin"/>
      </w:r>
      <w:r>
        <w:rPr>
          <w:rStyle w:val="Hyperlink"/>
        </w:rPr>
        <w:instrText xml:space="preserve"> PAGEREF _Toc256000038 \h </w:instrText>
      </w:r>
      <w:r>
        <w:fldChar w:fldCharType="separate"/>
      </w:r>
      <w:r>
        <w:rPr>
          <w:rStyle w:val="Hyperlink"/>
        </w:rPr>
        <w:t>79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"_Toc256000039" </w:instrText>
      </w:r>
      <w:r>
        <w:fldChar w:fldCharType="separate"/>
      </w:r>
      <w:r>
        <w:rPr>
          <w:rStyle w:val="Hyperlink"/>
          <w:rFonts w:ascii="宋体" w:hAnsi="宋体"/>
        </w:rPr>
        <w:t>十二、基金的财产</w:t>
      </w:r>
      <w:r>
        <w:rPr>
          <w:rStyle w:val="Hyperlink"/>
        </w:rPr>
        <w:tab/>
      </w:r>
      <w:r>
        <w:fldChar w:fldCharType="begin"/>
      </w:r>
      <w:r>
        <w:rPr>
          <w:rStyle w:val="Hyperlink"/>
        </w:rPr>
        <w:instrText xml:space="preserve"> PAGEREF _Toc256000039 \h </w:instrText>
      </w:r>
      <w:r>
        <w:fldChar w:fldCharType="separate"/>
      </w:r>
      <w:r>
        <w:rPr>
          <w:rStyle w:val="Hyperlink"/>
        </w:rPr>
        <w:t>82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"_Toc256000040" </w:instrText>
      </w:r>
      <w:r>
        <w:fldChar w:fldCharType="separate"/>
      </w:r>
      <w:r>
        <w:rPr>
          <w:rStyle w:val="Hyperlink"/>
          <w:rFonts w:ascii="宋体" w:hAnsi="宋体"/>
        </w:rPr>
        <w:t>十三、基金资产的估值</w:t>
      </w:r>
      <w:r>
        <w:rPr>
          <w:rStyle w:val="Hyperlink"/>
        </w:rPr>
        <w:tab/>
      </w:r>
      <w:r>
        <w:fldChar w:fldCharType="begin"/>
      </w:r>
      <w:r>
        <w:rPr>
          <w:rStyle w:val="Hyperlink"/>
        </w:rPr>
        <w:instrText xml:space="preserve"> PAGEREF _Toc256000040 \h </w:instrText>
      </w:r>
      <w:r>
        <w:fldChar w:fldCharType="separate"/>
      </w:r>
      <w:r>
        <w:rPr>
          <w:rStyle w:val="Hyperlink"/>
        </w:rPr>
        <w:t>83</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"_Toc256000041" </w:instrText>
      </w:r>
      <w:r>
        <w:fldChar w:fldCharType="separate"/>
      </w:r>
      <w:r>
        <w:rPr>
          <w:rStyle w:val="Hyperlink"/>
          <w:rFonts w:ascii="宋体" w:hAnsi="宋体"/>
        </w:rPr>
        <w:t>十四、基金收益与分配</w:t>
      </w:r>
      <w:r>
        <w:rPr>
          <w:rStyle w:val="Hyperlink"/>
        </w:rPr>
        <w:tab/>
      </w:r>
      <w:r>
        <w:fldChar w:fldCharType="begin"/>
      </w:r>
      <w:r>
        <w:rPr>
          <w:rStyle w:val="Hyperlink"/>
        </w:rPr>
        <w:instrText xml:space="preserve"> PAGEREF _Toc256000041 \h </w:instrText>
      </w:r>
      <w:r>
        <w:fldChar w:fldCharType="separate"/>
      </w:r>
      <w:r>
        <w:rPr>
          <w:rStyle w:val="Hyperlink"/>
        </w:rPr>
        <w:t>89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"_Toc256000042" </w:instrText>
      </w:r>
      <w:r>
        <w:fldChar w:fldCharType="separate"/>
      </w:r>
      <w:r>
        <w:rPr>
          <w:rStyle w:val="Hyperlink"/>
          <w:rFonts w:ascii="宋体" w:hAnsi="宋体"/>
        </w:rPr>
        <w:t>十五、基金的费用与税收</w:t>
      </w:r>
      <w:r>
        <w:rPr>
          <w:rStyle w:val="Hyperlink"/>
        </w:rPr>
        <w:tab/>
      </w:r>
      <w:r>
        <w:fldChar w:fldCharType="begin"/>
      </w:r>
      <w:r>
        <w:rPr>
          <w:rStyle w:val="Hyperlink"/>
        </w:rPr>
        <w:instrText xml:space="preserve"> PAGEREF _Toc256000042 \h </w:instrText>
      </w:r>
      <w:r>
        <w:fldChar w:fldCharType="separate"/>
      </w:r>
      <w:r>
        <w:rPr>
          <w:rStyle w:val="Hyperlink"/>
        </w:rPr>
        <w:t>91</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"_Toc256000043" </w:instrText>
      </w:r>
      <w:r>
        <w:fldChar w:fldCharType="separate"/>
      </w:r>
      <w:r>
        <w:rPr>
          <w:rStyle w:val="Hyperlink"/>
          <w:rFonts w:ascii="宋体" w:hAnsi="宋体"/>
        </w:rPr>
        <w:t>十六、基金的会计与审计</w:t>
      </w:r>
      <w:r>
        <w:rPr>
          <w:rStyle w:val="Hyperlink"/>
        </w:rPr>
        <w:tab/>
      </w:r>
      <w:r>
        <w:fldChar w:fldCharType="begin"/>
      </w:r>
      <w:r>
        <w:rPr>
          <w:rStyle w:val="Hyperlink"/>
        </w:rPr>
        <w:instrText xml:space="preserve"> PAGEREF _Toc256000043 \h </w:instrText>
      </w:r>
      <w:r>
        <w:fldChar w:fldCharType="separate"/>
      </w:r>
      <w:r>
        <w:rPr>
          <w:rStyle w:val="Hyperlink"/>
        </w:rPr>
        <w:t>94</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"_Toc256000044" </w:instrText>
      </w:r>
      <w:r>
        <w:fldChar w:fldCharType="separate"/>
      </w:r>
      <w:r>
        <w:rPr>
          <w:rStyle w:val="Hyperlink"/>
          <w:rFonts w:ascii="宋体" w:hAnsi="宋体"/>
        </w:rPr>
        <w:t>十七、基金的信息披露</w:t>
      </w:r>
      <w:r>
        <w:rPr>
          <w:rStyle w:val="Hyperlink"/>
        </w:rPr>
        <w:tab/>
      </w:r>
      <w:r>
        <w:fldChar w:fldCharType="begin"/>
      </w:r>
      <w:r>
        <w:rPr>
          <w:rStyle w:val="Hyperlink"/>
        </w:rPr>
        <w:instrText xml:space="preserve"> PAGEREF _Toc256000044 \h </w:instrText>
      </w:r>
      <w:r>
        <w:fldChar w:fldCharType="separate"/>
      </w:r>
      <w:r>
        <w:rPr>
          <w:rStyle w:val="Hyperlink"/>
        </w:rPr>
        <w:t>95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"_Toc256000045" </w:instrText>
      </w:r>
      <w:r>
        <w:fldChar w:fldCharType="separate"/>
      </w:r>
      <w:r>
        <w:rPr>
          <w:rStyle w:val="Hyperlink"/>
          <w:rFonts w:ascii="宋体" w:hAnsi="宋体"/>
        </w:rPr>
        <w:t>十八、侧袋机制</w:t>
      </w:r>
      <w:r>
        <w:rPr>
          <w:rStyle w:val="Hyperlink"/>
        </w:rPr>
        <w:tab/>
      </w:r>
      <w:r>
        <w:fldChar w:fldCharType="begin"/>
      </w:r>
      <w:r>
        <w:rPr>
          <w:rStyle w:val="Hyperlink"/>
        </w:rPr>
        <w:instrText xml:space="preserve"> PAGEREF _Toc256000045 \h </w:instrText>
      </w:r>
      <w:r>
        <w:fldChar w:fldCharType="separate"/>
      </w:r>
      <w:r>
        <w:rPr>
          <w:rStyle w:val="Hyperlink"/>
        </w:rPr>
        <w:t>102</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"_Toc256000046" </w:instrText>
      </w:r>
      <w:r>
        <w:fldChar w:fldCharType="separate"/>
      </w:r>
      <w:r>
        <w:rPr>
          <w:rStyle w:val="Hyperlink"/>
          <w:rFonts w:ascii="宋体" w:hAnsi="宋体"/>
        </w:rPr>
        <w:t>十九、风险揭示</w:t>
      </w:r>
      <w:r>
        <w:rPr>
          <w:rStyle w:val="Hyperlink"/>
        </w:rPr>
        <w:tab/>
      </w:r>
      <w:r>
        <w:fldChar w:fldCharType="begin"/>
      </w:r>
      <w:r>
        <w:rPr>
          <w:rStyle w:val="Hyperlink"/>
        </w:rPr>
        <w:instrText xml:space="preserve"> PAGEREF _Toc256000046 \h </w:instrText>
      </w:r>
      <w:r>
        <w:fldChar w:fldCharType="separate"/>
      </w:r>
      <w:r>
        <w:rPr>
          <w:rStyle w:val="Hyperlink"/>
        </w:rPr>
        <w:t>105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"_Toc256000047" </w:instrText>
      </w:r>
      <w:r>
        <w:fldChar w:fldCharType="separate"/>
      </w:r>
      <w:r>
        <w:rPr>
          <w:rStyle w:val="Hyperlink"/>
          <w:rFonts w:ascii="宋体" w:hAnsi="宋体"/>
        </w:rPr>
        <w:t>二十、基金合同的变更、终止与基金财产的清算</w:t>
      </w:r>
      <w:r>
        <w:rPr>
          <w:rStyle w:val="Hyperlink"/>
        </w:rPr>
        <w:tab/>
      </w:r>
      <w:r>
        <w:fldChar w:fldCharType="begin"/>
      </w:r>
      <w:r>
        <w:rPr>
          <w:rStyle w:val="Hyperlink"/>
        </w:rPr>
        <w:instrText xml:space="preserve"> PAGEREF _Toc256000047 \h </w:instrText>
      </w:r>
      <w:r>
        <w:fldChar w:fldCharType="separate"/>
      </w:r>
      <w:r>
        <w:rPr>
          <w:rStyle w:val="Hyperlink"/>
        </w:rPr>
        <w:t>117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"_Toc256000048" </w:instrText>
      </w:r>
      <w:r>
        <w:fldChar w:fldCharType="separate"/>
      </w:r>
      <w:r>
        <w:rPr>
          <w:rStyle w:val="Hyperlink"/>
          <w:rFonts w:ascii="宋体" w:hAnsi="宋体"/>
        </w:rPr>
        <w:t>二十一、基金合同内容摘要</w:t>
      </w:r>
      <w:r>
        <w:rPr>
          <w:rStyle w:val="Hyperlink"/>
        </w:rPr>
        <w:tab/>
      </w:r>
      <w:r>
        <w:fldChar w:fldCharType="begin"/>
      </w:r>
      <w:r>
        <w:rPr>
          <w:rStyle w:val="Hyperlink"/>
        </w:rPr>
        <w:instrText xml:space="preserve"> PAGEREF _Toc256000048 \h </w:instrText>
      </w:r>
      <w:r>
        <w:fldChar w:fldCharType="separate"/>
      </w:r>
      <w:r>
        <w:rPr>
          <w:rStyle w:val="Hyperlink"/>
        </w:rPr>
        <w:t>119</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"_Toc256000049" </w:instrText>
      </w:r>
      <w:r>
        <w:fldChar w:fldCharType="separate"/>
      </w:r>
      <w:r>
        <w:rPr>
          <w:rStyle w:val="Hyperlink"/>
          <w:rFonts w:ascii="宋体" w:hAnsi="宋体"/>
        </w:rPr>
        <w:t>二十二、托管协议的内容摘要</w:t>
      </w:r>
      <w:r>
        <w:rPr>
          <w:rStyle w:val="Hyperlink"/>
        </w:rPr>
        <w:tab/>
      </w:r>
      <w:r>
        <w:fldChar w:fldCharType="begin"/>
      </w:r>
      <w:r>
        <w:rPr>
          <w:rStyle w:val="Hyperlink"/>
        </w:rPr>
        <w:instrText xml:space="preserve"> PAGEREF _Toc256000049 \h </w:instrText>
      </w:r>
      <w:r>
        <w:fldChar w:fldCharType="separate"/>
      </w:r>
      <w:r>
        <w:rPr>
          <w:rStyle w:val="Hyperlink"/>
        </w:rPr>
        <w:t>136</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"_Toc256000050" </w:instrText>
      </w:r>
      <w:r>
        <w:fldChar w:fldCharType="separate"/>
      </w:r>
      <w:r>
        <w:rPr>
          <w:rStyle w:val="Hyperlink"/>
          <w:rFonts w:ascii="宋体" w:hAnsi="宋体"/>
        </w:rPr>
        <w:t>二十三、对基金份额持有人的服务</w:t>
      </w:r>
      <w:r>
        <w:rPr>
          <w:rStyle w:val="Hyperlink"/>
        </w:rPr>
        <w:tab/>
      </w:r>
      <w:r>
        <w:fldChar w:fldCharType="begin"/>
      </w:r>
      <w:r>
        <w:rPr>
          <w:rStyle w:val="Hyperlink"/>
        </w:rPr>
        <w:instrText xml:space="preserve"> PAGEREF _Toc256000050 \h </w:instrText>
      </w:r>
      <w:r>
        <w:fldChar w:fldCharType="separate"/>
      </w:r>
      <w:r>
        <w:rPr>
          <w:rStyle w:val="Hyperlink"/>
        </w:rPr>
        <w:t>155</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"_Toc256000051" </w:instrText>
      </w:r>
      <w:r>
        <w:fldChar w:fldCharType="separate"/>
      </w:r>
      <w:r>
        <w:rPr>
          <w:rStyle w:val="Hyperlink"/>
          <w:rFonts w:ascii="宋体" w:hAnsi="宋体"/>
        </w:rPr>
        <w:t>二十四、其他应披露事项</w:t>
      </w:r>
      <w:r>
        <w:rPr>
          <w:rStyle w:val="Hyperlink"/>
        </w:rPr>
        <w:tab/>
      </w:r>
      <w:r>
        <w:fldChar w:fldCharType="begin"/>
      </w:r>
      <w:r>
        <w:rPr>
          <w:rStyle w:val="Hyperlink"/>
        </w:rPr>
        <w:instrText xml:space="preserve"> PAGEREF _Toc256000051 \h </w:instrText>
      </w:r>
      <w:r>
        <w:fldChar w:fldCharType="separate"/>
      </w:r>
      <w:r>
        <w:rPr>
          <w:rStyle w:val="Hyperlink"/>
        </w:rPr>
        <w:t>157</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"_Toc256000052" </w:instrText>
      </w:r>
      <w:r>
        <w:fldChar w:fldCharType="separate"/>
      </w:r>
      <w:r>
        <w:rPr>
          <w:rStyle w:val="Hyperlink"/>
          <w:rFonts w:ascii="宋体" w:hAnsi="宋体"/>
        </w:rPr>
        <w:t>二十五、招募说明书的存放及查阅方式</w:t>
      </w:r>
      <w:r>
        <w:rPr>
          <w:rStyle w:val="Hyperlink"/>
        </w:rPr>
        <w:tab/>
      </w:r>
      <w:r>
        <w:fldChar w:fldCharType="begin"/>
      </w:r>
      <w:r>
        <w:rPr>
          <w:rStyle w:val="Hyperlink"/>
        </w:rPr>
        <w:instrText xml:space="preserve"> PAGEREF _Toc256000052 \h </w:instrText>
      </w:r>
      <w:r>
        <w:fldChar w:fldCharType="separate"/>
      </w:r>
      <w:r>
        <w:rPr>
          <w:rStyle w:val="Hyperlink"/>
        </w:rPr>
        <w:t>158</w:t>
      </w:r>
      <w:r>
        <w:fldChar w:fldCharType="end"/>
      </w:r>
      <w:r>
        <w:fldChar w:fldCharType="end"/>
      </w:r>
    </w:p>
    <w:p>
      <w:pPr>
        <w:pStyle w:val="TOC1"/>
        <w:tabs>
          <w:tab w:val="right" w:leader="dot" w:pos="8650"/>
        </w:tabs>
        <w:rPr>
          <w:rFonts w:asciiTheme="minorHAnsi" w:hAnsiTheme="minorHAnsi"/>
          <w:noProof/>
          <w:sz w:val="22"/>
        </w:rPr>
      </w:pPr>
      <w:r>
        <w:fldChar w:fldCharType="begin"/>
      </w:r>
      <w:r>
        <w:rPr>
          <w:rStyle w:val="Hyperlink"/>
        </w:rPr>
        <w:instrText xml:space="preserve"> HYPERLINK \l "_Toc256000053" </w:instrText>
      </w:r>
      <w:r>
        <w:fldChar w:fldCharType="separate"/>
      </w:r>
      <w:r>
        <w:rPr>
          <w:rStyle w:val="Hyperlink"/>
          <w:rFonts w:ascii="宋体" w:hAnsi="宋体"/>
        </w:rPr>
        <w:t>二十六、备查文件</w:t>
      </w:r>
      <w:r>
        <w:rPr>
          <w:rStyle w:val="Hyperlink"/>
        </w:rPr>
        <w:tab/>
      </w:r>
      <w:r>
        <w:fldChar w:fldCharType="begin"/>
      </w:r>
      <w:r>
        <w:rPr>
          <w:rStyle w:val="Hyperlink"/>
        </w:rPr>
        <w:instrText xml:space="preserve"> PAGEREF _Toc256000053 \h </w:instrText>
      </w:r>
      <w:r>
        <w:fldChar w:fldCharType="separate"/>
      </w:r>
      <w:r>
        <w:rPr>
          <w:rStyle w:val="Hyperlink"/>
        </w:rPr>
        <w:t>159</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firstLine="480" w:rightChars="6"/>
        <w:rPr>
          <w:rFonts w:ascii="宋体" w:hAnsi="宋体"/>
          <w:kern w:val="0"/>
          <w:szCs w:val="24"/>
        </w:rPr>
        <w:sectPr>
          <w:footerReference w:type="default" r:id="rId13"/>
          <w:pgSz w:w="11920" w:h="16840"/>
          <w:pgMar w:top="1360" w:right="1580" w:bottom="280" w:left="1680" w:header="0" w:footer="1186" w:gutter="0"/>
          <w:cols w:num="1" w:space="720"/>
        </w:sectPr>
      </w:pPr>
    </w:p>
    <w:p>
      <w:pPr>
        <w:pStyle w:val="Heading1"/>
        <w:snapToGrid w:val="0"/>
        <w:spacing w:before="240" w:beforeLines="0" w:after="0"/>
        <w:rPr>
          <w:rFonts w:ascii="宋体" w:hAnsi="宋体"/>
          <w:szCs w:val="30"/>
        </w:rPr>
      </w:pPr>
      <w:bookmarkStart w:id="4" w:name="_Toc256000001"/>
      <w:bookmarkStart w:id="5" w:name="_Toc256000028"/>
      <w:r>
        <w:rPr>
          <w:rFonts w:ascii="宋体" w:hAnsi="宋体"/>
          <w:sz w:val="30"/>
        </w:rPr>
        <w:t>一、绪言</w:t>
      </w:r>
      <w:bookmarkEnd w:id="5"/>
      <w:bookmarkEnd w:id="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上证科创板100指数型证券投资基金招募说明书》（以下简称“本招募说明书”）依据《中华人民共和国证券投资基金法》（以下简称“《基金法》”）、《公开募集证券投资基金运作管理办法》（以下简称“《运作办法》”）、《公开募集证券投资基金销售机构监督管理办法》（以下简称“《销售办法》”）、《公开募集证券投资基金信息披露管理办法》（以下简称“《信息披露办法》”）、《公开募集开放式证券投资基金流动性风险管理规定》（以下简称“《流动性风险管理规定》”）、《公开募集证券投资基金运作指引第3号——指数基金指引》和其他相关法律法规的规定以及《交银施罗德上证科创板100指数型证券投资基金基金合同》（以下简称“基金合同”）编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Heading1"/>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7"/>
      <w:bookmarkEnd w:id="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在本招募说明书中，除非文意另有所指，下列词语或简称具有如下含义：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1、基金或本基金：指交银施罗德上证科创板100指数型证券投资基金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2、基金管理人：指交银施罗德基金管理有限公司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3、基金托管人：指中国农业银行股份有限公司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4、基金合同或《基金合同》：指《交银施罗德上证科创板100指数型证券投资基金基金合同》及对基金合同的任何有效修订和补充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5、托管协议：指基金管理人与基金托管人就本基金签订之《交银施罗德上证科创板100指数型证券投资基金托管协议》及对该托管协议的任何有效修订和补充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6、招募说明书、《招募说明书》或本招募说明书：指《交银施罗德上证科创板100指数型证券投资基金招募说明书》及其更新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7、基金份额发售公告：指《交银施罗德上证科创板100指数型证券投资基金基金份额发售公告》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8、基金产品资料概要：指《交银施罗德上证科创板100指数型证券投资基金基金产品资料概要》及其更新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11、《销售办法》：指《公开募集证券投资基金销售机构监督管理办法》及颁布机关对其不时做出的修订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15、《指数基金指引》：指《公开募集证券投资基金运作指引第3号——指数基金指引》及颁布机关对其不时做出的修订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16、中国证监会：指中国证券监督管理委员会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17、银行业监督管理机构：指中国人民银行和/或国家金融监督管理总局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19、个人投资者：指依据有关法律法规规定可投资于证券投资基金的自然人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22、投资人、投资者：指个人投资者、机构投资者、合格境外投资者以及法律法规或中国证监会允许购买证券投资基金的其他投资人的合称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23、基金份额持有人：指依基金合同和招募说明书合法取得基金份额的投资人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25、销售机构：指交银施罗德基金管理有限公司以及符合《销售办法》和中国证监会规定的其他条件，取得基金销售业务资格并与基金管理人签订了基金销售服务协议，办理基金销售业务的机构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32、基金募集期：指自基金份额发售之日起至发售结束之日止的期间，最长不得超过3个月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33、存续期：指基金合同生效至终止之间的不定期期限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34、工作日：指上海证券交易所、深圳证券交易所的正常交易日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35、T日：指销售机构在规定时间受理投资人申购、赎回或其他业务申请的开放日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36、T+n日：指自T日起第n个工作日（不包含T日）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37、开放日：指为投资人办理基金份额申购、赎回或其他业务的工作日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38、开放时间：指开放日基金接受申购、赎回或其他交易的时间段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39、《业务规则》：指中国证券登记结算有限责任公司相关业务规则及其不时做出的修订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40、认购：指在基金募集期内，投资人根据基金合同和招募说明书的规定申请购买基金份额的行为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41、申购：指基金合同生效后，投资人根据基金合同和招募说明书的规定申请购买基金份额的行为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44、转托管：指基金份额持有人在本基金的不同销售机构之间实施的变更所持基金份额销售机构的操作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47、元：指人民币元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49、基金资产总值：指基金拥有的各类有价证券、股指期货合约、银行存款本息、基金应收款项及其他资产的价值总和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50、基金资产净值：指基金资产总值减去基金负债后的价值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51、基金份额净值：指计算日基金资产净值除以计算日基金份额总数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52、基金资产估值：指计算评估基金资产和负债的价值，以确定基金资产净值和基金份额净值的过程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54、销售服务费：指从基金财产中计提的，用于本基金市场推广、销售以及基金份额持有人服务的费用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55、A类基金份额：指在投资人认购/申购时收取认购/申购费用、不从本类别基金资产中计提销售服务费的基金份额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56、C类基金份额：指在投资人认购/申购时不收取认购/申购费用、从本类别基金资产中计提销售服务费的基金份额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57、标的指数：指上证科创板100指数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62、转融通证券出借业务：指本基金以一定费率通过证券交易所综合业务平台向中国证券金融股份有限公司出借证券，中国证券金融股份有限公司到期归还所借证券及相应权益补偿并支付费用的业务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63、不可抗力：指基金合同当事人不能预见、不能避免且不能克服的客观事件</w:t>
      </w:r>
    </w:p>
    <w:p>
      <w:pPr>
        <w:pStyle w:val="Heading1"/>
        <w:snapToGrid w:val="0"/>
        <w:spacing w:before="240" w:beforeLines="0" w:after="0"/>
        <w:rPr>
          <w:rFonts w:ascii="宋体" w:hAnsi="宋体"/>
          <w:szCs w:val="30"/>
        </w:rPr>
      </w:pPr>
      <w:r>
        <w:br w:type="page"/>
      </w:r>
      <w:bookmarkStart w:id="8" w:name="_Toc256000003"/>
      <w:bookmarkStart w:id="9" w:name="_Toc256000030"/>
      <w:r>
        <w:rPr>
          <w:rFonts w:ascii="宋体" w:hAnsi="宋体"/>
          <w:sz w:val="30"/>
        </w:rPr>
        <w:t>三、基金管理人</w:t>
      </w:r>
      <w:bookmarkEnd w:id="9"/>
      <w:bookmarkEnd w:id="8"/>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w:t>
      </w:r>
      <w:r w:rsidRPr="00BB248E">
        <w:rPr>
          <w:rFonts w:ascii="宋体" w:hAnsi="宋体" w:hint="eastAsia"/>
          <w:kern w:val="0"/>
          <w:sz w:val="24"/>
        </w:rPr>
        <w:t>(</w:t>
      </w:r>
      <w:r w:rsidRPr="00BB248E">
        <w:rPr>
          <w:rFonts w:ascii="宋体" w:hAnsi="宋体" w:hint="eastAsia"/>
          <w:kern w:val="0"/>
          <w:sz w:val="24"/>
        </w:rPr>
        <w:t>上海</w:t>
      </w:r>
      <w:r w:rsidRPr="00BB248E">
        <w:rPr>
          <w:rFonts w:ascii="宋体" w:hAnsi="宋体" w:hint="eastAsia"/>
          <w:kern w:val="0"/>
          <w:sz w:val="24"/>
        </w:rPr>
        <w:t>)</w:t>
      </w:r>
      <w:r w:rsidRPr="00BB248E">
        <w:rPr>
          <w:rFonts w:ascii="宋体" w:hAnsi="宋体" w:hint="eastAsia"/>
          <w:kern w:val="0"/>
          <w:sz w:val="24"/>
        </w:rPr>
        <w:t>自由贸易试验区银城中路</w:t>
      </w:r>
      <w:r w:rsidRPr="00BB248E">
        <w:rPr>
          <w:rFonts w:ascii="宋体" w:hAnsi="宋体" w:hint="eastAsia"/>
          <w:kern w:val="0"/>
          <w:sz w:val="24"/>
        </w:rPr>
        <w:t>188</w:t>
      </w:r>
      <w:r w:rsidRPr="00BB248E">
        <w:rPr>
          <w:rFonts w:ascii="宋体" w:hAnsi="宋体" w:hint="eastAsia"/>
          <w:kern w:val="0"/>
          <w:sz w:val="24"/>
        </w:rPr>
        <w:t>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w:t>
      </w:r>
      <w:r w:rsidRPr="00BB248E">
        <w:rPr>
          <w:rFonts w:ascii="宋体" w:hAnsi="宋体" w:hint="eastAsia"/>
          <w:kern w:val="0"/>
          <w:sz w:val="24"/>
        </w:rPr>
        <w:t>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w:t>
      </w:r>
      <w:r w:rsidRPr="00BB248E">
        <w:rPr>
          <w:rFonts w:ascii="宋体" w:hAnsi="宋体" w:hint="eastAsia"/>
          <w:kern w:val="0"/>
          <w:sz w:val="24"/>
        </w:rPr>
        <w:t>2005</w:t>
      </w:r>
      <w:r w:rsidRPr="00BB248E">
        <w:rPr>
          <w:rFonts w:ascii="宋体" w:hAnsi="宋体" w:hint="eastAsia"/>
          <w:kern w:val="0"/>
          <w:sz w:val="24"/>
        </w:rPr>
        <w:t>年</w:t>
      </w:r>
      <w:r w:rsidRPr="00BB248E">
        <w:rPr>
          <w:rFonts w:ascii="宋体" w:hAnsi="宋体" w:hint="eastAsia"/>
          <w:kern w:val="0"/>
          <w:sz w:val="24"/>
        </w:rPr>
        <w:t>8</w:t>
      </w:r>
      <w:r w:rsidRPr="00BB248E">
        <w:rPr>
          <w:rFonts w:ascii="宋体" w:hAnsi="宋体" w:hint="eastAsia"/>
          <w:kern w:val="0"/>
          <w:sz w:val="24"/>
        </w:rPr>
        <w:t>月</w:t>
      </w:r>
      <w:r w:rsidRPr="00BB248E">
        <w:rPr>
          <w:rFonts w:ascii="宋体" w:hAnsi="宋体" w:hint="eastAsia"/>
          <w:kern w:val="0"/>
          <w:sz w:val="24"/>
        </w:rPr>
        <w:t>4</w:t>
      </w:r>
      <w:r w:rsidRPr="00BB248E">
        <w:rPr>
          <w:rFonts w:ascii="宋体" w:hAnsi="宋体" w:hint="eastAsia"/>
          <w:kern w:val="0"/>
          <w:sz w:val="24"/>
        </w:rPr>
        <w:t>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w:t>
      </w:r>
      <w:r w:rsidRPr="00BB248E">
        <w:rPr>
          <w:rFonts w:ascii="宋体" w:hAnsi="宋体" w:hint="eastAsia"/>
          <w:kern w:val="0"/>
          <w:sz w:val="24"/>
        </w:rPr>
        <w:t>2</w:t>
      </w:r>
      <w:r w:rsidRPr="00BB248E">
        <w:rPr>
          <w:rFonts w:ascii="宋体" w:hAnsi="宋体" w:hint="eastAsia"/>
          <w:kern w:val="0"/>
          <w:sz w:val="24"/>
        </w:rPr>
        <w:t>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联系人：何佳妮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r w:rsidRPr="00BB248E">
        <w:rPr>
          <w:rFonts w:ascii="宋体" w:hAnsi="宋体" w:hint="eastAsia"/>
          <w:kern w:val="0"/>
          <w:sz w:val="24"/>
        </w:rPr>
        <w:t>021</w:t>
      </w:r>
      <w:r w:rsidRPr="00BB248E">
        <w:rPr>
          <w:rFonts w:ascii="宋体" w:hAnsi="宋体" w:hint="eastAsia"/>
          <w:kern w:val="0"/>
          <w:sz w:val="24"/>
        </w:rPr>
        <w:t>）</w:t>
      </w:r>
      <w:r w:rsidRPr="00BB248E">
        <w:rPr>
          <w:rFonts w:ascii="宋体" w:hAnsi="宋体" w:hint="eastAsia"/>
          <w:kern w:val="0"/>
          <w:sz w:val="24"/>
        </w:rPr>
        <w:t>61055034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交银施罗德基金管理有限公司（以下简称“公司”）经中国证监会证监基金字</w:t>
      </w:r>
      <w:r w:rsidRPr="00BB248E">
        <w:rPr>
          <w:rFonts w:ascii="宋体" w:hAnsi="宋体" w:hint="eastAsia"/>
          <w:kern w:val="0"/>
          <w:sz w:val="24"/>
        </w:rPr>
        <w:t>[2005]128</w:t>
      </w:r>
      <w:r w:rsidRPr="00BB248E">
        <w:rPr>
          <w:rFonts w:ascii="宋体" w:hAnsi="宋体" w:hint="eastAsia"/>
          <w:kern w:val="0"/>
          <w:sz w:val="24"/>
        </w:rPr>
        <w:t>号文批准设立。公司股权结构如下：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r w:rsidRPr="00BB248E">
        <w:rPr>
          <w:rFonts w:ascii="宋体" w:hAnsi="宋体" w:hint="eastAsia"/>
          <w:kern w:val="0"/>
          <w:sz w:val="24"/>
        </w:rPr>
        <w:t xml:space="preserve">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袁庆伟女士，总经理。简历同上。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邵文婷女士:多资产研究部副总监、基金经理。英国诺丁汉大学金融与投资硕士、西南财经大学数学与经济学双学士。10年证券投资行业从业经验。2016年加入交银施罗德基金管理有限公司，曾任量化投资部研究员、投资经理，现任多资产研究部副总监、基金经理。曾任交银施罗德定期支付月月丰债券型证券投资基金（2022年11月30日至2024年12月27日）的基金经理。现任交银施罗德中证A500指数增强型发起式证券投资基金（2026年02月10日至今）、交银施罗德中证智选沪深港科技50交易型开放式指数证券投资基金（2025年12月10日至今）、交银施罗德中证港股通央企红利指数型证券投资基金（2025年10月28日至今）、交银施罗德恒生港股通创新药精选指数型证券投资基金（2025年08月20日至今）、交银施罗德中证A50指数型证券投资基金（2025年04月02日至今）、交银施罗德上证科创板100指数型证券投资基金（2025年02月26日至今）、交银施罗德中证A500指数型证券投资基金（2025年01月22日至今）、交银施罗德中证红利低波动100指数型证券投资基金（2024年03月15日至今）、上证180公司治理交易型开放式指数证券投资基金（2021年04月30日至今）、交银施罗德上证180公司治理交易型开放式指数证券投资基金联接基金（2021年04月30日至今）、深证300价值交易型开放式指数证券投资基金（2021年04月30日至今）、交银施罗德深证300价值交易型开放式指数证券投资基金联接基金（2021年04月30日至今）、交银施罗德国证新能源指数证券投资基金（LOF）（2021年04月30日至今）、交银施罗德创业板50指数型证券投资基金（2021年04月30日至今）、交银施罗德中证海外中国互联网指数型证券投资基金(LOF)（2021年04月30日至今）、交银施罗德中证环境治理指数型证券投资基金(LOF)（2021年04月30日至今）的基金经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委员：马俊（副总经理）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迟鑫（权益部总经理兼任跨境投资部总经理）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王崇（权益投资副总监、权益部一级专家、基金经理）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于海颖（混合资产投资总监、基金经理）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黄莹洁（固定收益（公募）投资助理总监、基金经理）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樊继拓（多资产研究部副总经理）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上述人员之间不存在近亲属关系。</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3、对所管理的不同基金财产分别管理、分别记账，进行证券投资；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7、计算并公告基金净值信息，确定基金份额申购、赎回价格；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8、办理与基金财产管理业务活动有关的信息披露事项；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10、保存基金财产管理业务活动的记录、账册、报表和其他相关资料；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12、有关法律法规和中国证监会规定的其他职责。</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（1）将基金管理人固有财产或者他人财产混同于基金财产从事证券投资；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（2）不公平地对待管理的不同基金财产；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（3）利用基金财产为基金份额持有人以外的第三人牟取利益；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（4）向基金份额持有人违规承诺收益或者承担损失；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（5）侵占、挪用基金财产；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（6）法律、行政法规和中国证监会禁止的其他行为。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5、基金管理人承诺不从事其他法规规定禁止从事的行为。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2、不利用职务之便为自己、受雇人或任何第三者谋取利益；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4、不以任何形式为其他组织或个人进行证券交易。</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（1）健全性原则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（2）有效性原则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通过科学的内控手段和方法，建立合理的内控程序，维护内控制度的有效执行。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（3）独立性原则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（4）相互制约原则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公司内部部门和岗位的设置应当体现权责分明、相互制衡。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（5）成本效益原则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2、风险管理和内部风险控制体系结构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（1）董事会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（2）合规风险及审计委员会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（3）风险控制委员会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（4）督察长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（5）风险管理部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（6）审计部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（7）内控合规及法律事务部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（8）业务部门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3、风险管理和内部风险控制的措施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（1）建立内控体系，完善内控制度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（2）建立相互分离、相互制衡的内控机制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（3）建立、健全岗位责任制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（4）建立风险分类、识别、评估、报告、提示程序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（5）建立有效的内部监控系统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（6）使用数量化的风险管理手段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（7）提供足够的培训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制定了完整的培训计划，为所有员工提供足够和适当的培训，使员工明确其职责所在，控制风险。</w:t>
      </w:r>
    </w:p>
    <w:p>
      <w:pPr>
        <w:pStyle w:val="Heading1"/>
        <w:snapToGrid w:val="0"/>
        <w:spacing w:before="240" w:beforeLines="0" w:after="0"/>
        <w:rPr>
          <w:rFonts w:ascii="宋体" w:hAnsi="宋体"/>
          <w:szCs w:val="30"/>
        </w:rPr>
      </w:pPr>
      <w:r>
        <w:br w:type="page"/>
      </w:r>
      <w:bookmarkStart w:id="10" w:name="_Toc256000004"/>
      <w:bookmarkStart w:id="11" w:name="_Toc256000031"/>
      <w:r>
        <w:rPr>
          <w:rFonts w:ascii="宋体" w:hAnsi="宋体"/>
          <w:sz w:val="30"/>
        </w:rPr>
        <w:t>四、基金托管人</w:t>
      </w:r>
      <w:bookmarkEnd w:id="11"/>
      <w:bookmarkEnd w:id="1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（一）基金托管人情况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1、基本情况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名称：中国农业银行股份有限公司（简称中国农业银行）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联系人：任航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股份有限公司是中国金融体系的重要组成部分,总行设在北京。经国务院批准，中国农业银行整体改制为中国农业银行股份有限公司并于2009年1月15日依法成立。中国农业银行股份有限公司承继原中国农业银行全部资产、负债、业务、机构网点和员工。中国农业银行网点遍布中国城乡，成为国内网点最多、业务辐射范围最广，服务领域最广，服务对象最多，业务功能齐全的大型国有商业银行之一。在海外，中国农业银行同样通过自己的努力赢得了良好的信誉，每年位居《财富》世界500强企业之列。作为一家城乡并举、联通国际、功能齐备的大型国有商业银行，中国农业银行一贯秉承以客户为中心的经营理念，坚持审慎稳健经营、可持续发展，立足县域和城市两大市场，实施差异化竞争策略，着力打造“伴你成长”服务品牌，依托覆盖全国的分支机构、庞大的电子化网络和多元化的金融产品，致力为广大客户提供优质的金融服务，与广大客户共创价值、共同成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是中国第一批开展托管业务的国内商业银行，经验丰富，服务优质，业绩突出，2004年被英国《全球托管人》评为中国“最佳托管银行”。2007年中国农业银行通过了美国SAS70内部控制审计，并获得无保留意见的SAS70审计报告。自2010年起中国农业银行连续通过托管业务国际内控标准（ISAE3402）认证，表明了独立公正第三方对中国农业银行托管服务运作流程的风险管理、内部控制的健全有效性的全面认可。中国农业银行着力加强能力建设，品牌声誉进一步提升，在2010年首届“‘金牌理财’TOP10颁奖盛典”中成绩突出，获“最佳托管银行”奖。2010年再次荣获《首席财务官》杂志颁发的“最佳资产托管奖”。2012年荣获第十届中国财经风云榜“最佳资产托管银行”称号；2013年至2017年连续荣获上海清算所授予的“托管银行优秀奖”和中央国债登记结算有限责任公司授予的“优秀托管机构奖”称号；2015年、2016年荣获中国银行业协会授予的“养老金业务最佳发展奖”称号；2018年荣获中国基金报授予的公募基金20年“最佳基金托管银行”奖；2019年荣获证券时报授予的“2019年度资产托管银行天玑奖”称号；2020年被美国《环球金融》评为中国“最佳托管银行”；2021年荣获全国银行间同业拆借中心首次设立的“银行间本币市场优秀托管行”奖；2022年在权威杂志《财资》年度评选中首次荣获“中国最佳保险托管银行”；2023年第五次荣获《环球金融》杂志中国地区“最佳次托管银行”大奖；2024年荣获《中国基金报》英华奖“优秀ETF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证券投资基金托管部于1998年5月经中国证监会和中国人民银行批准成立，2004年更名为中国农业银行托管业务部。目前内设风险合规部/综合管理部、业务管理部、客户一部、客户二部、客户三部、客户四部、系统与信息管理部、营运管理部、营运一部、营运二部，拥有先进的安全防范设施和基金托管业务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2、主要人员情况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中国农业银行托管业务部现有员工302名，其中具有高级职称的专家60名，服务团队成员专业水平高、业务素质好、服务能力强，高级管理层均有20年以上金融从业经验和高级技术职称，精通国内外证券市场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3、基金托管业务经营情况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截止到2026年6月30日，中国农业银行托管的封闭式证券投资基金和开放式证券投资基金共1052只。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（二）基金托管人的内部风险控制制度说明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1、内部控制目标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严格遵守国家有关托管业务的法律法规、行业监管规章和行内有关管理规定，守法经营、规范运作、严格监察，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2、内部控制组织结构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风险管理委员会总体负责中国农业银行的风险管理与内部控制工作，对托管业务风险管理和内部控制工作进行监督和评价。托管业务部专门设置了风险管理处，配备了专职内控监督人员负责托管业务的内控监督工作，独立行使监督稽核职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3、内部控制制度及措施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备系统、完善的制度控制体系，建立了管理制度、控制制度、岗位职责、业务操作流程，可以保证托管业务的规范操作和顺利进行；业务人员具备从业资格；业务管理实行严格的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（三）基金托管人对基金管理人运作基金进行监督的方法和程序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通过参数设置将《基金法》、《运作办法》、基金合同、托管协议规定的投资比例和禁止投资品种输入监控系统，每日登录监控系统监督基金管理人的投资运作，并通过基金资金账户、基金管理人的投资指令等监督基金管理人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当基金出现异常交易行为时，基金托管人应当针对不同情况进行以下方式的处理：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1、电话提示。对媒体和舆论反映集中的问题，电话提示基金管理人；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2、书面警示。对本基金投资比例接近超标、资金头寸不足等问题，以书面方式对基金管理人进行提示；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3、书面报告。对投资比例超标、清算资金透支以及其他涉嫌违规交易等行为，书面提示有关基金管理人并报中国证监会。</w:t>
      </w:r>
    </w:p>
    <w:p>
      <w:pPr>
        <w:pStyle w:val="Heading1"/>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3"/>
      <w:bookmarkEnd w:id="1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个人投资者可以通过基金管理人网上直销交易平台办理开户、本基金的申购、赎回、转换及定期定额投资等业务，具体交易细则请参阅基金管理人网站。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sz w:val="24"/>
        </w:rPr>
        <w:t>2、其他销售机构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办公地址：上海市浦东新区银城中路188号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法定代表人：任德奇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电话：（021）58781234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传真：（021）58408483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联系人：范瑞波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网址：www.bankcomm.com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（2）宁波银行股份有限公司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住所：宁波市江东区中山东路294号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法定代表人：陆华裕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电话：（021）63586210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传真：（021）63586215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联系人：胡技勋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客户服务电话：96528（上海地区962528）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网址：www.nbcb.com.cn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（3）招商银行股份有限公司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办公地址：深圳市福田区深南大道7088号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法定代表人：缪建民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电话：（0755）83198888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传真：（0755）83195109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联系人：季平伟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网址：www.cmbchina.com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（4）中国工商银行股份有限公司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办公地址：北京市西城区复兴门内大街55号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法定代表人：廖林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网址：www.icbc.com.cn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法定代表人：周慕冰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联系电话：010-66060069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传真：010-68121816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联系人：贺倩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网址：www.abchina.com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（6）东方财富证券股份有限公司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住所：西藏自治区拉萨市柳梧新区国际总部城10栋楼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法定代表人：戴彦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电话：（021）021-23586603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传真：（021）021-23586860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联系人：付佳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网址：http://www.18.cn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（7）东莞证券股份有限公司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办公地址：广东省东莞市莞城区可园南路一号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传真：（0769）22115712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网址：www.dgzq.com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（8）国金证券股份有限公司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住所：四川省成都市东城根上街95号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办公地址：成都市东城根上街95号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法定代表人：冉云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电话：（028）86690057，（028）86690058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传真：（028）86690126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联系人：刘婧漪 贾鹏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网址：www.gjzq.com.cn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（9）国泰海通证券股份有限公司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注册地址：中国（上海）自由贸易试验区商城路618号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办公地址：上海市静安区南京西路768号国泰君安大厦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联系电话：021-38676666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传真：021-38670666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联系人：邵亚杰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服务热线 : 95521 / 4008888666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网址：www.gtht.com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（10）国投证券股份有限公司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办公地址：深圳市福田区福田街道福华一路119号安信金融大厦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电话：（0755）81688000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传真：（0755）82558355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网址：https://www.sdicsc.com.cn/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（11）华泰证券股份有限公司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住所：江苏省南京市江东中路228号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办公地址：江苏省南京市建邺区江东中路228号华泰证券广场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电话：（0755）82492193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传真：（0755）82492962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联系人：徐浩津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网址：www.htsc.com.cn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（12）平安证券股份有限公司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住所：深圳市福田区金田路大中华国际交易广场裙楼8楼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办公地址：深圳市福田区金田路大中华国际交易广场裙楼8楼(518048)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法定代表人：杨宇翔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电话：（0755）22627802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传真：（0755）82400862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联系人：郑舒丽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网址：www.pingan.com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（13）西部证券股份有限公司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办公地址：陕西省西安市新城区东新街 319 号 8 幢 10000 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法定代表人：徐朝晖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电话：029-87211668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联系人：张吉安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网址：www.west95582.com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（14）招商证券股份有限公司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住所：深圳市福田区福田街道福华一路111号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办公地址：深圳市福田区益田路江苏大厦A座38-45层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法定代表人：朱江涛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电话：（0755）82943666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传真：（0755）82943636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联系人：黄婵君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客户服务电话：400-8888-111，95565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网址：www.newone.com.cn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（15）中国中金财富证券有限公司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办公地址：深圳市福田区益田路6003号荣超商务中心A栋第04、18层至21层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法定代表人：高涛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电话：（0755）88320851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联系人：胡芷境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客户服务电话：95532/400-600-8008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网址：www.ciccwm.com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（16）中信建投证券股份有限公司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住所：北京市朝阳区安立路66号4号楼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办公地址：北京市朝阳门内大街188号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电话：（010）56135784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联系人：刘芸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网址：www.csc108.com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（17）中信证券股份有限公司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住所：广东省深圳市福田区中心三路8号卓越时代广场（二期）北座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办公地址：北京市朝阳区亮马桥路48号中信证券大厦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法定代表人：张佑君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电话：010-60838888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客服电话：95548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网址：www.cs.ecitic.com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（18）中信证券华南股份有限公司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办公地址：广州市天河区珠江西路5号广州国际金融中心主塔19层、20层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法定代表人：陈可可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电话：020-88836999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传真：020-88836984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联系人：郭杏燕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客服电话：（020）95396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网址：www.gzs.com.cn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（19）中信证券（山东）有限责任公司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住所：青岛市崂山区深圳路222号1号楼2001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办公地址：青岛市市南区东海西路28号龙翔广场东座5层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法定代表人：肖海峰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电话：0531-89606166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传真：0532-85022605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联系人：赵如意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客户服务电话：95548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网址：sd.citics.com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（20）北京创金启富基金销售有限公司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北京市西城区白纸坊东街2号院6号楼712室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梁蓉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电话：010-66154828-8047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传真：010-63583991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魏素清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客户服务电话：010-66154828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https://www.5irich.com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（21）北京度小满基金销售有限公司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注册地址：北京市海淀区西北旺东路10号院西区4号楼1层103室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法定代表人：葛新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办公地址：北京市海淀区西北旺东路10号院西区4号楼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机构联系人：王笑宇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联系人电话：010-59403028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联系人传真：010-59403027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客户服务电话：95055-4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公司网址：www.baiyingfund.com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（22）北京汇成基金销售有限公司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住所：北京市西城区宣武门外大街甲1号4层401-2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办公地址：北京市西城区宣武门外大街甲1号环球财讯中心D座4层401-2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法定代表人：王伟刚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电话：（010）56282140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传真：（010）62680827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客户服务电话：010-63158805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网址：www.hcfunds.co</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（23）北京新浪仓石基金销售有限公司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电话：010-58982465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联系人：穆飞虎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客服电话：010-6267 5369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网址：www.xincai.com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（24）北京雪球基金销售有限公司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住所：北京市朝阳区创远路 34 号院6号楼15层1501室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办公地址：北京市朝阳区创远路 34 号院融新科技中心 C 座 17 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电话：（010）61840688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传真：（010）84997571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联系人：武安广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客户服务电话：400-1599-288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网址：danjuanfunds.com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（25）博时财富基金销售有限公司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办公地址：深圳市福田区莲花街道福新社区益田路5999号基金大厦19层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法定代表人：王德英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电话：0755-83169999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传真：0755-83195220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联系人：崔丹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客户服务电话：400-610-5568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网址：www.boserawealth.com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（26）大连网金基金销售有限公司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辽宁省大连市沙河口区体坛路22号诺德大厦2层202室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樊怀东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电话：（0411-39027810）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传真：（0411-39027835）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于秀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 4000-899-100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网址：http://www.yibaijin.com/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（27）泛华普益基金销售有限公司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住所：成都市成华区建设路9号高地中心1101室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办公地址：成都市金牛区花照壁西顺街399号1栋1单元龙湖西宸天街B座1201号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法定代表人：于海锋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电话：028-8661-6229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联系人：隋亚方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客户服务电话：400-080-3388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网址：https://www.puyifund.com/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（28）格上富信投资顾问有限公司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住所：北京市朝阳区东三环北路19号楼701内09室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办公地址：北京市朝阳区东三环北路19号楼701内09室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法定代表人：李悦章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电话：（010）85594745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传真：（010）65983333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联系人：张林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客户服务电话：400-066-8586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网址：www.igesafe.com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（29）和耕传承基金销售有限公司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办公地址：河南自贸试验区郑州片区（郑东）东风南路东康宁街北6号楼5楼503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法定代表人：温丽燕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电话：0371-85518395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传真：0371-85518397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联系人：胡静华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客户服务电话：4000555671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网址：www.hgccpb.com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（30）和讯信息科技有限公司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办公地址：北京市朝阳区朝外大街22号泛利大厦10层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电话：（021）20835789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传真：（021）20835879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联系人：周轶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客户服务电话：4009200022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网址：http://licaike.hexun.com/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（31）汇添富基金销售（上海）有限公司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办公地址：上海市黄浦区外马路728号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电话：021-28932888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网址：https://www.htfwm.com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021-28932888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https://www.htfwm.com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（32）济安财富（北京）基金销售有限公司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住所：北京市朝阳区太阳宫中路16号院1号楼10层1005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办公地址：北京市朝阳区太阳宫中路16号院1号楼11层1105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法定代表人：杨健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电话：010-65309516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传真：010-65330699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联系人：宋静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客户服务电话：400-673-7010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网址：www.jianfortune.com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（33）嘉实财富管理有限公司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办公地址及其联系方式：北京市朝阳区建国门外大街21号北京国际俱乐部C座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张峰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 010-85097302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联系人：闫欢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客户服务电话：400-021-8850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公司网址：http://www.harvestwm.cn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（34）京东肯特瑞基金销售有限公司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北京市海淀区西三旗建材城中路12号17号平房157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法定代表人：王苏宁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传真：010-89189566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联系人：李丹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客服热线：95118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网址：kenterui.jd.com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（35）蚂蚁（杭州）基金销售有限公司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住所：浙江省杭州市余杭区五常街道文一西路969号3幢5层599室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办公地址：浙江省杭州市西湖区西溪路556号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电话：（0571）28829790，（021）60897869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传真：（0571）26698533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联系人：韩爱彬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网址：www.fund123.cn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（36）南京苏宁基金销售有限公司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办公地址：南京市玄武区苏宁大道1-5号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传真：025-66996699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联系人：冯鹏鹏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客户服务电话：95177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网址：www.snjijin.com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（37）诺亚正行基金销售有限公司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住所:上海市虹口区飞虹路360弄9号3724室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办公地址:上海市杨浦区长阳路1687号长阳谷2号楼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法定代表：汪静波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电话：（021）80358523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传真：（021）80358749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联系人：李娟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客户服务电话：4008215399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网址：www.noah-fund.com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（38）上海大智慧基金销售有限公司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住所：上海市浦东新区杨高南路428号1号楼10-11层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办公地址：上海市浦东新区杨高南路428号1号楼10-11层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法定代表人：申健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电话：021-0219988-35374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传真：021-20219923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联系人：张蜓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客户服务电话：021-20292031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网址：https://www.wg.com.cn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（39）上海好买基金销售有限公司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住所：上海市虹口区场中路685弄37号4号楼449室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办公地址：上海市浦东新区浦东南路1118号鄂尔多斯国际大厦903-906室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法定代表人：杨文斌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传真：（021）68596916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联系人：薛年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客户服务电话：400-700-9665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网址：www.howbuy.com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（40）上海华夏财富投资管理有限公司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住所：上海市虹口区东大名路687号1幢2楼268室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 北京市西城区金融大街33号通泰大厦B座8层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毛淮平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电话：010-88066632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传真：010-63136184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张静怡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客户服务电话：400-817-5666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www.amcfortune.com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（41）上海基煜基金销售有限公司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住所：上海市崇明县长兴镇路潘园公路1800号2号楼6153室（上海泰和经济发展区）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办公地址：上海市杨浦区昆明路518号A1002室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传真：（021）55085991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联系人：俞申莉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客户服务电话：（021）65370077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网址：www.fofund.com.cn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（42）上海利得基金销售有限公司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上海浦东新区峨山路91弄61号陆家嘴软件园10号楼12楼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办公地址：上海市虹口区东大名路1098号浦江国际金融广场53层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法定代表人：李兴春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电话：021-50583533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传真：021-50583633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伍豪</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客服电话：400-032-5885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网址：www.leadfund.com.cn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（43）上海联泰基金销售有限公司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住所：上海市普陀区兰溪路900弄15号526室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办公地址：上海市虹口区临潼路188号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法定代表人：尹彬彬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电话：021-52822063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传真：021-52975270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联系人：兰敏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客户服务电话：400-118-1188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网址：www.66liantai.com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（44）上海陆金所基金销售有限公司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住所：上海市浦东新区陆家嘴环路1333号14楼09单元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办公地址：上海市浦东新区陆家嘴环路1333号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法定代表人：王之光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电话：（021）20665952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传真：（021）22066653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联系人：宁博宇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客户服务电话：4008219031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网址：www.lufunds.com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（45）上海天天基金销售有限公司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住所：上海市徐汇区龙田路190号2号楼2层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办公地址：上海市徐汇区宛平南路88号金座东方财富大厦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法定代表人：其实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电话：（021）54509998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传真：（021）64385308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联系人：屠彦洋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客户服务电话：400-1818-188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网址：www.1234567.com.cn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（46）上海挖财基金销售有限公司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办公地址：中国(上海)自由贸易试验区杨高南路759号18层03单元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法定代表人：吕柳霞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电话：021-50810673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传真：021-50810687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邮编：200120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联系人：毛善波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客服电话：400-711-8718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网址：www.wacaijijin.com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（47）上海万得基金销售有限公司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住所：中国（上海）自由贸易试验区福山路33号11楼B座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办公地址：上海市浦东新区浦明路1500号万得大厦11楼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 宋晓言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电话：021-50712782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传真：021-50710161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 马烨莹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客户服务电话：400-799-1888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 www.520fund.com.cn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（48）上海长量基金销售有限公司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住所：上海市浦东新区高翔路526号2幢220室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办公地址：上海市浦东新区浦东大道555号裕景国际B座16层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法定代表人：张跃伟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电话：（021）20691832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传真：（021）20691861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联系人：单丙烨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客户服务电话：400-820-2899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网址：www.erichfund.com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（49）上海证达通基金销售有限公司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 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办公地址：上海市浦东新区金葵路118号3层B区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法定代表人：姚杨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电话：（021）20530186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传真：（021）20538999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 潘梦茹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客户服务电话：021-20538880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网址：www.zdt.fund</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（50）深圳前海微众银行股份有限公司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办公地址：广东省深圳市南山区沙河西路1819号深圳湾科技生态园7栋A座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法定代表人：顾敏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电话：15112686889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联系人：白冰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客户服务电话：95384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网址：www.webank.com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（51）深圳市金斧子基金销售有限公司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住所：深圳市南山区粤海街道科苑路16号东方科技大厦18楼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办公地址：深圳市南山区粤海街道科苑路科兴科学园B3单元7楼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法定代表人：赖任军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电话：（0755）66892301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传真：（0755）66892399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联系人：张烨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客户服务电话：400-9500-888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网址：www.jfzinv.com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（52）深圳市新兰德证券投资咨询有限公司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住所：深圳市福田区华强北路赛格科技园4栋10层1006#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办公地址：北京市西城区金融大街35号国际企业大厦C座9层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电话：（010）58325395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传真：（010）58325282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联系人：刘宝文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客户服务电话：400-850-7771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网址：http://8.jrj.com.cn/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（53）深圳众禄基金销售股份有限公司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办公地址：深圳市罗湖区梨园路物资控股置地大厦8楼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法定代表人：薛峰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电话：（0755）33227953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传真：（0755）33227951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联系人：汤素娅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客户服务电话：4006-788-887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网址：www.zlfund.cn，www.jjmmw.com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（54）腾安基金销售（深圳）有限公司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办公地址：深圳市南山区海天二路33号腾讯滨海大厦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法定代表人：刘明军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联系人：谭广峰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客户服务电话：95017（拨通后转1转8）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网址：http://www.tenganxinxi.com/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（55）万家财富基金销售（天津）有限公司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住所：天津自贸区（中心商务区）迎宾大道1988号滨海浙商大厦公寓2-2413室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办公地址：北京市西城区丰盛胡同28号太平洋保险大厦A座5层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法定代表人：张军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电话：（010）59013825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传真：（010）59013828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联系人：王茜蕊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客户服务电话：010-59013895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网址：http://www.wanjiawealth.com/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（56）玄元保险代理有限公司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办公地址：中国(上海)自由贸易试验区张杨路707号1105室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法定代表人：马永谙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传真：（021）50701053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客户服务电话：400-080-8208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网址：www.licaimofang.cn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（57）阳光人寿保险股份有限公司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住所：海南省三亚市迎宾路360-1号三亚阳光金融广场16层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办公地址：北京市朝阳区朝阳门外大街乙12号院1号昆泰国际大厦12层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法定代表人：李科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电话：（010）85632771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传真：（010）85632773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联系人：王超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客户服务电话：95510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网址：http://fund.sinosig.com/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（58）易方达财富管理基金销售（广州）有限公司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住所：广州市南沙区横沥镇期航二街2号101房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办公地址：广东省广州市天河区珠江东路30号广州银行大厦41楼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法定代表人：陈彤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电话：020-85102688-7498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联系人：吕晋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客户服务电话：4001608888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网址：www.efundcf.com.cn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（59）奕丰基金销售有限公司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办公地址：深圳市南山区海德三道航天科技广场A座17楼1704室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法定代表人：TEO WEE HOWE</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电话：（0755）89460500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传真：（0755）21674453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联系人：叶健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客户服务电话：400-684-0500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网址：www.ifastps.com.cn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（60）宜信普泽（北京）基金销售有限公司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办公地址：北京市朝阳区建国路乙118号12层01D、02A—02F、03A—03C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法定代表人：汤蕾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电话：010-5090-5707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联系人：蒋凯帆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客户服务电话：400-6099-200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网址：http://www.puzefund.com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（61）浙江同花顺基金销售有限公司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住所：浙江省杭州市文二西路1号元茂大厦903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办公地址：浙江杭州余杭区五常街道同顺街18号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电话：（0571）88911818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传真：（0571）86800423</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联系人：吴强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客户服务电话：952555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网址：https://fund.10jqka.com.cn/</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（62）中国人寿保险股份有限公司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住所：中国北京市西城区金融大街16号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办公地址：北京市西城区金融大街16号中国人寿广场A座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法定代表人：王滨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客户服务电话：95519</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网址： www.e-chinalife.com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（63）中信期货有限公司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住所：深圳市福田区中心三路8号卓越时代广场（二期）北座13层1301-1305室、14层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办公地址：深圳市福田区中心三路8号卓越时代广场（二期）北座13层1301-1305室、14层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法定代表人：张皓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电话：010-60833754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传真：021-60819988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联系人：刘宏莹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客服电话：400-990-8826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 网站：www.citicsf.com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（64）珠海盈米基金销售有限公司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住所：珠海市横琴新区宝华路6号105室-3491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办公地址：广州市海珠区琶洲大道东1号保利国际广场南塔12楼B1201-1203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法定代表人：肖雯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电话：（020）89629099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传真：（020）89629011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xml:space="preserve">联系人：黄敏嫦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客户服务电话：（020）89629066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网址：www.yingmi.com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名称：中国证券登记结算有限责任公司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办公地址：北京市西城区太平桥大街17号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法定代表人：于文强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电话：（010）50938782</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传真：（010）50938907</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联系人：赵亦清</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名称：上海市通力律师事务所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住所：上海市银城中路68号时代金融中心19楼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办公地址：上海市银城中路68号时代金融中心18-20楼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负责人：陈臻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电话：（021）31358666</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传真：（021）31358600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联系人：丁媛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经办律师：黎明、丁媛</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名称：安永华明会计师事务所（特殊普通合伙）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办公地址：北京市东城区东长安街1号东方广场安永大楼17层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执行事务合伙人：毛鞍宁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电话：（010）58153000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传真：（010）85188298</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联系人：蒋燕华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经办注册会计师：蒋燕华、费泽旭</w:t>
      </w:r>
    </w:p>
    <w:p>
      <w:pPr>
        <w:pStyle w:val="Heading1"/>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5"/>
      <w:bookmarkEnd w:id="1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本基金由基金管理人依照《基金法》、《运作办法》、《销售办法》、基金合同及其他有关规定，并经中国证监会2024年12月11日证监许可【2024】1804号文准予募集注册。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本基金为契约型开放式股票型基金。基金存续期间为不定期。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本基金募集期间基金份额净值为人民币1.00元，按初始面值发售。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本基金2025年2月10日至2025年2月21日进行发售，本基金设立募集期共募集572,924,263.63份基金份额，有效认购户数为14,416户。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注册并成立追踪同一标的指数的交易型开放式指数基金（ETF），本基金可变更为该ETF的联接基金。该联接基金将其绝大部分基金财产投资于跟踪同一标的指数的ETF，紧密跟踪标的指数表现，追求跟踪偏离度和跟踪误差的最小化。该联接基金具体投资范围及比例等将依据届时有效的法律法规或监管机构要求确定。以上变更需经基金管理人和基金托管人协商一致后修改基金合同，但不需召开基金份额持有人大会审议。</w:t>
      </w:r>
    </w:p>
    <w:p>
      <w:pPr>
        <w:pStyle w:val="Heading1"/>
        <w:snapToGrid w:val="0"/>
        <w:spacing w:before="240" w:beforeLines="0" w:after="0"/>
        <w:rPr>
          <w:rFonts w:ascii="宋体" w:hAnsi="宋体"/>
          <w:szCs w:val="30"/>
        </w:rPr>
      </w:pPr>
      <w:r>
        <w:br w:type="page"/>
      </w:r>
      <w:bookmarkStart w:id="16" w:name="_Toc256000007"/>
      <w:bookmarkStart w:id="17" w:name="_Toc256000034"/>
      <w:r>
        <w:rPr>
          <w:rFonts w:ascii="宋体" w:hAnsi="宋体"/>
          <w:sz w:val="30"/>
        </w:rPr>
        <w:t>七、基金合同的生效</w:t>
      </w:r>
      <w:bookmarkEnd w:id="17"/>
      <w:bookmarkEnd w:id="1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根据有关规定，本基金满足基金合同生效条件，基金合同已于2025年2月26日正式生效。自基金合同生效之日起，本基金管理人正式开始管理本基金。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法律法规或中国证监会另有规定时，从其规定。</w:t>
      </w:r>
    </w:p>
    <w:p>
      <w:pPr>
        <w:pStyle w:val="Heading1"/>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9"/>
      <w:bookmarkEnd w:id="1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（一）申购和赎回的场所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投资人可通过下述场所按照规定的方式进行申购或赎回：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1、本基金管理人的直销机构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住所：中国(上海)自由贸易试验区银城中路188号交通银行大楼二层（裙）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电话：（021）61055724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传真：（021）61055054</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联系人：傅鲸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客户服务电话：400-700-5000（免长途话费），（021）61055000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个人投资者可以通过基金管理人网上直销交易平台办理开户、本基金的申购、赎回、转换、定期定额投资等业务，具体交易细则请参阅基金管理人网站。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网上直销交易平台网址：www.fund001.com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2、除基金管理人之外的其他销售机构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本基金除基金管理人之外的其他销售机构参见本招募说明书“五、相关服务机构”章节或拨打基金管理人客户服务电话进行咨询。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投资人应当通过上述销售机构办理基金申购、赎回业务的营业场所或按上述销售机构提供的其他方式进行申购或赎回。本基金管理人可根据情况变更或增减基金销售机构，并在基金管理人网站公示。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（二）申购和赎回的开放日及时间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1、开放日及开放时间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2、申购、赎回开始日及业务办理时间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本基金已于2025年4月16日起开放申购、赎回业务。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（三）申购与赎回的原则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2、“金额申购、份额赎回”原则，即申购以金额申请，赎回以份额申请；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3、当日的申购与赎回申请可以在基金管理人规定的时间以内撤销，但申请经登记机构受理的不得撤销；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（四）申购和赎回的数额限定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1、申购金额的限制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2、赎回份额的限制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3、最低基金份额余额的限制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个工作日投资人在单个基金交易账户保留的本基金基金份额余额少于1份时，若当日该账户同时有基金份额减少类业务（如赎回、转换出等）被确认，则基金管理人有权将投资人在该账户保留的本基金基金份额一次性全部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4、基金管理人可以规定本基金的总规模上限、单个投资人累计持有的基金份额上限，具体规定请参见相关公告。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（五）申购和赎回的程序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1、申购和赎回的申请方式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2、申购和赎回的款项支付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3、申购和赎回申请的确认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4、申购和赎回的登记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（六）基金的申购费和赎回费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本基金基金份额分为A类基金份额和C类基金份额，投资人申购A类基金份额在申购时支付申购费用；申购C类基金份额不支付申购费用、从该类别基金资产中计提销售服务费。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A类基金份额的申购费用由A类基金份额申购人承担，不列入基金财产，主要用于本基金的市场推广、销售、登记结算等各项费用。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投资人可以多次申购本基金，A类基金份额的申购费用按每笔A类基金份额的申购申请单独计算。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本基金A类基金份额（非养老金客户）的申购费率如下：</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100万元以上（含100万元）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本基金对通过基金管理人直销柜台申购A类基金份额的养老金客户实施特定申购费率。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1）全国社会保障基金；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2）可以投资基金的地方社会保障基金；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3）企业年金单一计划以及集合计划；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4）企业年金理事会委托的特定客户资产管理计划；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5）企业年金养老金产品。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通过基金管理人直销柜台申购本基金A类基金份额的养老金客户特定申购费率如下表：</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申购费率</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A类基金份额特定申购费率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vMerge/>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100万元以上（含100万元）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赎回A类基金份额或C类基金份额收取赎回费用，该费用随基金份额的持有时间增加而递减。本基金A类基金份额和C类基金份额的赎回费用由赎回该类基金份额的基金份额持有人承担，在基金份额持有人赎回基金份额时收取。对于持续持有期间少于7日的投资者收取的赎回费全额计入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本基金A类基金份额、C类基金份额适用相同费率，具体的赎回费率如下：</w:t>
      </w:r>
    </w:p>
    <w:tbl>
      <w:tblPr>
        <w:tblW w:w="5000" w:type="pct"/>
        <w:tblInd w:w="0" w:type="dxa"/>
        <w:tblLayout w:type="fixed"/>
        <w:tblCellMar>
          <w:top w:w="0" w:type="dxa"/>
          <w:left w:w="0" w:type="dxa"/>
          <w:bottom w:w="0" w:type="dxa"/>
          <w:right w:w="0" w:type="dxa"/>
        </w:tblCellMar>
        <w:tblLook w:val="0000"/>
      </w:tblPr>
      <w:tblGrid>
        <w:gridCol w:w="4335"/>
        <w:gridCol w:w="433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7日以上（含）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（七）申购和赎回的数额和价格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1、申购和赎回数额、余额的处理方式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A类基金份额或C类基金份额的有效份额为净申购金额除以当日该类基金份额的基金份额净值，有效份额单位为份，申购份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A类基金份额或C类基金份额的赎回金额为按实际确认的有效赎回份额乘以当日该类基金份额的基金份额净值并扣除相应的费用，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2、申购份额的计算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本基金采用金额申购的方式。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净申购金额=申购总金额/（1+申购费率）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申购费用=申购总金额-净申购金额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（注：对于适用固定金额申购费用的申购，申购费用＝固定申购费用金额）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申购份额=净申购金额/ T日A类基金份额净值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例一：某投资者（非养老金客户）投资100,000.00元申购本基金的A类基金份额，假设申购当日A类基金份额净值为1.0400元，申购费率为1.0%，则其可得到的申购份额为：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净申购金额=100,000.00/（1+1.0%）=99,009.90元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申购费用=100,000.00-99,009.90=990.10元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申购份额=99,009.90/1.0400=95,201.83份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即：该投资者（非养老金客户）投资100,000.00元申购本基金A类基金份额，假设申购当日A类基金份额净值为1.0400元，则其可得到95,201.83份A类基金份额。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例二：某养老金客户投资1,000,000.00元通过基金管理人的直销柜台申购本基金的A类基金份额，假设申购当日A类基金份额净值为1.0400元，申购费用为1,000.00元，则其可得到的申购份额为：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净申购金额=1,000,000.00-1,000.00=999,000.00元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申购费用=1,000.00元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 999,000.00/1.0400= 960,576.92份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即：该养老金客户投资1,000,000.00元通过基金管理人的直销柜台申购本基金的A类基金份额，假设申购当日A类基金份额净值为1.0400元，则其可得到960,576.92份A类基金份额。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如果投资者选择申购C类基金份额，则申购份额的计算方法如下：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申购总金额=申请总金额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申购份额=申购总金额/T日C类基金份额净值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例三：某投资者投资100,000.00元申购本基金的C类基金份额，假设申购当日C类基金份额净值为1.0400元，则其可得到的申购份额为：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申购总金额=100,000.00元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申购份额＝100,000.00/1.0400＝96,153.85份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即：投资者投资100,000.00元申购本基金的C类基金份额，假设申购当日C类基金份额净值为1.0400元，则其可得到96,153.85份C类基金份额。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3、赎回金额的计算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本基金采用“份额赎回”的方式。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（1）A类基金份额的赎回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如果投资者赎回A类基金份额，则赎回金额的计算方法如下：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赎回费用=赎回份额×T日A类基金份额净值×赎回费率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赎回金额=赎回份额×T日A类基金份额净值-赎回费用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例四：某投资者赎回100,000.00份A类基金份额，持有期限为6日，对应的赎回费率为1.5%，假设赎回当日A类基金份额净值是1.0160元，则其可得到的赎回金额为：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赎回费用=100,000.00×1.0160×1.5%＝1,524.00元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赎回金额=100,000.00×1.0160-1,524.00＝100,076.00元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即：该投资者赎回100,000.00份A类基金份额，持有期限为6日，对应的赎回费率为1.5%，假设赎回当日A类基金份额净值是1.0160元，则其可得到的赎回金额为100,076.00元。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（2）C类基金份额的赎回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如果投资者赎回C类基金份额，赎回金额的计算方法如下：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赎回费用=赎回份额×T日C类基金份额净值×赎回费率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赎回金额=赎回份额×T日C类基金份额净值-赎回费用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例五：某投资者赎回100,000.00份C类基金份额，持有期限为6日，对应的赎回费率为1.5%，假设赎回当日C类基金份额净值是1.0160元，则其可得到的赎回金额为：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赎回费用=100,000.00×1.0160×1.5%＝1,524.00元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赎回金额=100,000.00×1.0160-1,524.00＝100,076.00元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即：该投资者赎回100,000.00份C类基金份额，持有期限为6日，对应的赎回费率为1.5%，假设赎回当日C类基金份额净值是1.0160元，则其可得到的赎回金额为100,076.00元。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T日的基金份额净值在当天收市后计算，并在T+1日（包括该日）内公告。遇特殊情况，经履行适当程序，可以适当延迟计算或公告。本基金A类基金份额和C类基金份额的基金份额净值的计算，均保留到小数点后4位，小数点后第5位四舍五入，由此产生的收益或损失由基金财产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（八）拒绝或暂停申购的情形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发生下列情况时，基金管理人可拒绝或暂停接受投资人的申购申请：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1、因不可抗力导致基金无法正常运作。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4、接受某笔或某些申购申请可能会影响或损害现有基金份额持有人利益时。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6、基金销售机构、基金销售支付结算机构或登记机构的异常情况导致基金销售系统、基金销售支付结算系统、基金注册登记系统或基金会计系统无法正常运行。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第1、2、3、5、6、7、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（九）暂停赎回或延缓支付赎回款项的情形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1、因不可抗力导致基金管理人不能支付赎回款项。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4、连续两个或两个以上开放日发生巨额赎回。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7、法律法规规定、中国证监会认定或基金合同约定的其他情形。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（十）巨额赎回的情形及处理方式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1、巨额赎回的认定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2、巨额赎回的处理方式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当发生上述巨额赎回并延期办理时，基金管理人应当通过邮寄、传真、刊登公告或者通知销售机构代为告知等方式在3个交易日内通知基金份额持有人，说明有关处理方法，并在2日内在规定媒介上刊登公告。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（十一）暂停申购或赎回的公告和重新开放申购或赎回的公告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2、如发生暂停的时间为1日，基金管理人应于重新开放日，在规定媒介上刊登基金重新开放申购或赎回公告，并公布最近1个开放日的各类基金份额的基金份额净值。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（十二）基金的非交易过户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（十三）基金的转托管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（十四）定期定额投资计划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本基金2025年4月14日刊登公告自2025年4月16日起开通定期定额投资计划业务，具体开通销售机构名单和业务规则参见相关公告。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（十五）基金份额的冻结和解冻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（十六）基金份额的转让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（十七）实施侧袋机制期间本基金的申购与赎回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本基金实施侧袋机制的，本基金的申购和赎回安排详见本招募说明书“侧袋机制”部分的规定或相关公告。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（十八）其他业务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Heading1"/>
        <w:snapToGrid w:val="0"/>
        <w:spacing w:before="240" w:beforeLines="0" w:after="0"/>
        <w:rPr>
          <w:rFonts w:ascii="宋体" w:hAnsi="宋体"/>
          <w:szCs w:val="30"/>
        </w:rPr>
      </w:pPr>
      <w:r>
        <w:br w:type="page"/>
      </w:r>
      <w:bookmarkStart w:id="20" w:name="_Toc256000009"/>
      <w:bookmarkStart w:id="21" w:name="_Toc256000036"/>
      <w:r>
        <w:rPr>
          <w:rFonts w:ascii="宋体" w:hAnsi="宋体"/>
          <w:sz w:val="30"/>
        </w:rPr>
        <w:t>九、基金的转换</w:t>
      </w:r>
      <w:bookmarkEnd w:id="21"/>
      <w:bookmarkEnd w:id="2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（二）转换业务办理时间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本基金2025年4月14日刊登公告自2025年4月16日起开放日常转换业务。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本基金转换业务具体开通销售机构名单参见相关公告。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（三）基金转换的程序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1、申请方式：书面申请或销售机构公布的其他方式。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2、基金转换申请的确认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3、基金转换的注册登记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（四）基金转换的数额限制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2、转出基金的赎回费用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4、后端收费模式下转出与转入基金的申购补差费用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5、网上直销的申购补差费率优惠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（六）基金转换份额的计算公式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1、前端收费模式下基金转换份额的计算公式及举例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转出确认金额=100,000×1.0100=101,000元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转出基金的赎回费=101,000×0.5%=505元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转入确认金额=101,000-505=100,495元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转出与转入基金的申购补差费=100,495×0/（1+0）=0元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转入基金确认份额=（100,495-0）/2.2700=44,270.93份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转出确认金额=1,000,000×1.0200=1,020,000元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转出基金的赎回费=1,020,000×0.05%=510元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转入确认金额=1,020,000-510=1,019,490元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转出与转入基金的申购补差费=1,019,490×0.5%/（1+0.5%）=5,072.09元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转入基金确认份额=（1,019,490-5,072.09）/1.0100=1,004,374.17份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转出与转入基金的申购补差费=125,000×1.5%/（1+1.5%）=1,847.29元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转入基金确认份额=（125,000-1,847.29）/2.2700=54,252.30份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转出与转入基金的申购补差费=100,000×0.8%/（1+0.8%）=793.65元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转入基金确认份额=（100,000-793.65+61.52）/1.2700=78,163.68份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2、后端收费模式下基金转换份额的计算公式及举例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转出确认金额=转出的基金份额×转换申请当日转出基金的基金份额净值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转出基金的赎回费=转出确认金额×对应的转出基金的赎回费率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转入确认金额=转出确认金额-转出基金的赎回费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其中：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转入基金确认份额=（124,750-0）/2.2700=54,955.95份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转出确认金额=100,000×1.2500=125,000元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转出基金的赎回费=125,000×0.2%=250元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转入确认金额=125,000-250=124,750元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转出与转入基金的申购补差费=124,750×1.2%=1497元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转入基金确认份额=（124,750-1497）/1.00=123,253.00份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转出确认金额=100,000×0.8500=85,000元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转出基金的赎回费=85,000×0=0元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转入确认金额=85,000-0=85,000元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转出与转入基金的申购补差费=85,000×0.2%=170元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转入基金确认份额=（85,000-170）/1.0500=80,790.48份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例八：某投资者持有交银货币A类基金份额100,000份，该100,000份基金份额未结转的待支付收益为61.52元，转换申请当日交银增利B类基金份额净值为1.2700元，交银货币的基金份额净值为1.00元。若该投资者将100,000份交银货币A类基金份额转换为交银增利B类基金份额，则转入确认的交银增利B类基金份额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转出确认金额=100,000×1.00=100,000元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转出基金的赎回费=0元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转入确认金额=100,000-0=100,000元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转出与转入基金的申购补差费=100,000×0=0元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转入基金确认份额=（100,000-0+61.52）/1.2700=78,788.60份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（八）暂停基金转换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Heading1"/>
        <w:snapToGrid w:val="0"/>
        <w:spacing w:before="240" w:beforeLines="0" w:after="0"/>
        <w:rPr>
          <w:rFonts w:ascii="宋体" w:hAnsi="宋体"/>
          <w:szCs w:val="30"/>
        </w:rPr>
      </w:pPr>
      <w:r>
        <w:br w:type="page"/>
      </w:r>
      <w:bookmarkStart w:id="22" w:name="_Toc256000010"/>
      <w:bookmarkStart w:id="23" w:name="_Toc256000037"/>
      <w:r>
        <w:rPr>
          <w:rFonts w:ascii="宋体" w:hAnsi="宋体"/>
          <w:sz w:val="30"/>
        </w:rPr>
        <w:t>十、基金的投资</w:t>
      </w:r>
      <w:bookmarkEnd w:id="23"/>
      <w:bookmarkEnd w:id="22"/>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本基金采用指数化投资策略，紧密跟踪上证科创板100指数，追求跟踪偏离度与跟踪误差最小化。</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上证科创板100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本基金可根据法律法规的规定参与融资及转融通证券出借业务。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本基金投资于上证科创板100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1、股票投资策略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（1）组合复制策略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本基金主要采取完全复制法，即按照标的指数成份股及其权重构建基金的股票投资组合，并根据标的指数成份股及其权重的变动对股票投资组合进行相应地调整。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（2）替代性策略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出现市场流动性不足、因法律法规原因个别成份股被限制投资等情况，导致本基金无法获得足够数量的股票时，或出于其他基金管理人认定不适合投资的股票或可能严重限制本基金跟踪标的指数的合理原因，基金管理人将通过投资成份股、非成份股等进行替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2、债券投资策略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本基金将以降低跟踪误差和流动性管理为目的，综合考虑流动性和收益性，适当参与债券投资。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3、股指期货投资策略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本基金投资股指期货将根据风险管理的原则，以套期保值为目的，主要选择流动性好、交易活跃的股指期货合约，以降低股票仓位调整的交易成本，提高投资效率，从而更好地跟踪标的指数，实现投资目标。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4、资产支持证券投资策略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健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5、存托凭证投资策略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本基金投资存托凭证的策略依照境内上市交易的股票投资策略执行。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6、融资、转融通证券出借业务投资策略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将在条件允许的情况下，本着谨慎原则，适度参与融资、转融通证券出借业务。本基金在参与融资业务时，将通过对市场环境、利率水平、基金规模以及基金申购赎回情况等因素的研究和判断，决定融资规模。本基金管理人将充分考虑融资业务的收益性、流动性及风险性特征，谨慎进行投资。为了更好地实现投资目标，在加强风险防范并遵守审慎原则的前提下，本基金可根据投资管理需要参与转融通证券出借业务。本基金将在分析市场情况、投资者类型与结构、基金历史申购赎回情况、出借证券流动性情况等因素的基础上，合理确定出借证券的范围、期限和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未来，随着投资工具的发展和丰富，基金管理人可以在不改变投资目标的前提下，在履行适当程序后相应调整和更新相关投资策略，并在招募说明书中更新。</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1、组合限制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基金的投资组合应遵循以下限制：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（1）本基金投资于上证科创板100指数成份股（含存托凭证）及备选成份股（含存托凭证）的比例不低于基金资产净值的90%且不低于非现金基金资产的80%；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（13）本基金参与融资业务后，每个交易日日终，本基金持有的融资买入股票与其他有价证券市值之和，不得超过基金资产净值的95%；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（14）本基金参与转融通证券出借业务，需遵守下列投资限制：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1）出借证券资产不得超过基金资产净值的30%，出借期限在10个交易日以上的出借证券应纳入《流动性风险管理规定》所述流动性受限证券的范围；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2）参与出借业务的单只证券不得超过本基金持有该证券总量的50%；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3）最近6个月内日均基金资产净值不得低于2亿元；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4）证券出借的平均剩余期限不得超过30天，平均剩余期限按照市值加权平均计算；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因证券市场波动、上市公司合并、基金规模变动等基金管理人之外的因素致使基金投资不符合上述规定的，基金管理人不得新增出借业务；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7）、（9）、（10）、（14）情形之外，因证券、期货市场波动、证券发行人合并、基金规模变动、标的指数成份股调整、标的指数成份股流动性限制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法律法规或监管部门取消或变更上述限制，如适用于本基金，基金管理人在履行适当程序后，则本基金投资不再受相关限制或以变更后的规定为准。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2、禁止行为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为维护基金份额持有人的合法权益，基金财产不得用于下列投资或者活动：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（1）承销证券；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（2）违反规定向他人贷款或者提供担保；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（3）从事承担无限责任的投资；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（4）买卖其他基金份额，但是中国证监会另有规定的除外；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（5）向其基金管理人、基金托管人出资；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（6）从事内幕交易、操纵证券交易价格及其他不正当的证券交易活动；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（7）法律、行政法规和中国证监会规定禁止的其他活动。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如法律、行政法规或监管部门取消或变更上述规定，如适用于本基金，基金管理人在履行适当程序后，本基金可不受上述规定的限制或以变更后的规定为准。</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本基金业绩比较基准：上证科创板100指数收益率×95%＋人民币银行活期存款利率（税后）×5%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未来若出现标的指数不符合要求（不包括因成份股价格波动等指数编制方法变动之外的因素致使标的指数不符合要求的情形）、指数编制机构退出等情形，基金管理人应当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基金合同终止。但若标的指数变更对基金投资无实质性影响（包括但不限于编制机构名称变更、指数更名等），则经基金管理人与基金托管人协商一致并按照监管部门要求履行适当程序后在规定媒介上刊登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本基金运作过程中，当标的指数成份股发生明显负面事件面临退市风险，且指数编制机构暂未作出调整的，基金管理人应当按照持有人利益优先的原则，履行内部决策程序后及时对相关成份股进行调整。</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本基金是一只股票型基金，其预期风险和预期收益理论上高于混合型基金、债券型基金和货币市场基金。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本基金为指数型基金，主要采用完全复制法跟踪上证科创板100指数，具有与标的指数相似的风险收益特征。</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2、不谋求对上市公司的控股；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3、有利于基金财产的安全与增值；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（八）侧袋机制的实施和投资运作安排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Pr>
          <w:rFonts w:ascii="宋体" w:hAnsi="宋体"/>
          <w:b/>
          <w:sz w:val="24"/>
        </w:rPr>
        <w:t>（九）基金投资组合报告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基金托管人中国农业银行股份有限公司根据本基金合同约定，于2026年07月17日复核了本报告中的财务指标、净值表现和投资组合报告等内容，保证复核内容不存在虚假记载、误导性陈述或者重大遗漏。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本报告期自2026年04月01日起至2026年06月30日止。本报告中财务资料未经审计。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1、报告期末基金资产组合情况</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212,028,495.85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91.59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212,028,495.85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91.59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173,007.77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173,007.77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16,007,415.34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6.91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3,289,101.99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231,498,020.95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2、报告期末按行业分类的股票投资组合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 报告期末指数投资按行业分类的境内股票投资组合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184,573,222.78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81.20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26,081,403.55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11.47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1,193,424.18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211,848,050.51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93.19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 报告期末积极投资按行业分类的境内股票投资组合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180,445.34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 </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180,445.34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 报告期末按行业分类的港股通投资股票投资组合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3、期末按公允价值占基金资产净值比例大小排序的股票投资明细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3.1 报告期末指数投资按公允价值占基金资产净值比例大小排序的前十名股票投资明细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688766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普冉股份</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10,502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8,050,833.20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3.54</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华峰测控</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14,297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7,507,354.70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688037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芯源微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16,371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7,187,687.55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688019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安集科技</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18,532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6,290,872.72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2.77</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688313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仕佳光子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32,113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5,929,665.45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睿创微纳</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38,159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5,902,815.71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688409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富创精密</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18,709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5,729,631.25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688146</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中船特气</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15,982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5,593,540.18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688017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绿的谐波</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13,025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5,442,626.50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688627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精智达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7,578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5,418,270.00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2.38</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3.2 报告期末积极投资按公允价值占基金资产净值比例大小排序的前五名股票投资明细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联讯仪器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52,282.89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C臻宝</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33,275.57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盛合晶微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28,015.02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688635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长进光子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23,730.63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恒运昌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13,431.35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4、报告期末按债券品种分类的债券投资组合</w:t>
      </w:r>
    </w:p>
    <w:tbl>
      <w:tblPr>
        <w:tblW w:w="5000" w:type="pct"/>
        <w:tblInd w:w="0" w:type="dxa"/>
        <w:tblLayout w:type="fixed"/>
        <w:tblCellMar>
          <w:top w:w="0" w:type="dxa"/>
          <w:left w:w="0" w:type="dxa"/>
          <w:bottom w:w="0" w:type="dxa"/>
          <w:right w:w="0" w:type="dxa"/>
        </w:tblCellMar>
        <w:tblLook w:val="0000"/>
      </w:tblPr>
      <w:tblGrid>
        <w:gridCol w:w="2167"/>
        <w:gridCol w:w="2167"/>
        <w:gridCol w:w="2168"/>
        <w:gridCol w:w="2168"/>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173,007.77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173,007.77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0.08</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5、报告期末按公允价值占基金资产净值比例大小排序的前五名债券投资明细</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118070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南芯转债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120,006.84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118071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华峰转债</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53,000.93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8、报告期末按公允价值占基金资产净值比例大小排序的前五名权证投资明细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9、报告期末本基金投资的股指期货交易情况说明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9.1 报告期末本基金投资的股指期货持仓和损益明细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9.2 本基金投资股指期货的投资政策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10、报告期末本基金投资的国债期货交易情况说明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10.1 本期国债期货投资政策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10.2 报告期末本基金投资的国债期货持仓和损益明细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10.3 本期国债期货投资评价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11、投资组合报告附注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11.2 基金投资的前十名股票是否超出基金合同约定的备选股票库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基金投资的前十名股票中，没有超出基金合同约定的备选股票库之外的股票。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11.3 其他资产构成</w:t>
      </w:r>
    </w:p>
    <w:tbl>
      <w:tblPr>
        <w:tblW w:w="5000" w:type="pct"/>
        <w:tblInd w:w="0" w:type="dxa"/>
        <w:tblLayout w:type="fixed"/>
        <w:tblCellMar>
          <w:top w:w="0" w:type="dxa"/>
          <w:left w:w="0" w:type="dxa"/>
          <w:bottom w:w="0" w:type="dxa"/>
          <w:right w:w="0" w:type="dxa"/>
        </w:tblCellMar>
        <w:tblLook w:val="0000"/>
      </w:tblPr>
      <w:tblGrid>
        <w:gridCol w:w="2890"/>
        <w:gridCol w:w="2890"/>
        <w:gridCol w:w="2890"/>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22,944.00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3,266,157.99</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3,289,101.99</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11.4 报告期末持有的处于转股期的可转换债券明细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11.5 报告期末股票中存在流通受限情况的说明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报告期末指数投资前十名股票中存在流通受限情况的说明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报告期末积极投资前五名股票中存在流通受限情况的说明</w:t>
      </w:r>
    </w:p>
    <w:tbl>
      <w:tblPr>
        <w:tblW w:w="5000" w:type="pct"/>
        <w:tblInd w:w="0" w:type="dxa"/>
        <w:tblLayout w:type="fixed"/>
        <w:tblCellMar>
          <w:top w:w="0" w:type="dxa"/>
          <w:left w:w="0" w:type="dxa"/>
          <w:bottom w:w="0" w:type="dxa"/>
          <w:right w:w="0" w:type="dxa"/>
        </w:tblCellMar>
        <w:tblLook w:val="0000"/>
      </w:tblPr>
      <w:tblGrid>
        <w:gridCol w:w="1445"/>
        <w:gridCol w:w="1445"/>
        <w:gridCol w:w="1445"/>
        <w:gridCol w:w="1445"/>
        <w:gridCol w:w="1445"/>
        <w:gridCol w:w="1445"/>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流通受限部分的公允价值（元）</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流通受限情况</w:t>
            </w:r>
            <w:r>
              <w:rPr>
                <w:rFonts w:ascii="宋体" w:hAnsi="宋体"/>
                <w:color w:val="000000"/>
                <w:kern w:val="0"/>
                <w:sz w:val="24"/>
                <w:szCs w:val="24"/>
              </w:rPr>
              <w:br/>
              <w:t>说明</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688808</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联讯仪器</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52,282.89</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688797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C臻宝</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33,275.57</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688820</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盛合晶微</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28,015.02</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688635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长进光子</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23,730.63</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688785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恒运昌</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13,431.35</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11.6 投资组合报告附注的其他文字描述部分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由于四舍五入的原因，分项之和与合计项之间可能存在尾差。</w:t>
      </w:r>
    </w:p>
    <w:p>
      <w:pPr>
        <w:pStyle w:val="Heading1"/>
        <w:snapToGrid w:val="0"/>
        <w:spacing w:before="240" w:beforeLines="0" w:after="0"/>
        <w:rPr>
          <w:rFonts w:ascii="宋体" w:hAnsi="宋体"/>
          <w:szCs w:val="30"/>
        </w:rPr>
      </w:pPr>
      <w:r>
        <w:br w:type="page"/>
      </w:r>
      <w:bookmarkStart w:id="24" w:name="_Toc256000011"/>
      <w:bookmarkStart w:id="25" w:name="_Toc256000038"/>
      <w:r>
        <w:rPr>
          <w:rFonts w:ascii="宋体" w:hAnsi="宋体"/>
          <w:sz w:val="30"/>
        </w:rPr>
        <w:t>十一、基金的业绩</w:t>
      </w:r>
      <w:bookmarkEnd w:id="25"/>
      <w:bookmarkEnd w:id="2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基金业绩截止日为2026年06月30日，所载财务数据未经审计。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1、基金份额净值增长率及其与同期业绩比较基准收益率的比较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（1）交银上证科创板100指数A</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56.78%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57.00%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-0.22%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57.98%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58.44%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-0.46%</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38.57%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31.27%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7.30%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（2）交银上证科创板100指数C</w:t>
      </w:r>
    </w:p>
    <w:tbl>
      <w:tblPr>
        <w:tblW w:w="5000" w:type="pct"/>
        <w:tblInd w:w="0" w:type="dxa"/>
        <w:tblLayout w:type="fixed"/>
        <w:tblCellMar>
          <w:top w:w="0" w:type="dxa"/>
          <w:left w:w="0" w:type="dxa"/>
          <w:bottom w:w="0" w:type="dxa"/>
          <w:right w:w="0" w:type="dxa"/>
        </w:tblCellMar>
        <w:tblLook w:val="0000"/>
      </w:tblPr>
      <w:tblGrid>
        <w:gridCol w:w="1238"/>
        <w:gridCol w:w="1238"/>
        <w:gridCol w:w="1238"/>
        <w:gridCol w:w="1239"/>
        <w:gridCol w:w="1239"/>
        <w:gridCol w:w="1239"/>
        <w:gridCol w:w="1239"/>
      </w:tblGrid>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阶段</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净值增长率①</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净值增长率标准差②</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①-③</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②-④</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过去三个月</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56.70%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57.00%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-0.30%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-0.05%</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2026年上半年</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57.82%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2.08%</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58.44%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2.14%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-0.62%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2025年度（自基金合同生效起至2025年12月31日）</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38.34%</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1.32%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31.27%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1.77%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7.07%</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-0.45%</w:t>
            </w:r>
          </w:p>
        </w:tc>
      </w:tr>
    </w:tbl>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注：本基金的业绩比较基准为上证科创板100指数收益率×95%＋人民币银行活期存款利率（税后）×5%，每日进行再平衡过程。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交银施罗德上证科创板100指数型证券投资基金</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份额累计净值增长率与业绩比较基准收益率的历史走势对比图</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(2025年02月26日至2026年06月30日)</w: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（1）交银上证科创板100指数A</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type="#_x0000_t75" style="height:268.27pt;width:439.5pt">
            <v:imagedata r:id="rId14" o:title=""/>
          </v:shape>
        </w:pict>
      </w:r>
    </w:p>
    <w:p>
      <w:pPr>
        <w:autoSpaceDE w:val="0"/>
        <w:autoSpaceDN w:val="0"/>
        <w:adjustRightInd w:val="0"/>
        <w:snapToGrid w:val="0"/>
        <w:spacing w:after="0" w:line="360" w:lineRule="auto"/>
        <w:ind w:firstLine="420" w:firstLineChars="200"/>
        <w:jc w:val="center"/>
        <w:rPr>
          <w:rFonts w:ascii="宋体" w:hAnsi="宋体"/>
          <w:szCs w:val="24"/>
        </w:rPr>
      </w:pPr>
      <w:r w:rsidRPr="00BB248E">
        <w:rPr>
          <w:rFonts w:ascii="宋体" w:hAnsi="宋体" w:hint="eastAsia"/>
          <w:kern w:val="0"/>
          <w:sz w:val="24"/>
        </w:rPr>
        <w:t>（2）交银上证科创板100指数C</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7" type="#_x0000_t75" style="height:268.27pt;width:439.5pt">
            <v:imagedata r:id="rId15" o:title=""/>
          </v:shape>
        </w:pic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本基金基金合同生效日为2025年2月26日，截至报告期期末，本基金已完成建仓但报告期期末距建仓结束未满一年。本基金建仓期为自基金合同生效日起的6个月。截至建仓期结束，本基金各项资产配置比例符合基金合同及招募说明书有关投资比例的约定。</w:t>
      </w:r>
    </w:p>
    <w:p>
      <w:pPr>
        <w:pStyle w:val="Heading1"/>
        <w:snapToGrid w:val="0"/>
        <w:spacing w:before="240" w:beforeLines="0" w:after="0"/>
        <w:rPr>
          <w:rFonts w:ascii="宋体" w:hAnsi="宋体"/>
          <w:szCs w:val="30"/>
        </w:rPr>
      </w:pPr>
      <w:r>
        <w:br w:type="page"/>
      </w:r>
      <w:bookmarkStart w:id="26" w:name="_Toc256000012"/>
      <w:bookmarkStart w:id="27" w:name="_Toc256000039"/>
      <w:r>
        <w:rPr>
          <w:rFonts w:ascii="宋体" w:hAnsi="宋体"/>
          <w:sz w:val="30"/>
        </w:rPr>
        <w:t>十二、基金的财产</w:t>
      </w:r>
      <w:bookmarkEnd w:id="27"/>
      <w:bookmarkEnd w:id="2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（一）基金资产总值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基金资产总值是指基金拥有的各类有价证券、股指期货合约、银行存款本息、基金应收款项及其他资产的价值总和。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（四）基金财产的保管和处分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Heading1"/>
        <w:snapToGrid w:val="0"/>
        <w:spacing w:before="240" w:beforeLines="0" w:after="0"/>
        <w:rPr>
          <w:rFonts w:ascii="宋体" w:hAnsi="宋体"/>
          <w:szCs w:val="30"/>
        </w:rPr>
      </w:pPr>
      <w:r>
        <w:br w:type="page"/>
      </w:r>
      <w:bookmarkStart w:id="28" w:name="_Toc256000013"/>
      <w:bookmarkStart w:id="29" w:name="_Toc256000040"/>
      <w:r>
        <w:rPr>
          <w:rFonts w:ascii="宋体" w:hAnsi="宋体"/>
          <w:sz w:val="30"/>
        </w:rPr>
        <w:t>十三、基金资产的估值</w:t>
      </w:r>
      <w:bookmarkEnd w:id="29"/>
      <w:bookmarkEnd w:id="2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（一）估值日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基金所拥有的股票、债券、资产支持证券、衍生工具和其他投资等持续以公允价值计量的金融资产及负债。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（三）估值原则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2、处于未上市期间的有价证券应区分如下情况处理：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（2）首次公开发行未上市的股票，采用估值技术确定公允价值；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3、对于已上市或已挂牌转让的不含权固定收益品种（另有规定的除外），选取第三方估值基准服务机构提供的相应品种当日的估值全价进行估值。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4、对于已上市或已挂牌转让的含权固定收益品种（另有规定的除外），选取第三方估值基准服务机构提供的相应品种当日的唯一估值全价或推荐估值全价进行估值。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6、对于未上市或未挂牌转让且不存在活跃市场的固定收益品种，采用在当前情况下适用并且有足够可利用数据和其他信息支持的估值技术确定其公允价值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8、同一证券同时在两个或两个以上市场交易的，按证券所处的市场分别估值。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11、基金参与融资和转融通证券出借业务的，应参照相关法律法规和中国证券投资基金业协会发布的相关规定进行估值。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13、当发生大额申购或赎回情形时，基金管理人可以采用摆动定价机制，以确保基金估值的公平性。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14、相关法律法规以及监管部门有强制规定的，从其规定。如有新增事项，按国家最新规定估值。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（五）估值程序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应每个工作日对基金资产估值，但基金管理人根据法律法规或基金合同的规定暂停估值时除外。基金管理人每个工作日对基金资产估值后，将基金资产净值、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（六）估值错误的处理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基金管理人和基金托管人将采取必要、适当、合理的措施确保基金资产估值的准确性、及时性。当基金份额净值小数点后4位以内（含第4位）发生估值错误时，视为基金份额净值错误。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基金合同的当事人应按照以下约定处理：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1、估值错误类型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2、估值错误处理原则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（4）估值错误调整采用尽量恢复至假设未发生估值错误的正确情形的方式。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（5）按法律法规规定的其他原则处理估值错误。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3、估值错误处理程序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估值错误被发现后，有关的当事人应当及时进行处理，处理的程序如下：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4、基金份额净值估值错误处理的方法如下：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（2）错误偏差达到该类基金份额净值的0.25%时，基金管理人应当通报基金托管人并报中国证监会备案；错误偏差达到该类基金份额净值的0.5%时，基金管理人应当公告，并报中国证监会备案。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（3）前述内容如法律法规或监管机关另有规定的，从其规定处理。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3、当特定资产占前一估值日基金资产净值 50%以上的，经与基金托管人协商确认后，基金管理人应当暂停估值；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4、法律法规、中国证监会和基金合同认定的其它情形。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（八）基金净值的确认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1、基金管理人或基金托管人按估值方法的第12项进行估值时，所造成的误差不作为基金资产估值错误处理。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期货经纪机构、登记结算公司、指数编制机构及存款银行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（十）实施侧袋机制期间的基金资产估值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本基金实施侧袋机制的，应根据本部分的约定对主袋账户资产进行估值并披露主袋账户的基金净值信息，暂停披露侧袋账户份额净值。</w:t>
      </w:r>
    </w:p>
    <w:p>
      <w:pPr>
        <w:pStyle w:val="Heading1"/>
        <w:snapToGrid w:val="0"/>
        <w:spacing w:before="240" w:beforeLines="0" w:after="0"/>
        <w:rPr>
          <w:rFonts w:ascii="宋体" w:hAnsi="宋体"/>
          <w:szCs w:val="30"/>
        </w:rPr>
      </w:pPr>
      <w:r>
        <w:br w:type="page"/>
      </w:r>
      <w:bookmarkStart w:id="30" w:name="_Toc256000014"/>
      <w:bookmarkStart w:id="31" w:name="_Toc256000041"/>
      <w:r>
        <w:rPr>
          <w:rFonts w:ascii="宋体" w:hAnsi="宋体"/>
          <w:sz w:val="30"/>
        </w:rPr>
        <w:t>十四、基金收益与分配</w:t>
      </w:r>
      <w:bookmarkEnd w:id="31"/>
      <w:bookmarkEnd w:id="3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（一）基金利润的构成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（二）基金可供分配利润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（三）基金收益分配原则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1、由于本基金A类基金份额不收取销售服务费，C类基金份额收取销售服务费，各基金份额类别对应的可供分配利润将有所不同；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2、基金管理人可每季度对基金相对业绩比较基准的超额收益率以及基金的可供分配利润进行评价，在符合收益分配相关规定的前提下，基金管理人可进行收益分配；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3、在符合有关基金分红条件的前提下，本基金可每季度进行收益分配，同时基金管理人可根据实际情况对本基金进行收益分配，具体分配方案以公告为准；若《基金合同》生效不满3个月可不进行收益分配；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5、本基金同一基金份额类别的每一基金份额享有同等分配权；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在不违反法律法规且对基金份额持有人利益无实质性不利影响的前提下，基金管理人履行适当程序后可对上述原则进行修改或调整。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（四）基金相对业绩比较基准的超额收益率计算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在评价日，基金管理人计算基金累计报酬率、业绩比较基准同期累计报酬率。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基金评价日本基金相对业绩比较基准的超额收益率＝基金累计报酬率－业绩比较基准同期累计报酬率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基金累计报酬率＝（评价日基金份额净值/基金合同生效日所对应的 3 个月月度对日的前一工作日基金份额净值－1）×100%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业绩比较基准同期累计报酬率＝（评价日业绩比较基准数值/基金合同生效日所对应的 3 个月月度对日的前一工作日业绩比较基准数值－1）×100%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3个月月度对日指某一特定日期在之后第3个月月度中的对应日期，若该日历月度中不存在对应日期，则取该月度最后一日。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如基金份额发生折算，则采用剔除折算因素的基金份额净值，详见届时基金管理人发布的相关公告。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（五）收益分配方案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（六）收益分配方案的确定、公告与实施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法律法规或监管机关另有规定的，从其规定。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（七）基金收益分配中发生的费用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（八）收益分配方式的修改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投资人可至销售机构办理收益分配方式的修改，投资人对本基金不同的基金交易账户可设置不同的收益分配方式。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投资人同一日多次申报收益分配方式变更的，按照《业务规则》执行，最终确认的收益分配方式以登记机构记录为准。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（九）实施侧袋机制期间的收益分配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本基金实施侧袋机制的，侧袋账户不进行收益分配。</w:t>
      </w:r>
    </w:p>
    <w:p>
      <w:pPr>
        <w:pStyle w:val="Heading1"/>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3"/>
      <w:bookmarkEnd w:id="3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（一）基金费用的种类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3、《基金合同》生效后与基金相关的信息披露费用；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4、《基金合同》生效后与基金相关的会计师费、律师费、仲裁费和诉讼费；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5、基金份额持有人大会费用；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6、基金的证券/期货交易费用；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7、基金的银行汇划费用；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8、基金的开户费用、账户维护费用；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9、本基金从C类基金份额的基金财产中计提的销售服务费；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10、按照国家有关规定和《基金合同》约定，可以在基金财产中列支的其他费用。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（二）基金费用计提方法、计提标准和支付方式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1、与基金运作有关的费用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本基金的管理费按前一日基金资产净值的0.5%年费率计提。管理费的计算方法如下：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H＝E×0.5%÷当年天数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费每日计提，逐日累计至每月月末，按月支付。由基金管理人根据双方核对一致的数据向基金托管人发送基金管理费划付指令，基金托管人于次月首日起5个工作日内从基金财产中一次性支付给基金管理人。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本基金的托管费按前一日基金资产净值的0.1%年费率计提。托管费的计算方法如下：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H＝E×0.1%÷当年天数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H为每日应计提的基金托管费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E为前一日的基金资产净值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费每日计提，逐日累计至每月月末，按月支付。由基金管理人根据双方核对一致的数据向基金托管人发送基金托管费划付指令，基金托管人于次月首日起5个工作日内从基金财产中一次性支付给基金托管人。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（3）C类基金份额的销售服务费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本基金A类基金份额不收取销售服务费，C类基金份额的销售服务费按前一日C类基金份额的基金资产净值的0.2%年费率计提。销售服务费的计算方法如下：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H＝E×0.2%÷当年天数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H为C类基金份额每日应计提的销售服务费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E为C类基金份额前一日基金资产净值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的销售服务费每日计提，逐日累计至每月月末，按月支付。由基金管理人根据双方核对一致的数据向基金托管人发送销售服务费划付指令，基金托管人于次月首日起5个工作日内从基金财产中一次性支付给基金管理人，由基金管理人代付给销售机构。若遇法定节假日、休息日或不可抗力致使无法按时支付的，顺延至最近可支付日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（4）上述“（一）基金费用的种类”中第3－8项、第10项费用，根据有关法规及相应协议规定，按费用实际支出金额列入当期费用，由基金托管人从基金财产中支付。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2、与基金销售有关的费用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（1）申购费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（2）赎回费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（三）不列入基金费用的项目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下列费用不列入基金费用：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2、基金管理人和基金托管人处理与基金运作无关的事项发生的费用；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3、《基金合同》生效前的相关费用；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4、标的指数许可使用费（由基金管理人承担）；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5、其他根据相关法律法规及中国证监会的有关规定不得列入基金费用的项目。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（五）基金税收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Heading1"/>
        <w:snapToGrid w:val="0"/>
        <w:spacing w:before="240" w:beforeLines="0" w:after="0"/>
        <w:rPr>
          <w:rFonts w:ascii="宋体" w:hAnsi="宋体"/>
          <w:szCs w:val="30"/>
        </w:rPr>
      </w:pPr>
      <w:r>
        <w:br w:type="page"/>
      </w:r>
      <w:bookmarkStart w:id="34" w:name="_Toc256000016"/>
      <w:bookmarkStart w:id="35" w:name="_Toc256000043"/>
      <w:r>
        <w:rPr>
          <w:rFonts w:ascii="宋体" w:hAnsi="宋体"/>
          <w:sz w:val="30"/>
        </w:rPr>
        <w:t>十六、基金的会计与审计</w:t>
      </w:r>
      <w:bookmarkEnd w:id="35"/>
      <w:bookmarkEnd w:id="3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（一）基金会计政策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1、基金管理人为本基金的基金会计责任方；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2、基金的会计年度为公历年度的1月1日至12月31日；基金首次募集的会计年度按如下原则：如果《基金合同》生效少于2个月，可以并入下一个会计年度披露；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3、基金核算以人民币为记账本位币，以人民币元为记账单位；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4、会计制度执行国家有关会计制度；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5、本基金独立建账、独立核算；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7、基金托管人每月与基金管理人就基金的会计核算、报表编制等进行核对并以双方认可的方式确认。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（二）基金的年度审计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2、会计师事务所更换经办注册会计师，应事先征得基金管理人同意。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3、基金管理人认为有充足理由更换会计师事务所，须通报基金托管人。更换会计师事务所需依照《信息披露办法》的规定在规定媒介公告。</w:t>
      </w:r>
    </w:p>
    <w:p>
      <w:pPr>
        <w:pStyle w:val="Heading1"/>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7"/>
      <w:bookmarkEnd w:id="3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（一）本基金的信息披露应符合《基金法》、《运作办法》、《信息披露办法》、《流动性风险管理规定》、《基金合同》及其他有关规定。相关法律法规关于信息披露的规定发生变化时，本基金从其最新规定。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（二）信息披露义务人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（三）本基金信息披露义务人承诺公开披露的基金信息，不得有下列行为：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1、虚假记载、误导性陈述或者重大遗漏；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2、对证券投资业绩进行预测；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3、违规承诺收益或者承担损失；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4、诋毁其他基金管理人、基金托管人或者基金销售机构；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5、登载任何自然人、法人和非法人组织的祝贺性、恭维性或推荐性的文字；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6、中国证监会禁止的其他行为。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本基金公开披露的信息采用阿拉伯数字；除特别说明外，货币单位为人民币元。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（五）公开披露的基金信息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公开披露的基金信息包括：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1、基金招募说明书、《基金合同》、基金托管协议、基金产品资料概要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募集申请经中国证监会注册后，基金管理人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2、基金份额发售公告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基金管理人应当就基金份额发售的具体事宜编制基金份额发售公告，并在披露招募说明书的当日登载于规定媒介上。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基金管理人应当在收到中国证监会确认文件的次日在规定媒介上登载《基金合同》生效公告。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开始办理基金份额申购或者赎回后，基金管理人应当在不晚于每个开放日的次日，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基金管理人应当在不晚于半年度和年度最后一日的次日，在规定网站披露半年度和年度最后一日A类基金份额和C类基金份额所对应的基金份额净值和基金份额累计净值。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6、基金定期报告，包括基金年度报告、基金中期报告和基金季度报告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7、临时报告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（1）基金份额持有人大会的召开及决定的事项；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（2）《基金合同》终止、基金清算；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（3）转换基金运作方式、基金合并；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（4）更换基金管理人、基金托管人、基金份额登记机构，基金改聘会计师事务所；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（6）基金管理人、基金托管人的法定名称、住所发生变更；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（8）基金募集期延长或提前结束募集；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（11）涉及基金财产、基金管理业务、基金托管业务的诉讼或仲裁；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（14）基金收益分配事项；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（16）任一类基金份额净值计价错误达该类基金份额净值百分之零点五；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（17）本基金开始办理申购、赎回；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（18）本基金发生巨额赎回并延期办理；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（19）本基金连续发生巨额赎回并暂停接受赎回申请或延缓支付赎回款项；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（20）本基金暂停接受申购、赎回申请或重新接受申购、赎回申请；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（21）发生涉及基金申购、赎回事项调整或潜在影响投资者赎回等重大事项时；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（22）基金管理人采用摆动定价机制进行估值；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（23）本基金增加或调整基金份额类别；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（24）本基金推出新业务或服务；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（25）本基金变更标的指数；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（26）《基金合同》生效后，连续30、40、45个工作日出现基金份额持有人数量不满200人或者基金资产净值低于5000万元情形，基金管理人应当发布提示性公告；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8、澄清公告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9、基金份额持有人大会决议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基金份额持有人大会决定的事项，应当依法报中国证监会备案，并予以公告。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10、实施侧袋机制期间的信息披露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12、基金投资资产支持证券情况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13、基金投资股指期货情况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股指期货，基金管理人需按照法规要求在季度报告、中期报告、年度报告等定期报告和招募说明书（更新）等文件中披露股指期货交易情况，包括交易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14、基金参与融资和转融通证券出借业务情况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融资和转融通证券出借业务的，基金管理人应当在季度报告、中期报告、年度报告等定期报告和招募说明书（更新）等文件中披露参与融资和转融通证券出借业务情况，包括投资策略、业务开展情况、损益情况、风险及其管理情况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本基金参与转融通证券出借业务的，基金管理人应当在基金定期报告等文件中就报告期内发生的重大关联交易事项做详细说明。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15、中国证监会规定的其他信息。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（六）信息披露事务管理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基金信息披露义务人公开披露基金信息，应当符合中国证监会相关基金信息披露内容与格式准则等法律法规的规定。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应当按照相关法律法规、中国证监会的规定和《基金合同》的约定，对基金管理人编制的基金资产净值、各类基金份额的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基金管理人、基金托管人应当在规定报刊中选择一家披露信息的报刊。基金管理人、基金托管人应当向中国证监会基金电子披露网站报送拟披露的基金信息，并保证相关报送信息的真实、准确、完整、及时。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（七）信息披露文件的存放与查阅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依法必须披露的信息发布后，基金管理人、基金托管人应当按照相关法律法规规定将信息置备于各自办公场所，供社会公众查阅、复制。</w:t>
      </w:r>
    </w:p>
    <w:p>
      <w:pPr>
        <w:pStyle w:val="Heading1"/>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9"/>
      <w:bookmarkEnd w:id="3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（一）侧袋机制的实施条件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（二）实施侧袋机制期间基金份额的申购与赎回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（三）实施侧袋机制期间的基金投资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（四）实施侧袋机制期间的基金估值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（五）实施侧袋账户期间的基金费用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1、本基金实施侧袋机制的，管理费和托管费等按主袋账户基金资产净值作为基数计提。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（六）侧袋账户中特定资产的处置变现和支付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（七）侧袋机制的信息披露</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2、基金净值信息</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3、定期报告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Heading1"/>
        <w:snapToGrid w:val="0"/>
        <w:spacing w:before="240" w:beforeLines="0" w:after="0"/>
        <w:rPr>
          <w:rFonts w:ascii="宋体" w:hAnsi="宋体"/>
          <w:szCs w:val="30"/>
        </w:rPr>
      </w:pPr>
      <w:r>
        <w:br w:type="page"/>
      </w:r>
      <w:bookmarkStart w:id="40" w:name="_Toc256000019"/>
      <w:bookmarkStart w:id="41" w:name="_Toc256000046"/>
      <w:r>
        <w:rPr>
          <w:rFonts w:ascii="宋体" w:hAnsi="宋体"/>
          <w:sz w:val="30"/>
        </w:rPr>
        <w:t>十九、风险揭示</w:t>
      </w:r>
      <w:bookmarkEnd w:id="41"/>
      <w:bookmarkEnd w:id="4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认真阅读《基金合同》、《招募说明书》、基金产品资料概要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基金份额持有人须了解并承受以下风险：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（二）管理风险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1、本基金的申购、赎回安排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不超过3个月开始办理赎回业务，具体业务办理时间在赎回开始公告中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2、投资市场、行业及资产的流动性风险评估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3、巨额赎回情形下的流动性风险管理措施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4、实施备用的流动性风险管理工具的情形、程序及对投资者的潜在影响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本基金在面临大规模赎回的情况下有可能因为无法变现造成流动性风险。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基金合同约定的时限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基金在交易过程发生交收违约，或者基金所投资债券之发行人出现违约、拒绝支付到期本息，都可能导致基金资产损失和收益变化，从而产生风险。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（五）本基金的特有风险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为股票型基金，投资于上证科创板100指数成份股（含存托凭证）及备选成份股（含存托凭证）的比例不低于基金资产净值的90%且不低于非现金基金资产的80%，因投资权益类资产而面临权益类资产市场的系统性风险和个股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2、标的指数回报与股票市场平均回报偏离的风险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标的指数并不能代表整个股票市场。标的指数成份股的平均回报率与整个股票市场的平均回报率可能存在偏离。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3、标的指数波动的风险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标的指数成份股的价格可能受到政治因素、经济因素、上市公司经营状况、投资人心理和交易制度等各种因素的影响而波动，导致指数波动，从而使基金收益水平发生变化，产生风险。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4、基金投资组合回报与标的指数回报偏离及跟踪误差控制未达约定目标的风险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以下因素可能使基金投资组合的收益率与标的指数的收益率发生偏离，也可能使基金的跟踪误差控制未达约定目标：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（1）由于标的指数调整成份股或变更编制方法，使本基金在相应的组合调整中产生跟踪偏离度与跟踪误差。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（2）由于标的指数成份股发生配股、增发等行为导致成份股在标的指数中的权重发生变化，使本基金在相应的组合调整中产生跟踪偏离度和跟踪误差。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（3）标的指数成份股派发现金红利、新股市值配售收益将导致基金收益率超过标的指数收益率，产生正的跟踪偏离度。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（4）由于标的指数成份股停牌、摘牌或流动性差等原因使本基金无法及时调整投资组合或承担冲击成本而产生跟踪偏离度和跟踪误差。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（5）因法律法规的限制或其他限制，本基金可能不能投资于部分标的指数成份股。在使用替代方法，如投资同行业中相关性较高的股票以替代上述投资受限股票时，会产生一定的跟踪偏离度和跟踪误差。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（6）基金有投资成本、各种费用及税收，而指数编制不考虑费用和税收，这将导致基金收益率落后于标的指数收益率，产生负的跟踪偏离度。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（7）在本基金指数化投资过程中，基金管理人的管理能力，例如跟踪指数的水平、技术手段、买入卖出的时机选择等，都会对本基金的收益产生影响，从而影响本基金对标的指数的跟踪程度。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其他因素产生的偏离。如因受到最低买入股数的限制，基金投资组合中个别股票的持有比例与标的指数中该股票的权重可能不完全相同；因缺乏卖空、对冲机制及其他工具造成的指数跟踪成本较大；因基金申购与赎回带来的现金变动；因指数发布机构指数编制错误等，由此产生跟踪偏离度与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在正常市场情况下，本基金力争控制本基金日均跟踪偏离度的绝对值不超过0.35%，年跟踪误差不超过4%。但因标的指数编制规则调整或其他因素可能导致跟踪偏离度和跟踪误差超过上述范围，本基金净值表现与指数价格走势可能发生较大偏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5、指数编制机构停止服务的风险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标的指数由指数编制机构发布并管理和维护，未来指数编制机构可能由于各种原因停止对标的指数的管理和维护，本基金将根据基金合同的约定自该情形发生之日起十个工作日内向中国证监会报告并提出解决方案，如转换运作方式，与其他基金合并或者终止基金合同等，并在6个月内召集基金份额持有人大会进行表决，基金份额持有人大会未成功召开或就上述事项表决未通过的，基金合同终止。投资人将面临转换运作方式，与其他基金合并或者终止基金合同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6、成份股停牌或退市的风险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标的指数成份股可能因各种原因临时或长期停牌，发生成份股停牌时可能面临如下风险：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（1）基金可能因无法及时调整投资组合而导致跟踪偏离度和跟踪误差扩大。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（2）若成份股停牌时间较长，在约定时间内仍未能及时买入或卖出的，由此可能影响投资者的投资损益并使基金产生跟踪偏离度和跟踪误差。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极端情况下，标的指数成份股可能大面积停牌，基金可能无法及时卖出成份股以获取足额的符合要求的赎回款项，由此基金管理人可能采取暂停赎回的措施，投资者将面临无法赎回全部或部分基金份额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运作过程中，当标的指数成份股发生明显负面事件面临退市风险，且指数编制机构暂未作出调整的，基金管理人应当按照持有人利益优先的原则，履行内部决策程序后及时对相关成份股进行调整，可能影响投资者的投资损益并使基金产生跟踪偏离度和跟踪误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7、基金合同提前终止风险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《基金合同》生效后，连续50个工作日出现基金份额持有人数量不满200人或者基金资产净值低于5000万元情形的，基金合同终止，不需召开基金份额持有人大会。因此，投资者可能面临基金合同提前终止的风险。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（六）投资股指期货的特定风险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（2）流动性风险是指由于股指期货合约无法及时变现所带来的风险。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（5）信用风险是指期货经纪公司违约而产生损失的风险。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（七）投资资产支持证券的特定风险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（八）投资流通受限证券的特定风险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（九）投资存托凭证的特定风险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（十）投资科创板股票的特定风险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（3）退市风险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（4）系统性风险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（5）政策风险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（十一）本基金参与融资业务的特定风险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本基金可根据法律法规的规定参与融资业务，面临的风险包括但不限于：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可能放大投资损失的风险：融资业务具有杠杆效应，它在放大投资收益的同时也必然放大投资风险。将股票作为担保品进行融资交易时，既需要承担原有的股票价格下跌带来的风险，又得承担融资买入股票带来的风险，同时还须支付相应的利息和费用，由此承担的风险可能远远超过普通证券交易。</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2）利率变动带来的成本加大风险：在从事融资交易期间，如中国人民银行规定的同期贷款基准利率调高，证券公司将相应调高融资利率，投资成本也因为利率的上调而增加，将面临融资成本增加的风险。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强制平仓风险：融资交易中，投资组合与证券公司间除了普通交易的委托买卖关系外，还存在着较为复杂的债权债务关系，以及由于债权债务产生的信托关系和担保关系。证券公司为保护自身债权，对投资组合信用账户的资产负债情况实时监控，在一定条件下可以对投资组合担保资产执行强制平仓,且平仓的品种、数量、价格、时机将不受投资组合的控制，平仓的数额可能超过全部负债，由此给投资组合带来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外部监管风险：在融资交易出现异常或市场出现系统性风险时，监管部门、证券交易所和证券公司都将可能对融资交易采取相应措施，例如提高融资保证金比例、维持担保比例和强制平仓的条件等，以维护市场平稳运行。这些措施将可能给本金带来杠杆效应降低、甚至提前进入追加担保物或强制平仓状态等潜在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融资业务的流动性风险主要指当基金不能按照约定的期限清偿债务，或上市证券价格波动导致担保物价值与融资债务之间的比例低于平仓维持担保比例，且不能按照约定的时间追加担保物时面临强制平仓的风险。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信用风险主要指交易对手违约产生的风险。一方面，如果证券公司没有按照融资合同的要求履行义务可能带来风险；另一方面，若在从事融资交易期间，证券公司融资业务资格、融资业务交易权限被取消或被暂停，证券公司可能无法履约，则投资组合可能会面临一定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（十二）本基金参与转融通证券出借业务的特定风险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本基金可根据法律法规和基金合同的约定参与转融通证券出借业务，面临的风险包括但不限于：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（1）流动性风险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面对大额赎回时，可能因证券出借原因发生无法及时变现、支付赎回款项的风险；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（2）信用风险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证券出借对手方可能无法及时归还证券、无法支付相应权益补偿及借券费用的风险；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（3）市场风险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证券出借后可能面临出借期间无法及时处置证券的风险；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如宏观政策变化、证券市场剧烈波动、个别证券出现重大事件、交易对手方违约、业务规则调整、信息技术不能正常运行等风险。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（十三）本基金法律文件风险收益特征表述与销售机构基金风险评价可能不一致的风险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（十四）其他风险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1、因技术因素而产生的风险，如电脑系统不可靠产生的风险；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3、因人为因素而产生的风险、如内幕交易、欺诈行为等产生的风险；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4、对主要业务人员如基金经理的依赖而可能产生的风险；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5、因业务竞争压力可能产生的风险；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7、其他意外导致的风险。</w:t>
      </w:r>
    </w:p>
    <w:p>
      <w:pPr>
        <w:pStyle w:val="Heading1"/>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二十、基金合同的变更、终止与基金财产的清算</w:t>
      </w:r>
      <w:bookmarkEnd w:id="43"/>
      <w:bookmarkEnd w:id="4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pStyle w:val="Heading1"/>
        <w:snapToGrid w:val="0"/>
        <w:spacing w:before="240" w:beforeLines="0" w:after="0"/>
        <w:rPr>
          <w:rFonts w:ascii="宋体" w:hAnsi="宋体"/>
          <w:szCs w:val="30"/>
        </w:rPr>
      </w:pPr>
      <w:r>
        <w:br w:type="page"/>
      </w:r>
      <w:bookmarkStart w:id="44" w:name="_Toc256000021"/>
      <w:bookmarkStart w:id="45" w:name="_Toc256000048"/>
      <w:r>
        <w:rPr>
          <w:rFonts w:ascii="宋体" w:hAnsi="宋体"/>
          <w:sz w:val="30"/>
        </w:rPr>
        <w:t>二十一、基金合同内容摘要</w:t>
      </w:r>
      <w:bookmarkEnd w:id="45"/>
      <w:bookmarkEnd w:id="4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（一）基金份额持有人、基金管理人和基金托管人的权利与义务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（1）根据《基金法》、《运作办法》及其他有关规定，基金管理人的权利包括但不限于：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2）自《基金合同》生效之日起，根据法律法规和《基金合同》独立运用并管理基金财产；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4）销售基金份额；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5）按照规定召集基金份额持有人大会；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7）在基金托管人更换时，提名新的基金托管人；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8）选择、更换基金销售机构，对基金销售机构的相关行为进行监督和处理；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10）依据《基金合同》及有关法律规定决定基金收益的分配方案；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11）在《基金合同》约定的范围内，拒绝或暂停受理申购与赎回申请；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13）在法律法规允许的前提下，为基金的利益依法为基金进行融资及转融通证券出借业务；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16）在符合有关法律、法规的前提下，制定和调整有关基金认购、申购、赎回、转换等的业务规则；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（2）根据《基金法》、《运作办法》及其他有关规定，基金管理人的义务包括但不限于：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2）办理基金备案手续；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3）自《基金合同》生效之日起，以诚实信用、谨慎勤勉的原则管理和运用基金财产；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7）依法接受基金托管人的监督；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9）进行基金会计核算并编制基金财务会计报告；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10）编制季度报告、中期报告和年度报告；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11）严格按照《基金法》、《基金合同》及其他有关规定，履行信息披露及报告义务；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守基金商业秘密，不泄露基金投资计划、投资意向等。除《基金法》、《基金合同》及其他有关规定另有规定外，在基金信息公开披露前应予保密，不向他人泄露；但根据监管机构、司法机关等有权机关的要求提供，或因审计、法律等外部专业顾问提供服务需要提供的情况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14）按规定受理申购与赎回申请，及时、足额支付赎回款项；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16）按规定保存基金财产管理业务活动的会计账册、报表、记录和其他相关资料不低于法律法规规定的最低期限；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18）组织并参加基金财产清算小组，参与基金财产的保管、清理、估价、变现和分配；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25）执行生效的基金份额持有人大会的决议；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26）建立并保存基金份额持有人名册；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27）法律法规及中国证监会规定的和《基金合同》约定的其他义务。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（1）根据《基金法》、《运作办法》及其他有关规定，基金托管人的权利包括但不限于：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1）自《基金合同》生效之日起，依法律法规和《基金合同》的规定安全保管基金财产；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4）根据相关市场规则，为基金开设资金账户、证券账户等投资所需账户，为基金办理证券交易资金清算；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5）提议召开或召集基金份额持有人大会；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6）在基金管理人更换时，提名新的基金管理人；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（2）根据《基金法》、《运作办法》及其他有关规定，基金托管人的义务包括但不限于：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1）以诚实信用、勤勉尽责的原则持有并安全保管基金财产；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5）保管由基金管理人代表基金签订的与基金有关的重大合同及有关凭证；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6）按规定开设基金财产的资金账户、证券账户等投资所需账户，按照《基金合同》的约定，根据基金管理人的投资指令，及时办理清算、交割事宜；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保守基金商业秘密，除《基金法》、《基金合同》及其他有关规定另有规定外，在基金信息公开披露前予以保密，不得向他人泄露；但根据监管机构、司法机关等有权机关的要求提供，或因审计、法律等外部专业顾问提供服务需要提供的情况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8）复核、审查基金管理人计算的基金资产净值、基金份额净值、基金份额申购、赎回价格；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9）办理与基金托管业务活动有关的信息披露事项；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11）保存基金托管业务活动的记录、账册、报表和其他相关资料不低于法律法规规定的最低期限；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12）保存基金份额持有人名册；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13）按规定制作相关账册并与基金管理人核对；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16）按照法律法规和《基金合同》的规定监督基金管理人的投资运作；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17）参加基金财产清算小组，参与基金财产的保管、清理、估价、变现和分配；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21）执行生效的基金份额持有人大会的决议；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22）法律法规及中国证监会规定的和《基金合同》约定的其他义务。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3、基金份额持有人的权利与义务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同一类别每份基金份额具有同等的合法权益。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（1）根据《基金法》、《运作办法》及其他有关规定，基金份额持有人的权利包括但不限于：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1）分享基金财产收益；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2）参与分配清算后的剩余基金财产；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4）按照规定要求召开基金份额持有人大会或者召集基金份额持有人大会；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6）查阅或者复制公开披露的基金信息资料；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7）监督基金管理人的投资运作；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9）法律法规及中国证监会规定的和《基金合同》约定的其他权利。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（2）根据《基金法》、《运作办法》及其他有关规定，基金份额持有人的义务包括但不限于：</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1）认真阅读并遵守《基金合同》、招募说明书等信息披露文件；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3）关注基金信息披露，及时行使权利和履行义务；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4）交纳基金认购、申购款项及法律法规和《基金合同》所规定的费用；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5）在其持有的基金份额范围内，承担基金亏损或者《基金合同》终止的有限责任；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6）不从事任何有损基金及其他《基金合同》当事人合法权益的活动；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7）执行生效的基金份额持有人大会的决议；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8）返还在基金交易过程中因任何原因获得的不当得利；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9）遵守基金管理人、基金托管人、销售机构和登记机构的相关交易及业务规则；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11）法律法规及中国证监会规定的和《基金合同》约定的其他义务。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（二）基金份额持有人大会召集、议事及表决的程序和规则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本基金份额持有人大会不设日常机构。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（1）当出现或需要决定下列事由之一的，应当召开基金份额持有人大会，法律法规、中国证监会另有规定的除外：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1）终止《基金合同》，基金合同另有规定的除外；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2）更换基金管理人；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3）更换基金托管人；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4）转换基金运作方式；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5）调整基金管理人、基金托管人的报酬标准或提高销售服务费率；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6）变更基金类别；</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7）本基金与其他基金的合并；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8）变更基金投资目标、范围或策略，基金合同另有规定的除外；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9）变更基金份额持有人大会程序，基金合同另有规定的除外；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10）基金管理人或基金托管人要求召开基金份额持有人大会；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12）对基金合同当事人权利和义务产生重大影响的其他事项；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1）调低基金销售服务费率；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2）法律法规要求增加的基金费用的收取；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3）在法律法规和《基金合同》规定的范围内调整本基金的申购费率、在对现有基金份额持有人利益无实质性不利影响的前提下变更收费方式；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4）因相应的法律法规、登记机构的相关业务规则发生变动而应当对《基金合同》进行修改；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6）在法律法规允许的情况下，且在对现有基金份额持有人利益无实质性不利影响的前提下，基金管理人履行适当程序后，推出新业务或服务；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7）在符合法律法规及本基金合同规定、并且对基金份额持有人利益无实质性不利影响的前提下，增加或调整本基金份额类别的设置、对基金份额分类办法及规则进行调整；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8）在不违反法律法规及对基金份额持有人利益无实质性不利影响的前提下，基金管理人、登记机构、销售机构调整有关基金认购、申购、赎回、转换、收益分配、非交易过户、转托管等业务的规则；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9）按照法律法规和《基金合同》规定不需召开基金份额持有人大会的其他情形。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2、会议召集人及召集方式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（2）基金管理人未按规定召集或不能召集时，由基金托管人召集；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3、召开基金份额持有人大会的通知时间、通知内容、通知方式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1）会议召开的时间、地点和会议形式；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2）会议拟审议的事项、议事程序和表决方式；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3）有权出席基金份额持有人大会的基金份额持有人的权益登记日；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5）会务常设联系人姓名及联系电话；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6）出席会议者必须准备的文件和必须履行的手续；</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7）召集人需要通知的其他事项。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4、基金份额持有人出席会议的方式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在同时符合以下条件时，通讯开会的方式视为有效：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5、议事内容与程序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（1）议事内容及提案权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基金份额持有人大会不得对未事先公告的议事内容进行表决。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（2）议事程序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基金份额持有人所持每份基金份额有一票表决权。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基金份额持有人大会决议分为一般决议和特别决议：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基金份额持有人大会采取记名方式进行投票表决。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7、计票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（1）现场开会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（2）通讯开会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8、生效与公告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基金份额持有人大会的决议，召集人应当自通过之日起5日内报中国证监会备案。基金份额持有人大会的决议自表决通过之日起生效。法律法规另有规定的，从其规定。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9、实施侧袋机制期间基金份额持有人大会的特殊约定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同一主侧袋账户内的每份基金份额具有平等的表决权。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（三）基金合同解除和终止的事由、程序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1、《基金合同》的变更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2、《基金合同》的终止事由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有下列情形之一的，经履行相关程序后，《基金合同》应当终止：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（1）基金份额持有人大会决定终止的；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（4）连续50个工作日出现基金份额持有人数量不满200人或者基金资产净值低于5000万元情形的，基金合同终止，不需召开基金份额持有人大会；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（5）《基金合同》约定的其他情形；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（6）相关法律法规和中国证监会规定的其他情况。</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6）将清算报告报中国证监会备案并公告；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5、基金财产清算剩余资产的分配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方当事人同意，因《基金合同》而产生的或与《基金合同》有关的一切争议，如经友好协商未能解决的，任何一方均有权将争议提交中国国际经济贸易仲裁委员会，仲裁地点为北京市，按照中国国际经济贸易仲裁委员会届时有效的仲裁规则进行仲裁。仲裁裁决是终局的，对各方当事人均有约束力，除非仲裁裁决另有规定，仲裁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《基金合同》受中国法律（为本基金合同之目的，不含港澳台地区法律）管辖并从其解释。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（五）基金合同存放及投资者取得基金合同的方式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《基金合同》正本一式三份，除上报有关监管机构一份外，基金管理人、基金托管人各持有一份，每份具有同等的法律效力。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《基金合同》可印制成册，供投资者在基金管理人、基金托管人、销售机构的办公场所和营业场所查阅，但应以《基金合同》正本为准。</w:t>
      </w:r>
    </w:p>
    <w:p>
      <w:pPr>
        <w:pStyle w:val="Heading1"/>
        <w:snapToGrid w:val="0"/>
        <w:spacing w:before="240" w:beforeLines="0" w:after="0"/>
        <w:rPr>
          <w:rFonts w:ascii="宋体" w:hAnsi="宋体"/>
          <w:szCs w:val="30"/>
        </w:rPr>
      </w:pPr>
      <w:r>
        <w:br w:type="page"/>
      </w:r>
      <w:bookmarkStart w:id="46" w:name="_Toc256000022"/>
      <w:bookmarkStart w:id="47" w:name="_Toc256000049"/>
      <w:r>
        <w:rPr>
          <w:rFonts w:ascii="宋体" w:hAnsi="宋体"/>
          <w:sz w:val="30"/>
        </w:rPr>
        <w:t>二十二、托管协议的内容摘要</w:t>
      </w:r>
      <w:bookmarkEnd w:id="47"/>
      <w:bookmarkEnd w:id="46"/>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（一）托管协议当事人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名称：交银施罗德基金管理有限公司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注册地址：中国（上海）自由贸易试验区银城中路188号交通银行大楼二层（裙）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办公地址：上海市浦东新区世纪大道8号国金中心二期21-22楼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邮政编码：200120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法定代表人：袁庆伟（代任）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成立日期：2005年8月4日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批准设立机关及批准设立文号：中国证监会证监基金字[2005]128号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组织形式：有限责任公司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注册资本：2亿元人民币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经营范围：基金募集、基金销售、资产管理和中国证监会许可的其它业务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名称：中国农业银行股份有限公司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注册地址：北京市东城区建国门内大街69号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办公地址：北京市西城区复兴门内大街28号凯晨世贸中心东座九层</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邮政编码：100031</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法定代表人：谷澍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成立时间：2009年1月15日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基金托管资格批文及文号：中国证监会证监基字[1998]23号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批准设立机关和批准设立文号：中国银监会银监复[2009]13号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组织形式：股份有限公司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注册资本：34,998,303.4万元人民币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存续期间：持续经营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经营范围：吸收公众存款；发放短期、中期、长期贷款；办理国内外结算；办理票据承兑与贴现；发行金融债券；代理发行、代理兑付、承销政府债券；买卖政府债券、金融债券；从事同业拆借；买卖、代理买卖外汇；结汇、售汇；从事银行卡业务；提供信用证服务及担保；代理收付款项；提供保管箱服务；代理资金清算；各类汇兑业务；代理政策性银行、外国政府和国际金融机构贷款业务；贷款承诺；组织或参加银团贷款；外汇存款；外汇贷款；外汇汇款；外汇借款；发行、代理发行、买卖或代理买卖股票以外的外币有价证券；外汇票据承兑和贴现；自营、代客外汇买卖；外币兑换；外汇担保；资信调查、咨询、见证业务；企业、个人财务顾问服务；证券公司客户交易结算资金存管业务；证券投资基金托管业务；企业年金托管业务；产业投资基金托管业务；合格境外机构投资者境内证券投资托管业务；代理开放式基金业务；电话银行、手机银行、网上银行业务；金融衍生产品交易业务；经国务院银行业监督管理机构等监管部门批准的其他业务；保险兼业代理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（二）基金托管人对基金管理人的业务监督和核查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和交易对手库，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投资范围为具有良好流动性的金融工具，包括上证科创板100指数的成份股（含存托凭证）及备选成份股（含存托凭证）、其他股票（含创业板、科创板及其他经中国证监会核准或注册上市的股票、存托凭证）、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本基金可根据法律法规的规定参与融资及转融通证券出借业务。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的投资组合比例为：本基金投资于上证科创板100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（1）本基金投资于上证科创板100指数成份股（含存托凭证）及备选成份股（含存托凭证）的比例不低于基金资产净值的90%且不低于非现金基金资产的80%；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每个交易日日终在扣除股指期货合约需缴纳的交易保证金后，本基金持有的现金或者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（3）本基金投资于同一原始权益人的各类资产支持证券的比例，不得超过基金资产净值的10％；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（4）本基金持有的全部资产支持证券，其市值不得超过基金资产净值的20％；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（5）本基金持有的同一(指同一信用级别)资产支持证券的比例，不得超过该资产支持证券规模的10％；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（6）本基金管理人管理的、且由本基金托管人托管的全部基金投资于同一原始权益人的各类资产支持证券，不得超过其各类资产支持证券合计规模的10％；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（11）本基金资产总值不超过基金资产净值的140%；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（12）本基金参与股指期货交易，则：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本基金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（13）本基金参与融资业务后，每个交易日日终，本基金持有的融资买入股票与其他有价证券市值之和，不得超过基金资产净值的95%；</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（14）本基金参与转融通证券出借业务，需遵守下列投资限制：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1）出借证券资产不得超过基金资产净值的30%，出借期限在10个交易日以上的出借证券应纳入《流动性风险管理规定》所述流动性受限证券的范围；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2）参与出借业务的单只证券不得超过本基金持有该证券总量的50%；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3）最近6个月内日均基金资产净值不得低于2亿元；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4）证券出借的平均剩余期限不得超过30天，平均剩余期限按照市值加权平均计算；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因证券市场波动、上市公司合并、基金规模变动等基金管理人之外的因素致使基金投资不符合上述规定的，基金管理人不得新增出借业务；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（15）本基金投资存托凭证的比例限制依照境内上市交易的股票执行；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（16）法律法规及中国证监会规定的和《基金合同》约定的其他投资限制。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除上述（2）、（7）、（9）、（10）、（14）项以外，因证券、期货市场波动、证券发行人合并、基金规模变动、标的指数成份股调整、标的指数成份股流动性限制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法律法规或监管部门取消或变更上述限制，如适用于本基金，基金管理人在履行适当程序后，则本基金投资不再受相关限制或以变更后的规定为准。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3、基金托管人根据有关法律法规的规定及基金合同的约定，对本协议第十五条第（十一）项基金投资禁止行为进行监督。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法律法规有关基金从事的关联交易的规定，基金管理人和基金托管人应事先相互提供与本机构有控股关系的股东或与本机构有其他重大利害关系的公司名单及其更新，并以双方约定的方式提交，确保所提供的关联交易名单的真实性、完整性、全面性。基金管理人有责任保管真实、完整、全面的关联交易名单，并负责及时更新该名单。名单变更后基金管理人应及时发送基金托管人，基金托管人应及时确认已知名单的变更。如果基金托管人在运作中严格遵循了监督流程，基金管理人仍违规进行关联交易，并造成基金资产损失的，由基金管理人承担责任，基金托管人有权向中国证监会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根据有关法律法规的规定及基金合同的约定，对基金管理人参与银行间债券市场进行监督。基金管理人应在基金投资运作之前向基金托管人提供经慎重选择的、本基金适用的银行间债券市场交易对手名单。基金托管人监督基金管理人是否按事前提供的银行间债券市场交易对手名单进行交易。基金管理人可以对银行间债券市场交易对手名单进行更新，如基金管理人根据市场情况需要临时调整银行间债券市场交易对手名单，应向基金托管人说明理由，在与交易对手发生交易前与基金托管人协商解决。基金管理人与基金托管人完成确认后，被确认调整的名单开始生效，新名单生效前已与本次剔除的交易对手所进行但尚未结算的交易，仍应按照协议进行结算。基金管理人负责对交易对手的资信控制，按银行间债券市场的交易规则进行交易，基金托管人则根据银行间债券市场成交单对合同履行情况进行监督，但不承担交易对手不履行合同造成的损失。如基金托管人事后发现基金管理人没有按照事先约定的交易对手进行交易时，基金托管人应及时提醒基金管理人，基金托管人不承担由此造成的相应损失和责任。如基金管理人在基金投资运作之前未向基金托管人提供银行间债券市场交易对手名单的，视为基金管理人认可全市场交易对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5、基金托管人根据有关法律法规的规定及基金合同的约定，对基金管理人投资银行存款进行监督。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基金投资银行存款的，基金管理人应根据法律法规的规定及基金合同的约定，建立投资制度、审慎选择存款银行，做好风险控制；并按照基金托管人的要求配合基金托管人完成相关业务办理。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托管人根据有关法律法规的规定及基金合同的约定，对基金资产净值计算、各类基金份额的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如果基金管理人未经基金托管人的审核擅自将不实的业绩表现数据印制在宣传推介材料上，则基金托管人对此不承担相应责任，并将在发现后立即报告中国证监会。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7、基金托管人根据有关法律法规的规定及基金合同的约定，对基金投资流通受限证券进行监督。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（1）基金投资流通受限证券，应遵守《关于基金投资非公开发行股票等流通受限证券有关问题的通知》等有关法律法规规定。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此处的流通受限证券与上文提及的流动性受限资产并不完全一致，流通受限证券包括由《上市公司证券发行注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首次投资流通受限证券之前，基金管理人应当制定相关投资决策流程、风险控制制度、流动性风险控制预案等规章制度。基金管理人应当根据基金流动性的需要合理安排流通受限证券的投资比例，并在风险控制制度中明确具体比例，避免基金出现流动性风险。上述规章制度须经基金管理人董事会批准。上述规章制度经董事会通过之后，基金管理人应当将上述规章制度以及董事会批准上述规章制度的决议提交给基金托管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（4）在投资流通受限证券之前，基金管理人应至少提前一个交易日向基金托管人提供有关流通受限证券的相关信息，具体应当包括但不限于如下文件（如有）：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拟发行数量、定价依据、监管机构的批准证明文件复印件、基金管理人与承销商签订的销售协议复印件、缴款通知书、基金拟认购的数量、价格、总成本、划款账号、划款金额、划款时间文件等。基金管理人应保证上述信息的真实、完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在监督基金管理人投资流通受限证券的过程中，如认为因市场出现剧烈变化导致基金管理人的具体投资行为可能对基金财产造成较大风险，基金托管人有权要求基金管理人对该风险的消除或防范措施进行补充和整改，并做出书面说明。否则，基金托管人经事先书面告知基金管理人，有权拒绝执行其有关指令。因拒绝执行该指令造成基金财产损失的，基金托管人不承担相应责任，并有权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管理人应保证基金投资的流通受限证券登记存管在本基金名下，并保证基金托管人能够正常查询。因基金管理人原因产生的流通受限证券登记存管问题，造成基金财产的损失或基金托管人无法安全保管基金财产的责任与损失，由基金管理人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如果基金管理人未按照本协议的约定向基金托管人报送相关数据或者报送了虚假的数据，导致基金托管人不能履行基金托管人职责的，基金管理人应依法承担相应法律后果。除基金托管人未能依据法律法规、基金合同及本协议履行职责外，因投资流通受限证券产生的损失，基金托管人按照本协议履行监督职责后不承担上述损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参与转融通证券出借业务，基金管理人应当遵守审慎经营原则，配备技术系统和专业人员，制定科学合理的投资策略和风险管理制度，完善业务流程，有效防范和控制风险，基金托管人将对管理人参与转融通证券出借业务进行监督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基金托管人发现基金管理人的上述事项及投资指令或实际投资运作中违反法律法规和基金合同的规定，应及时以书面形式通知基金管理人限期纠正。基金管理人应积极配合和协助基金托管人的监督和核查。基金管理人收到通知后及时核对并以书面形式给基金托管人发出回函，就基金托管人的合理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基金托管人发现基金管理人依据交易程序已经生效的投资指令违反法律、行政法规和其他有关规定，或者违反基金合同约定的，应当立即通知基金管理人，并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基金管理人有义务配合和协助基金托管人依照法律法规、基金合同和本托管协议对基金业务执行核查。对基金托管人发出的书面提示，基金管理人应在规定时间内答复并改正，或就基金托管人的合理疑义进行解释或举证；对基金托管人按照法规要求需向中国证监会报送基金监督报告的事项，基金管理人应积极配合提供相关数据资料和制度等。</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托管人发现基金管理人有重大违规行为，应及时报告中国证监会，同时通知基金管理人限期纠正，并将纠正结果报告中国证监会。基金管理人无正当理由，拒绝、阻挠对方根据本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（三）基金管理人对基金托管人的业务核查</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对基金托管人履行托管职责情况进行核查，核查事项包括基金托管人安全保管基金财产、开设基金财产的资金账户、证券账户等投资所需账户、复核基金管理人计算的基金资产净值和各类基金份额的基金份额净值、根据基金管理人指令办理清算交收、相关信息披露和监督基金投资运作等行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在下一工作日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基金财产的完整性和真实性，在规定时间内答复基金管理人并改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（四）基金财产的保管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1、基金财产保管的原则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（1）基金财产应独立于基金管理人、基金托管人的固有财产。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（2）基金托管人应安全保管基金财产。未经基金管理人依据合法程序作出的合法合规指令，基金托管人不得自行运用、处分、分配基金的任何财产。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（3）基金托管人按照规定开设基金财产的资金账户、证券账户等投资所需账户、协助开立股指期货业务相关账户及交易编码。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（4）基金托管人对所托管的不同基金财产分别设置账户，与基金托管人的其他业务和其他基金的托管业务实行严格的分账管理，独立核算，确保基金财产的完整与独立。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因为基金申购、投资产生的应收资产，应由基金管理人负责与有关当事人确定到账日期并通知基金托管人，到账日基金财产没有到达基金账户的，基金托管人应及时通知基金管理人采取措施进行催收。由此给基金财产造成损失的，基金托管人对此不承担相应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2、基金募集期间及募集资金的验资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（1）基金募集期间的认购款项应存于专用账户。该账户由基金管理人或基金管理人委托的登记机构开立并管理。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募集期满或基金停止募集时，募集的基金份额总额、基金募集金额、基金份额持有人人数符合《基金法》、《运作办法》等有关规定后，基金管理人应将募集到的属于基金财产的全部资金划入基金托管人为本基金开立的基金托管资金账户，同时在规定时间内，聘请符合《中华人民共和国证券法》规定的会计师事务所进行验资，出具验资报告。出具的验资报告由参加验资的2名或2名以上中国注册会计师签字方为有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（3）若基金募集期限届满，未能达到基金备案的条件，由基金管理人按规定办理退款等事宜，基金托管人应提供充分协助。</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（1）基金托管人应负责本基金的基金托管资金账户的开设和管理。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应以本基金的名义在其营业机构开设本基金的资金账户，并根据基金管理人合法合规的指令办理资金收付。本基金的银行预留印鉴由基金托管人保管和使用。本基金的一切货币收支活动，包括但不限于投资、支付赎回金额、支付基金收益、收取申购款，均需通过本基金的基金托管资金账户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（3）基金托管资金账户的开立和使用，限于满足开展本基金业务的需要。基金托管人和基金管理人不得假借本基金的名义开立任何其他银行账户；亦不得使用基金的任何账户进行本基金业务以外的活动。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（4）基金托管资金账户的开立和管理应符合相关法律法规的有关规定。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（5）在符合法律法规规定的条件下，基金托管人可以通过基金托管人专用账户办理基金资产的支付。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4、基金证券账户和结算备付金账户的开立和管理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（1）基金托管人在中国证券登记结算有限责任公司上海分公司、深圳分公司为本基金开立基金托管人与基金联名的证券账户。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（2）基金证券账户的开立和使用，限于满足开展本基金业务的需要。基金托管人和基金管理人不得出借或未经对方同意擅自转让基金的任何证券账户，亦不得使用基金的任何账户进行本基金业务以外的活动。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托管人以自身法人名义在中国证券登记结算有限责任公司开立结算备付金账户，并代表所托管的基金完成与中国证券登记结算有限责任公司的一级法人清算工作，基金管理人应予以积极协助。结算备付金的收取按照中国证券登记结算有限责任公司的规定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（4）基金证券账户的开立和开户回执的保管由基金托管人负责，账户资产的管理和运用由基金管理人负责。</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在本托管协议生效日之后，本基金被允许从事其他投资品种的投资业务，涉及相关账户的开设、使用的，按有关规定开设、使用并管理；若无相关规定，则基金托管人应当比照并遵守上述关于账户开设、使用的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5、债券托管专户的开设和管理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生效后，基金托管人根据中国人民银行、中央国债登记结算有限责任公司、银行间市场清算所股份有限公司的有关规定，以本基金的名义在中央国债登记结算有限责任公司、银行间市场清算所股份有限公司开立债券托管与结算账户，并代表基金进行银行间市场债券的结算。基金管理人代表基金签订全国银行间债券市场债券回购主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6、其他账户的开立和管理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（1）因业务发展需要而开立的其他账户，可以根据法律法规和基金合同的规定，在基金管理人和基金托管人商议后开立。新账户按有关规则使用并管理。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（2）法律法规等有关规定对相关账户的开立和管理另有规定的，从其规定办理。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7、基金财产投资的有关有价凭证等的保管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投资的有关实物证券、银行定期存款存单等有价凭证由基金托管人负责妥善保管，保管凭证由基金托管人持有。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的证券不承担保管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8、与基金财产有关的重大合同的保管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由基金管理人代表基金签署的、与基金有关的重大合同的原件分别由基金管理人、基金托管人保管。除本协议另有规定外，基金管理人在代表基金签署与基金有关的重大合同时应保证基金一方持有两份以上的正本，以便基金管理人和基金托管人至少各持有一份正本的原件。重大合同的保管期限不低于法律法规规定的最低期限。</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（五）基金资产净值的计算及复核程序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1、基金资产净值的计算及复核程序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（1）基金资产净值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基金资产净值是指基金资产总值减去基金负债后的价值。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（2）复核程序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每个工作日对基金资产估值，但基金管理人根据法律法规或基金合同的规定暂停估值时除外。基金管理人每个工作日对基金资产进行估值后，将基金资产净值、各类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2、基金资产估值方法和特殊情形的处理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（1）估值对象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基金所拥有的股票、债券、资产支持证券、衍生工具和其他投资等持续以公允价值计量的金融资产及负债。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（2）估值方法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2）处于未上市期间的有价证券应区分如下情况处理：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①送股、转增股、配股和公开增发的新股，按估值日在证券交易所挂牌的同一股票的估值方法估值；该日无交易的，以最近一日的市价（收盘价）估值；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②首次公开发行未上市的股票，采用估值技术确定公允价值；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③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3）对于已上市或已挂牌转让的不含权固定收益品种（另有规定的除外），选取第三方估值基准服务机构提供的相应品种当日的估值全价进行估值。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4）对于已上市或已挂牌转让的含权固定收益品种（另有规定的除外），选取第三方估值基准服务机构提供的相应品种当日的唯一估值全价或推荐估值全价进行估值。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6）对于未上市或未挂牌转让且不存在活跃市场的固定收益品种，采用在当前情况下适用并且有足够可利用数据和其他信息支持的估值技术确定其公允价值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8）同一证券同时在两个或两个以上市场交易的，按证券所处的市场分别估值。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9）对于因税收规定调整或其他原因导致产品实际交纳税金与估算的应交税金有差异的，产品将在相关税金调整日或实际支付日进行相应的会计处理。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10）本基金投资存托凭证的估值核算依照境内上市交易的股票执行。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11）基金参与融资和转融通证券出借业务的，应参照相关法律法规和中国证券投资基金业协会发布的相关规定进行估值。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12）如有确凿证据表明按上述方法进行估值不能客观反映其公允价值的，基金管理人可根据具体情况与基金托管人商定后，按最能反映公允价值的价格估值。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13）当发生大额申购或赎回情形时，基金管理人可以采用摆动定价机制，以确保基金估值的公平性。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14）相关法律法规以及监管部门有强制规定的，从其规定。如有新增事项，按国家最新规定估值。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（3）特殊情形的处理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1）基金管理人或基金托管人按估值方法的第12）项进行估值时，所造成的误差不作为基金资产估值错误处理。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由于不可抗力原因，或由于证券、期货交易所、证券经纪机构、期货公司、登记结算公司、指数编制机构及存款银行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3、基金估值错误的处理方式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当基金份额净值小数点后4位以内(含第4位)发生估值错误时，视为基金份额净值错误；基金份额净值出现错误时，基金管理人应当立即予以纠正，通报基金托管人，并采取合理的措施防止损失进一步扩大；错误偏差达到该类基金份额净值的0.25%时，基金管理人应当通报基金托管人并报中国证监会备案；错误偏差达到该类基金份额净值的0.5%时，基金管理人应当公告并报中国证监会备案；当发生基金份额净值错误时，由基金管理人负责处理，由此给基金份额持有人和基金造成损失的，应由基金管理人先行赔付，基金管理人按差错情形，有权向其他当事人追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（2）当基金份额净值错误给基金和基金份额持有人造成损失需要进行赔偿时，基金管理人和基金托管人应根据实际情况界定双方承担的责任，经确认后按以下条款进行赔偿：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本基金的基金会计责任方由基金管理人担任。与本基金有关的会计问题，如经双方在平等基础上充分讨论后，尚不能达成一致时，按基金会计责任方的建议执行，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若基金管理人计算的基金份额净值已由基金托管人复核确认后公告，而且基金托管人未对计算过程提出疑义或要求基金管理人书面说明，基金份额净值错误且造成基金份额持有人损失的，应根据法律法规的规定对基金份额持有人或基金支付赔偿金，就实际向基金份额持有人或基金支付的赔偿金额，其中基金管理人承担50%，基金托管人承担50%。</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由于基金管理人提供的信息错误（包括但不限于基金申购或赎回金额等），基金托管人在履行正常的复核程序后仍不能发现该错误，进而导致基金份额净值错误而引起的基金份额持有人和基金财产的损失，由基金管理人负责赔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（3）基金管理人和基金托管人由于各自技术系统设置而产生的净值计算尾差，以基金管理人计算结果为准。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（4）前述内容如法律法规或监管机构另有规定的，从其规定处理。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4、暂停估值的情形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（2）因不可抗力致使基金管理人、基金托管人无法准确评估基金资产价值时；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（4）法律法规、中国证监会和基金合同认定的其它情形。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5、基金会计制度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按国家有关部门规定的会计制度执行。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6、基金账册的建立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进行基金会计核算并编制基金财务会计报告。基金管理人独立地设置、记录和保管本基金的全套账册。基金托管人按规定制作相关账册并与基金管理人核对。若基金管理人和基金托管人对会计处理方法存在分歧，应以基金管理人的处理方法为准。若当日核对不符，暂时无法查找到错账的原因而影响到基金净值信息的计算和公告的，以基金管理人的账册为准。</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7、基金财务报表与报告的编制和复核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（1）财务报表的编制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当及时编制并对外提供真实、完整的基金财务会计报告。月度报表的编制，基金管理人应于每月终了后5个工作日内完成；季度报告应在季度结束之日起15个工作日内编制完毕并予以公告；中期报告在上半年结束之日起两个月内编制完毕并予以公告；年度报告在每年结束之日起三个月内编制完毕并予以公告。基金合同生效不足2个月的，基金管理人可以不编制当期季度报告、中期报告或者年度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（2）报表复核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基金管理人在报表或定期报告完成当日，对报表盖章后，以加密传真方式或双方书面商定的其他方式将有关报表提供基金托管人复核。</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在月度报表完成当日，将报表盖章后提供给基金托管人复核；基金托管人在收到后应在3日内进行复核，并将复核结果书面通知基金管理人。基金管理人在季度报告完成当日，将有关报告提供给基金托管人复核，基金托管人应在收到后7个工作日内完成复核，并将复核结果书面通知基金管理人。基金管理人在中期报告完成当日，将有关报告提供给基金托管人复核，基金托管人应在收到后30日内完成复核，并将复核结果书面通知基金管理人。基金管理人在年度报告完成当日，将有关报告提供基金托管人复核，基金托管人应在收到后45日内完成复核，并将复核结果书面通知基金管理人。基金管理人和基金托管人之间的上述文件往来均以传真的方式或双方商定的其他方式进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托管人在复核过程中，发现双方的报表存在不符时，基金管理人和基金托管人应共同查明原因，进行调整，调整以双方认可的账务处理方式为准；若双方无法达成一致，以基金管理人的账务处理为准。核对无误后，基金托管人在基金管理人提供的报告上加盖托管业务专用章或者出具加盖托管业务专用章的复核意见书，双方各自留存一份。如果基金管理人与基金托管人不能于应当发布公告之日之前就相关报表达成一致，基金管理人有权按照其编制的报表对外发布公告，基金托管人有权就相关情况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8、基金管理人应每季向基金托管人提供基金业绩比较基准的基础数据和编制结果。</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（六）基金份额持有人名册的保管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的基金管理人和基金托管人须分别妥善保管的基金份额持有人名册，包括基金合同生效日、基金合同终止日、基金权益登记日、基金份额持有人大会权益登记日、每年6月30日、12月31日的基金份额持有人名册。基金份额持有人名册的内容至少应包括基金份额持有人的名称和持有的基金份额。</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份额持有人名册由登记机构编制，由基金管理人审核并提交基金托管人保管。基金托管人有权按照相关法律法规要求基金管理人提供任意一个交易日或全部交易日的基金份额持有人名册，基金管理人应及时提供，不得拖延或拒绝提供。</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应及时向基金托管人提交基金份额持有人名册。每年6月30日和12月31日的基金份额持有人名册应于下月前十个工作日内提交；基金合同生效日、基金合同终止日、基金份额持有人大会权益登记日等涉及到基金重要事项日期的基金份额持有人名册应于发生日后十个工作日内提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和基金托管人应妥善保管基金份额持有人名册，保存期限不低于法律法规规定的最低期限。基金托管人不得将所保管的基金份额持有人名册用于基金托管业务以外的其他用途，并应遵守保密义务。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（七）争议解决方式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双方当事人均有约束力，除非仲裁裁决另有规定，仲裁费由败诉方承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本协议适用中华人民共和国法律（为本协议之目的，不含港澳台地区法律）并从其解释。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（八）托管协议的变更与终止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1、托管协议的变更程序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本协议双方当事人经协商一致，可以对协议进行修改。修改后的新协议，其内容不得与基金合同的规定有任何冲突。基金托管协议的变更应按规定报中国证监会备案。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2、基金托管协议终止的情形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（2）基金托管人解散、依法被撤销、破产或由其他基金托管人接管基金资产；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（3）基金管理人解散、依法被撤销、破产或由其他基金管理人接管基金管理权；</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（4）发生法律法规、中国证监会或基金合同规定的其他终止事项。</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3、基金财产的清算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（1）基金财产清算小组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1)自出现《基金合同》终止事由之日起30个工作日内成立基金财产清算小组，基金管理人组织基金财产清算小组并在中国证监会的监督下进行基金清算。</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3)在基金财产清算过程中，基金管理人和基金托管人应各自履行职责，继续忠实、勤勉、尽责地履行基金合同和本托管协议规定的义务，维护基金份额持有人的合法权益。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（2）基金财产清算程序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1)基金合同终止情形出现时，由基金财产清算小组统一接管基金财产；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2)对基金财产和债权债务进行清理和确认；</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3)对基金财产进行估值和变现；</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4)制作清算报告；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5)聘请会计师事务所对清算报告进行外部审计；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6)聘请律师事务所对清算报告出具法律意见书；</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7)将清算报告报中国证监会备案；</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8)公告基金清算报告；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9)对基金剩余财产进行分配。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清算费用是指基金财产清算小组在进行基金财产清算过程中发生的所有合理费用，清算费用由基金财产清算小组优先从基金财产中支付。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（4）基金财产按下列顺序清偿：</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1)支付清算费用；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2)交纳所欠税款；</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3)清偿基金债务；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4)按基金份额持有人持有的基金份额比例进行分配。</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基金财产未按前款1)－3)项规定清偿前，不分配给基金份额持有人。</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（5）基金财产清算的公告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（6）基金财产清算账册及文件的保存</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基金财产清算账册及有关文件由基金托管人保存不低于法律法规规定的最低期限。</w:t>
      </w:r>
    </w:p>
    <w:p>
      <w:pPr>
        <w:pStyle w:val="Heading1"/>
        <w:snapToGrid w:val="0"/>
        <w:spacing w:before="240" w:beforeLines="0" w:after="0"/>
        <w:rPr>
          <w:rFonts w:ascii="宋体" w:hAnsi="宋体"/>
          <w:szCs w:val="30"/>
        </w:rPr>
      </w:pPr>
      <w:r>
        <w:br w:type="page"/>
      </w:r>
      <w:bookmarkStart w:id="48" w:name="_Toc256000023"/>
      <w:bookmarkStart w:id="49" w:name="_Toc256000050"/>
      <w:r>
        <w:rPr>
          <w:rFonts w:ascii="宋体" w:hAnsi="宋体"/>
          <w:sz w:val="30"/>
        </w:rPr>
        <w:t>二十三、对基金份额持有人的服务</w:t>
      </w:r>
      <w:bookmarkEnd w:id="49"/>
      <w:bookmarkEnd w:id="48"/>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（一）持有人交易资料的寄送服务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每次交易结束后，可在T+2个工作日后通过销售机构的网点查询和打印确认单。</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（二）网上直销服务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已开通基金网上直销业务，个人投资者可以直接通过本基金管理人网站的网上直销交易平台办理开户和本基金的申购、赎回、定期定额投资和转换等业务。通过网上直销交易平台办理本基金A类基金份额的申购和定期定额投资业务的个人投资者将享受前端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（三）信息咨询、查询服务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投资人如果想查询基金账户余额、基金产品与服务等信息，请拨打本基金管理人客户服务电话（400-700-5000，021-61055000）或登录本基金管理人网站（www.fund001.com）进行咨询、查询。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投资人可以拨打本基金管理人客户服务电话投诉直销机构的人员和服务。</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（四）基金红利再投资</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收益分配时，基金份额持有人持有的基金份额可选择现金红利或选择红利再投将现金红利自动转为基金份额进行再投资，若投资人不选择，本基金A类基金份额和C类基金份额默认的收益分配方式是现金分红，Y类基金份额默认的收益分配方式为红利再投资；基金份额持有人可对其持有的各类基金份额分别选择不同的收益分配方式。再投资红利按红利再投日（即除息日）除息后的基金份额净值自动转为基金份额，并免收申购费用。</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（五）定期定额投资计划</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本基金已开通定期定额投资计划，具体实施方法请参见相关公告。</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服务联系方式：</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本基金管理人的互联网地址及电子信箱</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网址：www.fund001.com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电子信箱：services@jysld.com</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投资者也可登录本基金管理人网站，直接提出有关本基金的问题和建议。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b/>
          <w:kern w:val="0"/>
          <w:sz w:val="24"/>
        </w:rPr>
        <w:t>（六）如本招募说明书存在任何您/贵机构无法理解的内容，请通过上述方式联系基金管理人。请确保投资前，您/贵机构已经全面理解了本招募说明书。</w:t>
      </w:r>
    </w:p>
    <w:p>
      <w:pPr>
        <w:pStyle w:val="Heading1"/>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1"/>
      <w:bookmarkEnd w:id="50"/>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基金合同如有未尽事宜，由基金合同当事人各方按有关法律法规协商解决。</w:t>
      </w:r>
    </w:p>
    <w:tbl>
      <w:tblPr>
        <w:tblW w:w="5000" w:type="pct"/>
        <w:tblInd w:w="0" w:type="dxa"/>
        <w:tblLayout w:type="fixed"/>
        <w:tblCellMar>
          <w:top w:w="0" w:type="dxa"/>
          <w:left w:w="0" w:type="dxa"/>
          <w:bottom w:w="0" w:type="dxa"/>
          <w:right w:w="0" w:type="dxa"/>
        </w:tblCellMar>
        <w:tblLook w:val="0000"/>
      </w:tblPr>
      <w:tblGrid>
        <w:gridCol w:w="605"/>
        <w:gridCol w:w="3629"/>
        <w:gridCol w:w="2823"/>
        <w:gridCol w:w="1613"/>
      </w:tblGrid>
      <w:tr>
        <w:tblPrEx>
          <w:tblW w:w="5000" w:type="pct"/>
          <w:tblInd w:w="0" w:type="dxa"/>
          <w:tblLayout w:type="fixed"/>
          <w:tblCellMar>
            <w:top w:w="0" w:type="dxa"/>
            <w:left w:w="0" w:type="dxa"/>
            <w:bottom w:w="0" w:type="dxa"/>
            <w:right w:w="0" w:type="dxa"/>
          </w:tblCellMar>
          <w:tblLook w:val="0000"/>
        </w:tblPrEx>
        <w:trPr>
          <w:cantSplit/>
          <w:trHeight w:val="375"/>
        </w:trPr>
        <w:tc>
          <w:tcPr>
            <w:tcW w:w="30"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披露日期</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交银施罗德上证科创板100指数型证券投资基金招募说明书更新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交银施罗德上证科创板100指数型证券投资基金（C类份额）基金产品资料概要更新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交银施罗德上证科创板100指数型证券投资基金（A类份额）基金产品资料概要更新</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2025-10-10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交银施罗德上证科创板100指数型证券投资基金2025年第3季度报告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2025-10-28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2025-12-20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交银施罗德上证科创板100指数型证券投资基金2025年第4季度报告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2026-01-21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交银施罗德上证科创板100指数型证券投资基金2025年年度报告</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2026-03-28</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交银施罗德上证科创板100指数型证券投资基金2026年第1季度报告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2026-04-21</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2026-06-06</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2026-06-13</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交银施罗德上证科创板100指数型证券投资基金2026年第2季度报告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2026-07-20</w:t>
            </w:r>
          </w:p>
        </w:tc>
      </w:tr>
      <w:tr>
        <w:tblPrEx>
          <w:tblW w:w="5000" w:type="pct"/>
          <w:tblInd w:w="0" w:type="dxa"/>
          <w:tblLayout w:type="fixed"/>
          <w:tblCellMar>
            <w:top w:w="0" w:type="dxa"/>
            <w:left w:w="0" w:type="dxa"/>
            <w:bottom w:w="0" w:type="dxa"/>
            <w:right w:w="0" w:type="dxa"/>
          </w:tblCellMar>
          <w:tblLook w:val="0000"/>
        </w:tblPrEx>
        <w:trPr>
          <w:cantSplit/>
          <w:trHeight w:val="375"/>
        </w:trPr>
        <w:tc>
          <w:tcPr>
            <w:tcW w:w="7" w:type="dxa"/>
            <w:tcBorders>
              <w:top w:val="single" w:sz="4" w:space="0" w:color="auto"/>
              <w:left w:val="single" w:sz="4" w:space="0" w:color="auto"/>
              <w:bottom w:val="single" w:sz="4" w:space="0" w:color="auto"/>
              <w:right w:val="single" w:sz="4" w:space="0" w:color="auto"/>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交银施罗德上证科创板100指数型证券投资基金2026年中期报告</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sz="4" w:space="0" w:color="auto"/>
              <w:left w:val="single" w:sz="4" w:space="0" w:color="auto"/>
              <w:bottom w:val="single" w:sz="4" w:space="0" w:color="auto"/>
              <w:right w:val="single" w:sz="4" w:space="0" w:color="auto"/>
            </w:tcBorders>
            <w:vAlign w:val="center"/>
          </w:tcPr>
          <w:p>
            <w:pPr>
              <w:spacing w:after="0" w:line="240" w:lineRule="auto"/>
              <w:jc w:val="center"/>
            </w:pPr>
            <w:r>
              <w:rPr>
                <w:rFonts w:ascii="宋体" w:hAnsi="宋体"/>
                <w:color w:val="000000"/>
                <w:kern w:val="0"/>
                <w:sz w:val="25"/>
                <w:szCs w:val="24"/>
              </w:rPr>
              <w:t>2026-08-31</w:t>
            </w:r>
          </w:p>
        </w:tc>
      </w:tr>
    </w:tbl>
    <w:p>
      <w:pPr>
        <w:pStyle w:val="Heading1"/>
        <w:snapToGrid w:val="0"/>
        <w:spacing w:before="240" w:beforeLines="0" w:after="0"/>
        <w:rPr>
          <w:rFonts w:ascii="宋体" w:hAnsi="宋体"/>
          <w:szCs w:val="30"/>
        </w:rPr>
      </w:pPr>
      <w:r>
        <w:br w:type="page"/>
      </w:r>
      <w:bookmarkStart w:id="52" w:name="_Toc256000025"/>
      <w:bookmarkStart w:id="53" w:name="_Toc256000052"/>
      <w:r>
        <w:rPr>
          <w:rFonts w:ascii="宋体" w:hAnsi="宋体"/>
          <w:sz w:val="30"/>
        </w:rPr>
        <w:t>二十五、招募说明书的存放及查阅方式</w:t>
      </w:r>
      <w:bookmarkEnd w:id="53"/>
      <w:bookmarkEnd w:id="52"/>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投资人还可以直接登录基金管理人的网站(www.fund001.com)查阅和下载招募说明书。</w:t>
      </w:r>
    </w:p>
    <w:p>
      <w:pPr>
        <w:pStyle w:val="Heading1"/>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5"/>
      <w:bookmarkEnd w:id="54"/>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以下备查文件存放在基金管理人的办公场所，在办公时间可供免费查阅。</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（一）中国证监会准予交银施罗德上证科创板100指数型证券投资基金募集注册的文件</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（二）《交银施罗德上证科创板100指数型证券投资基金基金合同》</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（三）《交银施罗德上证科创板100指数型证券投资基金托管协议》</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（四）基金管理人业务资格批件、营业执照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（五）基金托管人业务资格批件、营业执照</w:t>
      </w:r>
    </w:p>
    <w:p>
      <w:pPr>
        <w:autoSpaceDE w:val="0"/>
        <w:autoSpaceDN w:val="0"/>
        <w:adjustRightInd w:val="0"/>
        <w:snapToGrid w:val="0"/>
        <w:spacing w:after="0" w:line="360" w:lineRule="auto"/>
        <w:ind w:firstLine="420" w:firstLineChars="200"/>
        <w:jc w:val="left"/>
        <w:rPr>
          <w:rFonts w:ascii="宋体" w:hAnsi="宋体"/>
          <w:szCs w:val="24"/>
        </w:rPr>
      </w:pPr>
      <w:r w:rsidRPr="00BB248E">
        <w:rPr>
          <w:rFonts w:ascii="宋体" w:hAnsi="宋体" w:hint="eastAsia"/>
          <w:kern w:val="0"/>
          <w:sz w:val="24"/>
        </w:rPr>
        <w:t>（六）关于申请募集注册交银施罗德上证科创板100指数型证券投资基金的法律意见书</w:t>
      </w:r>
    </w:p>
    <w:sectPr>
      <w:footerReference w:type="default" r:id="rId16"/>
      <w:pgSz w:w="11920" w:h="16840"/>
      <w:pgMar w:top="1360" w:right="1580" w:bottom="280" w:left="1680" w:header="0" w:footer="1186"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0002AFF" w:usb1="C000247B" w:usb2="00000009" w:usb3="00000000" w:csb0="200001F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49" o:spid="_x0000_s2049" type="#_x0000_t202" style="height:11pt;margin-left:293.4pt;margin-top:782.6pt;mso-height-relative:page;mso-position-horizontal-relative:page;mso-position-vertical-relative:page;mso-width-relative:page;position:absolute;width:21.6pt;z-index:-251658240"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0" type="#_x0000_t202" style="height:11pt;margin-left:291.25pt;margin-top:773.85pt;mso-height-relative:page;mso-position-horizontal-relative:page;mso-position-vertical-relative:page;mso-width-relative:page;position:absolute;width:33.5pt;z-index:-251657216"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5</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autoSpaceDE w:val="0"/>
      <w:autoSpaceDN w:val="0"/>
      <w:adjustRightInd w:val="0"/>
      <w:spacing w:line="200" w:lineRule="exact"/>
      <w:jc w:val="left"/>
      <w:rPr>
        <w:rFonts w:ascii="Times New Roman" w:hAnsi="Times New Roman"/>
        <w:kern w:val="0"/>
        <w:sz w:val="20"/>
        <w:szCs w:val="20"/>
      </w:rPr>
    </w:pPr>
    <w:r>
      <w:pict>
        <v:shapetype id="_x0000_t202" coordsize="21600,21600" o:spt="202" path="m,l,21600r21600,l21600,xe">
          <v:stroke joinstyle="miter"/>
          <v:path gradientshapeok="t" o:connecttype="rect"/>
        </v:shapetype>
        <v:shape id="_x0000_s2068" o:spid="_x0000_s2051" type="#_x0000_t202" style="height:11pt;margin-left:291.25pt;margin-top:773.85pt;mso-height-relative:page;mso-position-horizontal-relative:page;mso-position-vertical-relative:page;mso-width-relative:page;position:absolute;width:33.5pt;z-index:-251656192" coordsize="21600,21600" o:allowincell="f" filled="f" stroked="f">
          <v:textbox inset="0,0,0,0">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159</w:t>
                </w:r>
                <w:r>
                  <w:rPr>
                    <w:rFonts w:ascii="Times New Roman" w:hAnsi="Times New Roman"/>
                    <w:kern w:val="0"/>
                    <w:sz w:val="18"/>
                    <w:szCs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snapToGrid w:val="0"/>
      <w:spacing w:before="0" w:after="0"/>
      <w:ind w:left="0" w:right="0" w:firstLine="0"/>
      <w:jc w:val="right"/>
      <w:rPr>
        <w:rFonts w:ascii="宋体" w:hAnsi="宋体" w:hint="eastAsia"/>
      </w:rPr>
    </w:pPr>
    <w:r>
      <w:rPr>
        <w:rFonts w:ascii="宋体" w:hAnsi="宋体" w:hint="eastAsia"/>
      </w:rPr>
      <w:t>交银施罗德上证科创板100指数型证券投资基金</w:t>
    </w:r>
    <w:r>
      <w:rPr>
        <w:rFonts w:ascii="宋体" w:hAnsi="宋体" w:hint="eastAsia"/>
      </w:rPr>
      <w:t>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hint="eastAsia"/>
      </w:rPr>
    </w:pPr>
  </w:p>
  <w:p>
    <w:pPr>
      <w:pStyle w:val="Header"/>
      <w:jc w:val="right"/>
      <w:rPr>
        <w:rFonts w:hint="eastAsia"/>
      </w:rPr>
    </w:pPr>
  </w:p>
  <w:p>
    <w:pPr>
      <w:pStyle w:val="Header"/>
      <w:snapToGrid w:val="0"/>
      <w:spacing w:before="0" w:after="0"/>
      <w:ind w:left="0" w:right="0" w:firstLine="0"/>
      <w:jc w:val="right"/>
      <w:rPr>
        <w:rFonts w:ascii="宋体" w:hAnsi="宋体" w:hint="eastAsia"/>
      </w:rPr>
    </w:pPr>
    <w:r>
      <w:rPr>
        <w:rFonts w:ascii="宋体" w:hAnsi="宋体" w:hint="eastAsia"/>
      </w:rPr>
      <w:t>交银施罗德上证科创板100指数型证券投资基金</w:t>
    </w:r>
    <w:r>
      <w:rPr>
        <w:rFonts w:ascii="宋体" w:hAnsi="宋体"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47D73EE"/>
    <w:multiLevelType w:val="multilevel"/>
    <w:tmpl w:val="547D73EE"/>
    <w:lvl w:ilvl="0">
      <w:start w:val="1"/>
      <w:numFmt w:val="decimal"/>
      <w:pStyle w:val="XBRLTitle1"/>
      <w:suff w:val="space"/>
      <w:lvlText w:val="§%1"/>
      <w:lvlJc w:val="left"/>
      <w:pPr>
        <w:ind w:left="425" w:hanging="425"/>
      </w:pPr>
      <w:rPr>
        <w:rFonts w:hint="eastAsia"/>
      </w:rPr>
    </w:lvl>
    <w:lvl w:ilvl="1">
      <w:start w:val="1"/>
      <w:numFmt w:val="decimal"/>
      <w:pStyle w:val="XBRLTitle2"/>
      <w:suff w:val="space"/>
      <w:lvlText w:val="%1.%2"/>
      <w:lvlJc w:val="left"/>
      <w:pPr>
        <w:ind w:left="738" w:hanging="454"/>
      </w:pPr>
      <w:rPr>
        <w:rFonts w:hint="eastAsia"/>
      </w:rPr>
    </w:lvl>
    <w:lvl w:ilvl="2">
      <w:start w:val="1"/>
      <w:numFmt w:val="decimal"/>
      <w:pStyle w:val="XBRLTitle3"/>
      <w:suff w:val="space"/>
      <w:lvlText w:val="%1.%2.%3"/>
      <w:lvlJc w:val="left"/>
      <w:pPr>
        <w:ind w:left="624" w:hanging="624"/>
      </w:p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05"/>
  <w:drawingGridVerticalSpacing w:val="120"/>
  <w:displayHorizontalDrawingGridEvery w:val="0"/>
  <w:displayVerticalDrawingGridEvery w:val="3"/>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uiPriority="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0" w:unhideWhenUsed="0" w:qFormat="1"/>
    <w:lsdException w:name="Salutation"/>
    <w:lsdException w:name="Date"/>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semiHidden="0"/>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semiHidden="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uiPriority="0" w:unhideWhenUsed="0"/>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kern w:val="2"/>
      <w:sz w:val="21"/>
      <w:szCs w:val="22"/>
      <w:lang w:val="en-US" w:eastAsia="zh-CN" w:bidi="ar-SA"/>
    </w:rPr>
  </w:style>
  <w:style w:type="paragraph" w:styleId="Heading1">
    <w:name w:val="heading 1"/>
    <w:basedOn w:val="Normal"/>
    <w:next w:val="Normal"/>
    <w:link w:val="1Char"/>
    <w:uiPriority w:val="9"/>
    <w:qFormat/>
    <w:pPr>
      <w:keepNext/>
      <w:keepLines/>
      <w:spacing w:before="100" w:beforeLines="100" w:after="100" w:afterLines="100" w:line="360" w:lineRule="auto"/>
      <w:jc w:val="center"/>
      <w:outlineLvl w:val="0"/>
    </w:pPr>
    <w:rPr>
      <w:b/>
      <w:bCs/>
      <w:kern w:val="44"/>
      <w:sz w:val="28"/>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b/>
      <w:bCs/>
      <w:sz w:val="32"/>
      <w:szCs w:val="32"/>
    </w:rPr>
  </w:style>
  <w:style w:type="paragraph" w:styleId="Heading4">
    <w:name w:val="heading 4"/>
    <w:basedOn w:val="Normal"/>
    <w:next w:val="Normal"/>
    <w:link w:val="4Char"/>
    <w:uiPriority w:val="9"/>
    <w:unhideWhenUsed/>
    <w:qFormat/>
    <w:pPr>
      <w:keepNext/>
      <w:keepLines/>
      <w:spacing w:before="280" w:after="290" w:line="376" w:lineRule="auto"/>
      <w:outlineLvl w:val="3"/>
    </w:pPr>
    <w:rPr>
      <w:rFonts w:ascii="Cambria" w:hAnsi="Cambria"/>
      <w:b/>
      <w:bCs/>
      <w:sz w:val="28"/>
      <w:szCs w:val="28"/>
    </w:rPr>
  </w:style>
  <w:style w:type="character" w:default="1" w:styleId="DefaultParagraphFont">
    <w:name w:val="Default Paragraph Font"/>
    <w:uiPriority w:val="1"/>
    <w:unhideWhenUsed/>
  </w:style>
  <w:style w:type="table" w:default="1" w:styleId="TableNormal">
    <w:name w:val="Normal Table"/>
    <w:uiPriority w:val="99"/>
    <w:unhideWhenUsed/>
    <w:qFormat/>
    <w:tblPr>
      <w:tblStyle w:val="TableNormal"/>
      <w:tblCellMar>
        <w:top w:w="0" w:type="dxa"/>
        <w:left w:w="108" w:type="dxa"/>
        <w:bottom w:w="0" w:type="dxa"/>
        <w:right w:w="108" w:type="dxa"/>
      </w:tblCellMar>
    </w:tblPr>
  </w:style>
  <w:style w:type="paragraph" w:styleId="CommentSubject">
    <w:name w:val="annotation subject"/>
    <w:basedOn w:val="CommentText"/>
    <w:next w:val="CommentText"/>
    <w:link w:val="Char0"/>
    <w:uiPriority w:val="99"/>
    <w:unhideWhenUsed/>
    <w:rPr>
      <w:b/>
      <w:bCs/>
    </w:rPr>
  </w:style>
  <w:style w:type="paragraph" w:styleId="CommentText">
    <w:name w:val="annotation text"/>
    <w:basedOn w:val="Normal"/>
    <w:link w:val="Char"/>
    <w:unhideWhenUsed/>
    <w:pPr>
      <w:jc w:val="left"/>
    </w:pPr>
  </w:style>
  <w:style w:type="paragraph" w:styleId="DocumentMap">
    <w:name w:val="Document Map"/>
    <w:basedOn w:val="Normal"/>
    <w:link w:val="Char4"/>
    <w:uiPriority w:val="99"/>
    <w:unhideWhenUsed/>
    <w:rPr>
      <w:rFonts w:ascii="宋体"/>
      <w:sz w:val="18"/>
      <w:szCs w:val="18"/>
    </w:rPr>
  </w:style>
  <w:style w:type="paragraph" w:styleId="BalloonText">
    <w:name w:val="Balloon Text"/>
    <w:basedOn w:val="Normal"/>
    <w:semiHidden/>
    <w:rPr>
      <w:sz w:val="18"/>
      <w:szCs w:val="18"/>
    </w:rPr>
  </w:style>
  <w:style w:type="paragraph" w:styleId="Footer">
    <w:name w:val="footer"/>
    <w:basedOn w:val="Normal"/>
    <w:link w:val="Char5"/>
    <w:uiPriority w:val="99"/>
    <w:unhideWhenUsed/>
    <w:pPr>
      <w:tabs>
        <w:tab w:val="center" w:pos="4153"/>
        <w:tab w:val="right" w:pos="8306"/>
      </w:tabs>
      <w:snapToGrid w:val="0"/>
      <w:jc w:val="left"/>
    </w:pPr>
    <w:rPr>
      <w:kern w:val="0"/>
      <w:sz w:val="18"/>
      <w:szCs w:val="18"/>
    </w:rPr>
  </w:style>
  <w:style w:type="paragraph" w:styleId="Header">
    <w:name w:val="header"/>
    <w:basedOn w:val="Normal"/>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TOC1">
    <w:name w:val="toc 1"/>
    <w:basedOn w:val="Normal"/>
    <w:next w:val="Normal"/>
    <w:uiPriority w:val="39"/>
    <w:unhideWhenUsed/>
    <w:pPr>
      <w:spacing w:after="0" w:line="320" w:lineRule="auto"/>
    </w:pPr>
    <w:rPr>
      <w:rFonts w:eastAsia="宋体"/>
      <w:sz w:val="24"/>
    </w:rPr>
  </w:style>
  <w:style w:type="paragraph" w:styleId="Subtitle">
    <w:name w:val="Subtitle"/>
    <w:basedOn w:val="Normal"/>
    <w:next w:val="Normal"/>
    <w:link w:val="Char3"/>
    <w:qFormat/>
    <w:pPr>
      <w:spacing w:before="240" w:after="60" w:line="312" w:lineRule="auto"/>
      <w:jc w:val="center"/>
      <w:outlineLvl w:val="1"/>
    </w:pPr>
    <w:rPr>
      <w:rFonts w:ascii="Cambria" w:hAnsi="Cambria"/>
      <w:b/>
      <w:bCs/>
      <w:kern w:val="28"/>
      <w:sz w:val="32"/>
      <w:szCs w:val="32"/>
    </w:rPr>
  </w:style>
  <w:style w:type="paragraph" w:styleId="TOC2">
    <w:name w:val="toc 2"/>
    <w:basedOn w:val="Normal"/>
    <w:next w:val="Normal"/>
    <w:uiPriority w:val="39"/>
    <w:unhideWhenUsed/>
    <w:pPr>
      <w:ind w:left="480" w:leftChars="200"/>
    </w:pPr>
  </w:style>
  <w:style w:type="character" w:styleId="Hyperlink">
    <w:name w:val="Hyperlink"/>
    <w:uiPriority w:val="99"/>
    <w:unhideWhenUsed/>
    <w:rPr>
      <w:color w:val="0000FF"/>
      <w:u w:val="single"/>
    </w:rPr>
  </w:style>
  <w:style w:type="character" w:styleId="CommentReference">
    <w:name w:val="annotation reference"/>
    <w:unhideWhenUsed/>
    <w:rPr>
      <w:sz w:val="21"/>
      <w:szCs w:val="21"/>
    </w:rPr>
  </w:style>
  <w:style w:type="table" w:styleId="TableGrid">
    <w:name w:val="Table Grid"/>
    <w:basedOn w:val="TableNormal"/>
    <w:uiPriority w:val="59"/>
    <w:tblPr>
      <w:tblStyle w:val="TableNorma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5">
    <w:name w:val="Light Shading Accent 5"/>
    <w:basedOn w:val="TableNormal"/>
    <w:uiPriority w:val="60"/>
    <w:rPr>
      <w:color w:val="31849B"/>
    </w:rPr>
    <w:tblPr>
      <w:tblStyle w:val="TableNormal"/>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single" w:sz="8" w:space="0" w:color="4BACC6"/>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TableNormal"/>
      </w:tblPr>
      <w:tcPr>
        <w:tcBorders>
          <w:top w:val="nil"/>
          <w:left w:val="nil"/>
          <w:bottom w:val="nil"/>
          <w:right w:val="nil"/>
          <w:insideH w:val="nil"/>
          <w:insideV w:val="nil"/>
          <w:tl2br w:val="nil"/>
          <w:tr2bl w:val="nil"/>
        </w:tcBorders>
        <w:shd w:val="clear" w:color="auto" w:fill="D2EAF1"/>
      </w:tcPr>
    </w:tblStylePr>
    <w:tblStylePr w:type="band1Horz">
      <w:tblPr>
        <w:tblStyle w:val="TableNormal"/>
      </w:tblPr>
      <w:tcPr>
        <w:tcBorders>
          <w:top w:val="nil"/>
          <w:left w:val="nil"/>
          <w:bottom w:val="nil"/>
          <w:right w:val="nil"/>
          <w:insideH w:val="nil"/>
          <w:insideV w:val="nil"/>
          <w:tl2br w:val="nil"/>
          <w:tr2bl w:val="nil"/>
        </w:tcBorders>
        <w:shd w:val="clear" w:color="auto" w:fill="D2EAF1"/>
      </w:tcPr>
    </w:tblStylePr>
  </w:style>
  <w:style w:type="paragraph" w:customStyle="1" w:styleId="20">
    <w:name w:val="20"/>
    <w:basedOn w:val="Heading1"/>
    <w:next w:val="Normal"/>
    <w:uiPriority w:val="39"/>
    <w:qFormat/>
    <w:pPr>
      <w:widowControl/>
      <w:spacing w:before="480" w:beforeLines="0" w:line="276" w:lineRule="auto"/>
      <w:jc w:val="left"/>
      <w:outlineLvl w:val="9"/>
    </w:pPr>
    <w:rPr>
      <w:rFonts w:ascii="Cambria" w:eastAsia="宋体" w:hAnsi="Cambria" w:cs="Times New Roman"/>
      <w:color w:val="365F91"/>
      <w:kern w:val="0"/>
      <w:szCs w:val="28"/>
    </w:rPr>
  </w:style>
  <w:style w:type="paragraph" w:customStyle="1" w:styleId="XBRLTitle6">
    <w:name w:val="XBRLTitle6"/>
    <w:basedOn w:val="Subtitle"/>
    <w:next w:val="Heading4"/>
    <w:qFormat/>
    <w:pPr>
      <w:keepNext/>
      <w:keepLines/>
      <w:numPr>
        <w:ilvl w:val="5"/>
        <w:numId w:val="1"/>
      </w:numPr>
      <w:ind w:left="0" w:firstLine="0"/>
      <w:jc w:val="left"/>
    </w:pPr>
    <w:rPr>
      <w:bCs w:val="0"/>
      <w:sz w:val="24"/>
    </w:rPr>
  </w:style>
  <w:style w:type="paragraph" w:customStyle="1" w:styleId="22">
    <w:name w:val="22"/>
    <w:uiPriority w:val="99"/>
    <w:semiHidden/>
    <w:rPr>
      <w:kern w:val="2"/>
      <w:sz w:val="21"/>
      <w:szCs w:val="22"/>
      <w:lang w:val="en-US" w:eastAsia="zh-CN" w:bidi="ar-SA"/>
    </w:rPr>
  </w:style>
  <w:style w:type="paragraph" w:customStyle="1" w:styleId="Default">
    <w:name w:val="Default"/>
    <w:pPr>
      <w:widowControl w:val="0"/>
      <w:autoSpaceDE w:val="0"/>
      <w:autoSpaceDN w:val="0"/>
      <w:adjustRightInd w:val="0"/>
    </w:pPr>
    <w:rPr>
      <w:rFonts w:ascii="宋体" w:cs="宋体"/>
      <w:color w:val="000000"/>
      <w:sz w:val="24"/>
      <w:szCs w:val="24"/>
      <w:lang w:val="en-US" w:eastAsia="zh-CN" w:bidi="ar-SA"/>
    </w:rPr>
  </w:style>
  <w:style w:type="paragraph" w:customStyle="1" w:styleId="Header0">
    <w:name w:val="Header_0"/>
    <w:uiPriority w:val="99"/>
    <w:unhideWhenUsed/>
    <w:rsid w:val="005D30BA"/>
    <w:pPr>
      <w:pBdr>
        <w:bottom w:val="single" w:sz="6" w:space="1" w:color="auto"/>
      </w:pBdr>
      <w:tabs>
        <w:tab w:val="center" w:pos="4153"/>
        <w:tab w:val="right" w:pos="8306"/>
      </w:tabs>
      <w:snapToGrid w:val="0"/>
      <w:jc w:val="left"/>
    </w:pPr>
    <w:rPr>
      <w:sz w:val="18"/>
      <w:szCs w:val="18"/>
    </w:rPr>
  </w:style>
  <w:style w:type="paragraph" w:customStyle="1" w:styleId="XBRLTitle1">
    <w:name w:val="XBRLTitle1"/>
    <w:basedOn w:val="Heading1"/>
    <w:next w:val="Heading2"/>
    <w:qFormat/>
    <w:pPr>
      <w:numPr>
        <w:ilvl w:val="0"/>
        <w:numId w:val="1"/>
      </w:numPr>
      <w:spacing w:before="340" w:beforeLines="50" w:after="330" w:afterLines="50" w:line="240" w:lineRule="auto"/>
    </w:pPr>
    <w:rPr>
      <w:rFonts w:ascii="Cambria" w:hAnsi="Cambria"/>
    </w:rPr>
  </w:style>
  <w:style w:type="paragraph" w:customStyle="1" w:styleId="XBRLTitle2">
    <w:name w:val="XBRLTitle2"/>
    <w:basedOn w:val="Subtitle"/>
    <w:next w:val="Heading4"/>
    <w:qFormat/>
    <w:pPr>
      <w:keepNext/>
      <w:keepLines/>
      <w:numPr>
        <w:ilvl w:val="1"/>
        <w:numId w:val="1"/>
      </w:numPr>
      <w:jc w:val="left"/>
    </w:pPr>
    <w:rPr>
      <w:bCs w:val="0"/>
      <w:sz w:val="24"/>
    </w:rPr>
  </w:style>
  <w:style w:type="paragraph" w:customStyle="1" w:styleId="XBRLTitle3">
    <w:name w:val="XBRLTitle3"/>
    <w:basedOn w:val="Subtitle"/>
    <w:next w:val="Heading4"/>
    <w:qFormat/>
    <w:pPr>
      <w:keepNext/>
      <w:keepLines/>
      <w:numPr>
        <w:ilvl w:val="2"/>
        <w:numId w:val="1"/>
      </w:numPr>
      <w:ind w:left="0" w:firstLine="0"/>
      <w:jc w:val="left"/>
    </w:pPr>
    <w:rPr>
      <w:bCs w:val="0"/>
      <w:sz w:val="24"/>
    </w:rPr>
  </w:style>
  <w:style w:type="paragraph" w:customStyle="1" w:styleId="XBRLTitle5">
    <w:name w:val="XBRLTitle5"/>
    <w:basedOn w:val="Subtitle"/>
    <w:next w:val="Heading4"/>
    <w:qFormat/>
    <w:pPr>
      <w:keepNext/>
      <w:keepLines/>
      <w:numPr>
        <w:ilvl w:val="4"/>
        <w:numId w:val="1"/>
      </w:numPr>
      <w:ind w:left="0" w:firstLine="0"/>
      <w:jc w:val="left"/>
    </w:pPr>
    <w:rPr>
      <w:bCs w:val="0"/>
      <w:sz w:val="24"/>
    </w:rPr>
  </w:style>
  <w:style w:type="paragraph" w:customStyle="1" w:styleId="XBRLTitle4">
    <w:name w:val="XBRLTitle4"/>
    <w:basedOn w:val="Subtitle"/>
    <w:next w:val="Heading4"/>
    <w:qFormat/>
    <w:pPr>
      <w:keepNext/>
      <w:keepLines/>
      <w:numPr>
        <w:ilvl w:val="3"/>
        <w:numId w:val="1"/>
      </w:numPr>
      <w:ind w:left="0" w:firstLine="0"/>
      <w:jc w:val="left"/>
    </w:pPr>
    <w:rPr>
      <w:bCs w:val="0"/>
      <w:sz w:val="24"/>
    </w:rPr>
  </w:style>
  <w:style w:type="character" w:customStyle="1" w:styleId="Char1">
    <w:name w:val="副标题 Char1"/>
    <w:rPr>
      <w:rFonts w:ascii="Cambria" w:hAnsi="Cambria"/>
      <w:b/>
      <w:kern w:val="28"/>
      <w:sz w:val="24"/>
      <w:szCs w:val="32"/>
    </w:rPr>
  </w:style>
  <w:style w:type="character" w:customStyle="1" w:styleId="txtcontent11">
    <w:name w:val="txtcontent11"/>
    <w:rPr>
      <w:rFonts w:ascii="ˎ̥" w:hAnsi="ˎ̥" w:hint="default"/>
      <w:color w:val="000000"/>
      <w:sz w:val="21"/>
      <w:szCs w:val="21"/>
    </w:rPr>
  </w:style>
  <w:style w:type="character" w:customStyle="1" w:styleId="Char">
    <w:name w:val="批注文字 Char"/>
    <w:link w:val="CommentText"/>
    <w:rPr>
      <w:kern w:val="2"/>
      <w:sz w:val="21"/>
      <w:szCs w:val="22"/>
    </w:rPr>
  </w:style>
  <w:style w:type="character" w:customStyle="1" w:styleId="Char0">
    <w:name w:val="批注主题 Char"/>
    <w:link w:val="CommentSubject"/>
    <w:uiPriority w:val="99"/>
    <w:semiHidden/>
    <w:rPr>
      <w:b/>
      <w:bCs/>
      <w:kern w:val="2"/>
      <w:sz w:val="21"/>
      <w:szCs w:val="22"/>
    </w:rPr>
  </w:style>
  <w:style w:type="character" w:customStyle="1" w:styleId="Char2">
    <w:name w:val="页眉 Char"/>
    <w:link w:val="Header"/>
    <w:uiPriority w:val="99"/>
    <w:rPr>
      <w:sz w:val="18"/>
      <w:szCs w:val="18"/>
    </w:rPr>
  </w:style>
  <w:style w:type="character" w:customStyle="1" w:styleId="Char3">
    <w:name w:val="副标题 Char"/>
    <w:link w:val="Subtitle"/>
    <w:rPr>
      <w:rFonts w:ascii="Cambria" w:hAnsi="Cambria" w:cs="Times New Roman"/>
      <w:b/>
      <w:bCs/>
      <w:kern w:val="28"/>
      <w:sz w:val="32"/>
      <w:szCs w:val="32"/>
    </w:rPr>
  </w:style>
  <w:style w:type="character" w:customStyle="1" w:styleId="Char4">
    <w:name w:val="文档结构图 Char"/>
    <w:link w:val="DocumentMap"/>
    <w:uiPriority w:val="99"/>
    <w:semiHidden/>
    <w:rPr>
      <w:rFonts w:ascii="宋体"/>
      <w:kern w:val="2"/>
      <w:sz w:val="18"/>
      <w:szCs w:val="18"/>
    </w:rPr>
  </w:style>
  <w:style w:type="character" w:customStyle="1" w:styleId="Char5">
    <w:name w:val="页脚 Char"/>
    <w:link w:val="Footer"/>
    <w:uiPriority w:val="99"/>
    <w:rPr>
      <w:sz w:val="18"/>
      <w:szCs w:val="18"/>
    </w:rPr>
  </w:style>
  <w:style w:type="character" w:customStyle="1" w:styleId="2Char">
    <w:name w:val="标题 2 Char"/>
    <w:link w:val="Heading2"/>
    <w:uiPriority w:val="9"/>
    <w:semiHidden/>
    <w:rPr>
      <w:rFonts w:ascii="Cambria" w:eastAsia="宋体" w:hAnsi="Cambria" w:cs="Times New Roman"/>
      <w:b/>
      <w:bCs/>
      <w:kern w:val="2"/>
      <w:sz w:val="32"/>
      <w:szCs w:val="32"/>
    </w:rPr>
  </w:style>
  <w:style w:type="character" w:customStyle="1" w:styleId="4Char">
    <w:name w:val="标题 4 Char"/>
    <w:link w:val="Heading4"/>
    <w:uiPriority w:val="9"/>
    <w:semiHidden/>
    <w:rPr>
      <w:rFonts w:ascii="Cambria" w:eastAsia="宋体" w:hAnsi="Cambria" w:cs="Times New Roman"/>
      <w:b/>
      <w:bCs/>
      <w:kern w:val="2"/>
      <w:sz w:val="28"/>
      <w:szCs w:val="28"/>
    </w:rPr>
  </w:style>
  <w:style w:type="character" w:customStyle="1" w:styleId="1Char">
    <w:name w:val="标题 1 Char"/>
    <w:link w:val="Heading1"/>
    <w:uiPriority w:val="9"/>
    <w:rPr>
      <w:b/>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image" Target="media/image1.png"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image" Target="media/image2.png" /><Relationship Id="rId15" Type="http://schemas.openxmlformats.org/officeDocument/2006/relationships/image" Target="media/image3.png"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lgn="ctr" cap="flat" cmpd="sng" w="9525">
          <a:solidFill>
            <a:schemeClr val="phClr">
              <a:shade val="95000"/>
              <a:satMod val="105000"/>
            </a:schemeClr>
          </a:solidFill>
          <a:prstDash val="solid"/>
        </a:ln>
        <a:ln algn="ctr" cap="flat" cmpd="sng" w="25400">
          <a:solidFill>
            <a:schemeClr val="phClr"/>
          </a:solidFill>
          <a:prstDash val="solid"/>
        </a:ln>
        <a:ln algn="ctr" cap="flat" cmpd="sng" w="38100">
          <a:solidFill>
            <a:schemeClr val="phClr"/>
          </a:solidFill>
          <a:prstDash val="solid"/>
        </a:ln>
      </a:lnStyleLst>
      <a:effectStyleLst>
        <a:effectStyle>
          <a:effectLst>
            <a:outerShdw blurRad="40000" dir="5400000" dist="20000" rotWithShape="0">
              <a:srgbClr val="000000">
                <a:alpha val="38000"/>
              </a:srgbClr>
            </a:outerShdw>
          </a:effectLst>
        </a:effectStyle>
        <a:effectStyle>
          <a:effectLst>
            <a:outerShdw blurRad="40000" dir="5400000" dist="23000" rotWithShape="0">
              <a:srgbClr val="000000">
                <a:alpha val="35000"/>
              </a:srgbClr>
            </a:outerShdw>
          </a:effectLst>
        </a:effectStyle>
        <a:effectStyle>
          <a:effectLst>
            <a:outerShdw blurRad="40000" dir="5400000" dist="23000" rotWithShape="0">
              <a:srgbClr val="000000">
                <a:alpha val="35000"/>
              </a:srgbClr>
            </a:outerShdw>
          </a:effectLst>
          <a:scene3d>
            <a:camera prst="orthographicFront">
              <a:rot lat="0" lon="0" rev="0"/>
            </a:camera>
            <a:lightRig dir="t" rig="threePt">
              <a:rot lat="0" lon="0" rev="1200000"/>
            </a:lightRig>
          </a:scene3d>
          <a:sp3d>
            <a:bevelT h="25400" w="635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b="180000" l="50000" r="50000" t="-80000"/>
          </a:path>
        </a:gradFill>
        <a:gradFill rotWithShape="1">
          <a:gsLst>
            <a:gs pos="0">
              <a:schemeClr val="phClr">
                <a:tint val="80000"/>
                <a:satMod val="300000"/>
              </a:schemeClr>
            </a:gs>
            <a:gs pos="100000">
              <a:schemeClr val="phClr">
                <a:shade val="30000"/>
                <a:satMod val="200000"/>
              </a:schemeClr>
            </a:gs>
          </a:gsLst>
          <a:path path="circle">
            <a:fillToRect b="50000" l="50000" r="50000" t="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6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13948</Words>
  <Characters>79510</Characters>
  <Application>Microsoft Office Word</Application>
  <DocSecurity>0</DocSecurity>
  <Lines>662</Lines>
  <Paragraphs>186</Paragraphs>
  <ScaleCrop>false</ScaleCrop>
  <Company>Microsoft</Company>
  <LinksUpToDate>false</LinksUpToDate>
  <CharactersWithSpaces>93272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系统用户</dc:creator>
  <cp:lastModifiedBy>系统用户</cp:lastModifiedBy>
  <cp:revision>12</cp:revision>
  <cp:lastPrinted>2013-02-18T03:10:00Z</cp:lastPrinted>
  <dcterms:created xsi:type="dcterms:W3CDTF">2017-10-27T08:43:00Z</dcterms:created>
  <dcterms:modified xsi:type="dcterms:W3CDTF">2018-01-18T14:20:53Z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