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9.0.0 -->
  <w:body>
    <w:p w:rsidR="00FC2918" w:rsidRPr="00335FE8" w:rsidP="006A53E7">
      <w:pPr>
        <w:spacing w:after="0"/>
        <w:jc w:val="center"/>
        <w:rPr>
          <w:rFonts w:ascii="黑体" w:eastAsia="黑体" w:hAnsi="黑体"/>
          <w:b/>
          <w:sz w:val="36"/>
        </w:rPr>
      </w:pPr>
      <w:r w:rsidRPr="00335FE8">
        <w:rPr>
          <w:rFonts w:ascii="黑体" w:eastAsia="黑体" w:hAnsi="黑体" w:hint="eastAsia"/>
          <w:b/>
          <w:sz w:val="36"/>
        </w:rPr>
        <w:t>交银施罗德现金宝货币市场基金（E类份额）</w:t>
      </w:r>
    </w:p>
    <w:p w:rsidR="00FC2918" w:rsidRPr="00335FE8" w:rsidP="006A53E7">
      <w:pPr>
        <w:spacing w:after="0"/>
        <w:jc w:val="center"/>
        <w:rPr>
          <w:rFonts w:ascii="黑体" w:eastAsia="黑体" w:hAnsi="黑体"/>
          <w:b/>
          <w:sz w:val="36"/>
        </w:rPr>
      </w:pPr>
      <w:r w:rsidRPr="00335FE8">
        <w:rPr>
          <w:rFonts w:ascii="黑体" w:eastAsia="黑体" w:hAnsi="黑体" w:hint="eastAsia"/>
          <w:b/>
          <w:sz w:val="36"/>
        </w:rPr>
        <w:t>基金产品资料概要更新</w:t>
      </w:r>
    </w:p>
    <w:p w:rsidR="00880454" w:rsidRPr="00335FE8" w:rsidP="00880454">
      <w:pPr>
        <w:spacing w:after="0"/>
        <w:jc w:val="right"/>
        <w:rPr>
          <w:rFonts w:ascii="仿宋_GB2312" w:eastAsia="仿宋_GB2312" w:hint="eastAsia"/>
          <w:kern w:val="0"/>
          <w:sz w:val="21"/>
          <w:szCs w:val="21"/>
        </w:rPr>
      </w:pPr>
      <w:r w:rsidRPr="00335FE8">
        <w:rPr>
          <w:rFonts w:ascii="仿宋_GB2312" w:eastAsia="仿宋_GB2312" w:hint="eastAsia"/>
          <w:sz w:val="21"/>
        </w:rPr>
        <w:t>编制日期：</w:t>
      </w:r>
      <w:r w:rsidRPr="00335FE8" w:rsidR="006A53E7">
        <w:rPr>
          <w:rFonts w:ascii="Times New Roman" w:eastAsia="Times New Roman" w:hAnsi="Times New Roman" w:cs="Times New Roman" w:hint="eastAsia"/>
          <w:kern w:val="0"/>
          <w:sz w:val="21"/>
          <w:szCs w:val="21"/>
        </w:rPr>
        <w:t>2026-09-02</w:t>
      </w:r>
    </w:p>
    <w:p w:rsidR="00264C81" w:rsidP="00264C81">
      <w:pPr>
        <w:spacing w:after="0" w:line="380" w:lineRule="exact"/>
        <w:jc w:val="center"/>
        <w:rPr>
          <w:rFonts w:ascii="仿宋_GB2312" w:eastAsia="仿宋_GB2312" w:hint="eastAsia"/>
          <w:b/>
          <w:iCs/>
          <w:sz w:val="21"/>
          <w:szCs w:val="21"/>
        </w:rPr>
      </w:pPr>
      <w:r>
        <w:rPr>
          <w:rFonts w:ascii="仿宋_GB2312" w:eastAsia="仿宋_GB2312" w:hint="eastAsia"/>
          <w:sz w:val="21"/>
        </w:rPr>
        <w:t>送出日期：</w:t>
      </w:r>
      <w:r>
        <w:rPr>
          <w:rFonts w:ascii="Times New Roman" w:eastAsia="Times New Roman" w:hAnsi="Times New Roman" w:cs="Times New Roman" w:hint="eastAsia"/>
          <w:kern w:val="0"/>
          <w:sz w:val="21"/>
          <w:szCs w:val="21"/>
        </w:rPr>
        <w:t>2026-10-09</w:t>
      </w:r>
      <w:bookmarkStart w:id="0" w:name="_GoBack"/>
      <w:bookmarkEnd w:id="0"/>
      <w:r>
        <w:rPr>
          <w:rFonts w:ascii="仿宋" w:hAnsi="仿宋" w:cs="仿宋" w:hint="eastAsia"/>
          <w:b/>
          <w:iCs/>
          <w:sz w:val="21"/>
          <w:szCs w:val="21"/>
        </w:rPr>
        <w:t xml:space="preserve"> </w:t>
      </w:r>
    </w:p>
    <w:p w:rsidR="006A53E7" w:rsidRPr="00335FE8" w:rsidP="00335FE8">
      <w:pPr>
        <w:autoSpaceDE w:val="0"/>
        <w:autoSpaceDN w:val="0"/>
        <w:adjustRightInd w:val="0"/>
        <w:spacing w:after="0"/>
        <w:jc w:val="center"/>
        <w:rPr>
          <w:rFonts w:ascii="黑体" w:eastAsia="黑体" w:hAnsi="黑体" w:cs="FZHTJW--GB1-0"/>
          <w:kern w:val="0"/>
          <w:sz w:val="30"/>
          <w:szCs w:val="30"/>
        </w:rPr>
      </w:pPr>
      <w:r w:rsidRPr="00335FE8">
        <w:rPr>
          <w:rFonts w:ascii="黑体" w:eastAsia="黑体" w:hAnsi="黑体" w:cs="宋体" w:hint="eastAsia"/>
          <w:kern w:val="0"/>
          <w:sz w:val="30"/>
          <w:szCs w:val="30"/>
        </w:rPr>
        <w:t>本概要提供本基金的重要信息，是招募说明书的一部分。</w:t>
      </w:r>
    </w:p>
    <w:p w:rsidR="006A53E7" w:rsidRPr="00335FE8" w:rsidP="00335FE8">
      <w:pPr>
        <w:spacing w:after="0"/>
        <w:jc w:val="center"/>
        <w:rPr>
          <w:rFonts w:ascii="黑体" w:eastAsia="黑体" w:hAnsi="黑体" w:cs="宋体"/>
          <w:kern w:val="0"/>
          <w:sz w:val="30"/>
          <w:szCs w:val="30"/>
        </w:rPr>
      </w:pPr>
      <w:r w:rsidRPr="00335FE8">
        <w:rPr>
          <w:rFonts w:ascii="黑体" w:eastAsia="黑体" w:hAnsi="黑体" w:cs="宋体" w:hint="eastAsia"/>
          <w:kern w:val="0"/>
          <w:sz w:val="30"/>
          <w:szCs w:val="30"/>
        </w:rPr>
        <w:t>作出投资决定前，请阅读完整的招募说明书等销售文件。</w:t>
      </w:r>
    </w:p>
    <w:p w:rsidR="006A53E7" w:rsidRPr="00335FE8" w:rsidP="00401C56">
      <w:pPr>
        <w:spacing w:after="0"/>
        <w:jc w:val="left"/>
        <w:rPr>
          <w:rFonts w:ascii="仿宋_GB2312" w:eastAsia="仿宋_GB2312" w:hAnsi="宋体" w:cs="宋体"/>
          <w:b/>
          <w:kern w:val="0"/>
          <w:sz w:val="21"/>
          <w:szCs w:val="21"/>
        </w:rPr>
      </w:pPr>
      <w:r w:rsidRPr="00335FE8">
        <w:rPr>
          <w:rFonts w:ascii="仿宋_GB2312" w:eastAsia="仿宋_GB2312" w:hAnsi="宋体" w:cs="宋体" w:hint="eastAsia"/>
          <w:b/>
          <w:kern w:val="0"/>
          <w:sz w:val="21"/>
          <w:szCs w:val="21"/>
        </w:rPr>
        <w:t>一、产品概况</w:t>
      </w:r>
    </w:p>
    <w:tbl>
      <w:tblPr>
        <w:tblStyle w:val="TableGri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547"/>
        <w:gridCol w:w="1601"/>
        <w:gridCol w:w="3649"/>
        <w:gridCol w:w="1275"/>
      </w:tblGrid>
      <w:tr w:rsidTr="00902522">
        <w:tblPrEx>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547" w:type="dxa"/>
            <w:vAlign w:val="center"/>
          </w:tcPr>
          <w:p w:rsidR="00AF7A1E" w:rsidRPr="00335FE8" w:rsidP="00AF7A1E">
            <w:pPr>
              <w:widowControl/>
              <w:spacing w:after="0" w:line="240" w:lineRule="auto"/>
              <w:jc w:val="left"/>
              <w:rPr>
                <w:rFonts w:ascii="仿宋_GB2312" w:eastAsia="仿宋_GB2312"/>
                <w:sz w:val="21"/>
                <w:szCs w:val="21"/>
              </w:rPr>
            </w:pPr>
            <w:r w:rsidRPr="00335FE8">
              <w:rPr>
                <w:rFonts w:ascii="仿宋_GB2312" w:eastAsia="仿宋_GB2312" w:hint="eastAsia"/>
                <w:sz w:val="21"/>
                <w:szCs w:val="21"/>
              </w:rPr>
              <w:t>基金简称</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交银现金宝货币E</w:t>
            </w:r>
          </w:p>
        </w:tc>
        <w:tc>
          <w:tcPr>
            <w:tcW w:w="3649" w:type="dxa"/>
            <w:vAlign w:val="center"/>
          </w:tcPr>
          <w:p w:rsidR="00AF7A1E" w:rsidRPr="00335FE8" w:rsidP="00AF7A1E">
            <w:pPr>
              <w:spacing w:after="0" w:line="240" w:lineRule="auto"/>
              <w:rPr>
                <w:rFonts w:ascii="仿宋_GB2312" w:eastAsia="仿宋_GB2312"/>
                <w:sz w:val="21"/>
                <w:szCs w:val="21"/>
              </w:rPr>
            </w:pPr>
            <w:r w:rsidRPr="00335FE8">
              <w:rPr>
                <w:rFonts w:ascii="仿宋_GB2312" w:eastAsia="仿宋_GB2312" w:hint="eastAsia"/>
                <w:sz w:val="21"/>
                <w:szCs w:val="21"/>
              </w:rPr>
              <w:t>基金代码</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002918</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基金管理人</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交银施罗德基金管理有限公司</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基金托管人</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中信银行股份有限公司</w:t>
            </w:r>
          </w:p>
        </w:tc>
      </w:tr>
      <w:tr w:rsidTr="00902522">
        <w:tblPrEx>
          <w:tblW w:w="9072" w:type="dxa"/>
          <w:jc w:val="center"/>
          <w:tblLook w:val="04A0"/>
        </w:tblPrEx>
        <w:trPr>
          <w:gridAfter w:val="2"/>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基金合同生效日</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2014-09-12</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基金类型</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货币市场基金</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交易币种</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人民币</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运作方式</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普通开放式</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开放频率</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每个开放日</w:t>
            </w:r>
          </w:p>
        </w:tc>
      </w:tr>
      <w:tr w:rsidTr="00902522">
        <w:tblPrEx>
          <w:tblW w:w="9072" w:type="dxa"/>
          <w:jc w:val="center"/>
          <w:tblLook w:val="04A0"/>
        </w:tblPrEx>
        <w:trPr>
          <w:jc w:val="center"/>
        </w:trPr>
        <w:tc>
          <w:tcPr>
            <w:tcW w:w="2547"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基金经理</w:t>
            </w:r>
          </w:p>
        </w:tc>
        <w:tc>
          <w:tcPr>
            <w:tcW w:w="1601"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季参平</w:t>
            </w:r>
          </w:p>
        </w:tc>
        <w:tc>
          <w:tcPr>
            <w:tcW w:w="3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开始担任本基金基金经理的日期</w:t>
            </w:r>
          </w:p>
        </w:tc>
        <w:tc>
          <w:tcPr>
            <w:tcW w:w="2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2019-07-26</w:t>
            </w:r>
          </w:p>
        </w:tc>
      </w:tr>
      <w:tr w:rsidTr="00902522">
        <w:tblPrEx>
          <w:tblW w:w="9072" w:type="dxa"/>
          <w:jc w:val="center"/>
          <w:tblLook w:val="04A0"/>
        </w:tblPrEx>
        <w:trPr>
          <w:jc w:val="center"/>
        </w:trPr>
        <w:tc>
          <w:tcPr>
            <w:tcW w:w="2547" w:type="dxa"/>
            <w:vMerge/>
          </w:tcPr>
          <w:p w:rsidR="006A53E7" w:rsidRPr="00335FE8" w:rsidP="006A53E7">
            <w:pPr>
              <w:spacing w:after="0" w:line="240" w:lineRule="auto"/>
              <w:jc w:val="left"/>
              <w:rPr>
                <w:rFonts w:ascii="仿宋_GB2312" w:eastAsia="仿宋_GB2312" w:hint="eastAsia"/>
                <w:sz w:val="21"/>
                <w:szCs w:val="21"/>
              </w:rPr>
            </w:pPr>
          </w:p>
        </w:tc>
        <w:tc>
          <w:tcPr>
            <w:tcW w:w="1601" w:type="dxa"/>
            <w:vMerge/>
          </w:tcPr>
          <w:p w:rsidR="006A53E7" w:rsidRPr="00335FE8" w:rsidP="006A53E7">
            <w:pPr>
              <w:spacing w:after="0" w:line="240" w:lineRule="auto"/>
              <w:jc w:val="left"/>
              <w:rPr>
                <w:rFonts w:ascii="仿宋_GB2312" w:eastAsia="仿宋_GB2312" w:hint="eastAsia"/>
                <w:sz w:val="21"/>
                <w:szCs w:val="21"/>
              </w:rPr>
            </w:pPr>
          </w:p>
        </w:tc>
        <w:tc>
          <w:tcPr>
            <w:tcW w:w="3649"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证券从业日期</w:t>
            </w:r>
          </w:p>
        </w:tc>
        <w:tc>
          <w:tcPr>
            <w:tcW w:w="1275"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2012-03-19</w:t>
            </w:r>
          </w:p>
        </w:tc>
      </w:tr>
      <w:tr w:rsidTr="00902522">
        <w:tblPrEx>
          <w:tblW w:w="9072" w:type="dxa"/>
          <w:jc w:val="center"/>
          <w:tblLook w:val="04A0"/>
        </w:tblPrEx>
        <w:trPr>
          <w:jc w:val="center"/>
        </w:trPr>
        <w:tc>
          <w:tcPr>
            <w:tcW w:w="2547"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其他</w:t>
            </w:r>
          </w:p>
        </w:tc>
        <w:tc>
          <w:tcPr>
            <w:tcW w:w="6525" w:type="dxa"/>
            <w:gridSpan w:val="3"/>
          </w:tcPr>
          <w:p w:rsidR="002E7E5E" w:rsidRPr="00335FE8" w:rsidP="006A53E7">
            <w:pPr>
              <w:spacing w:after="0" w:line="240" w:lineRule="auto"/>
              <w:ind w:firstLine="420"/>
              <w:jc w:val="left"/>
              <w:rPr>
                <w:rFonts w:ascii="仿宋_GB2312" w:eastAsia="仿宋_GB2312" w:hint="eastAsia"/>
                <w:sz w:val="21"/>
                <w:szCs w:val="21"/>
              </w:rPr>
            </w:pPr>
            <w:r>
              <w:rPr>
                <w:rFonts w:ascii="仿宋_GB2312" w:eastAsia="仿宋_GB2312" w:hint="eastAsia"/>
                <w:sz w:val="21"/>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出解决方案，如转换运作方式、与其他基金合并或者终止基金合同等，并召开基金份额持有人大会进行表决。</w:t>
            </w:r>
          </w:p>
          <w:p w:rsidR="002E7E5E" w:rsidRPr="00335FE8" w:rsidP="006A53E7">
            <w:pPr>
              <w:spacing w:after="0" w:line="240" w:lineRule="auto"/>
              <w:ind w:firstLine="420"/>
              <w:jc w:val="left"/>
              <w:rPr>
                <w:rFonts w:ascii="仿宋_GB2312" w:eastAsia="仿宋_GB2312" w:hint="eastAsia"/>
                <w:sz w:val="21"/>
                <w:szCs w:val="21"/>
              </w:rPr>
            </w:pPr>
            <w:r>
              <w:rPr>
                <w:rFonts w:ascii="仿宋_GB2312" w:eastAsia="仿宋_GB2312" w:hint="eastAsia"/>
                <w:sz w:val="21"/>
                <w:szCs w:val="21"/>
              </w:rPr>
              <w:t>基金合同生效后的存续期内，出现以下情形之一的，本基金可与其他基金合并或终止本基金合同，不需召开基金份额持有人大会：</w:t>
            </w:r>
          </w:p>
          <w:p w:rsidR="002E7E5E" w:rsidRPr="00335FE8" w:rsidP="006A53E7">
            <w:pPr>
              <w:spacing w:after="0" w:line="240" w:lineRule="auto"/>
              <w:ind w:firstLine="420"/>
              <w:jc w:val="left"/>
              <w:rPr>
                <w:rFonts w:ascii="仿宋_GB2312" w:eastAsia="仿宋_GB2312" w:hint="eastAsia"/>
                <w:sz w:val="21"/>
                <w:szCs w:val="21"/>
              </w:rPr>
            </w:pPr>
            <w:r>
              <w:rPr>
                <w:rFonts w:ascii="仿宋_GB2312" w:eastAsia="仿宋_GB2312" w:hint="eastAsia"/>
                <w:sz w:val="21"/>
                <w:szCs w:val="21"/>
              </w:rPr>
              <w:t>1、基金份额持有人数量连续90个工作日达不到200人。</w:t>
            </w:r>
          </w:p>
          <w:p w:rsidR="002E7E5E" w:rsidRPr="00335FE8" w:rsidP="006A53E7">
            <w:pPr>
              <w:spacing w:after="0" w:line="240" w:lineRule="auto"/>
              <w:ind w:firstLine="420"/>
              <w:jc w:val="left"/>
              <w:rPr>
                <w:rFonts w:ascii="仿宋_GB2312" w:eastAsia="仿宋_GB2312" w:hint="eastAsia"/>
                <w:sz w:val="21"/>
                <w:szCs w:val="21"/>
              </w:rPr>
            </w:pPr>
            <w:r>
              <w:rPr>
                <w:rFonts w:ascii="仿宋_GB2312" w:eastAsia="仿宋_GB2312" w:hint="eastAsia"/>
                <w:sz w:val="21"/>
                <w:szCs w:val="21"/>
              </w:rPr>
              <w:t>2、基金资产净值连续90个工作日低于5000万元。</w:t>
            </w:r>
          </w:p>
        </w:tc>
      </w:tr>
    </w:tbl>
    <w:p w:rsidR="00D373CC" w:rsidRPr="00335FE8" w:rsidP="006A53E7">
      <w:pPr>
        <w:spacing w:after="0"/>
        <w:jc w:val="left"/>
        <w:rPr>
          <w:rFonts w:ascii="仿宋_GB2312" w:eastAsia="仿宋_GB2312" w:hAnsi="宋体" w:cs="宋体"/>
          <w:b/>
          <w:kern w:val="0"/>
          <w:sz w:val="21"/>
          <w:szCs w:val="21"/>
        </w:rPr>
      </w:pPr>
      <w:r w:rsidRPr="00335FE8">
        <w:rPr>
          <w:rFonts w:ascii="仿宋_GB2312" w:eastAsia="仿宋_GB2312" w:hAnsi="宋体" w:cs="宋体" w:hint="eastAsia"/>
          <w:b/>
          <w:kern w:val="0"/>
          <w:sz w:val="21"/>
          <w:szCs w:val="21"/>
        </w:rPr>
        <w:t>二、基金投资与净值表现</w:t>
      </w:r>
    </w:p>
    <w:p w:rsidR="00D373CC" w:rsidRPr="00335FE8" w:rsidP="00D373CC">
      <w:pPr>
        <w:spacing w:after="0"/>
        <w:jc w:val="left"/>
        <w:rPr>
          <w:rFonts w:ascii="仿宋_GB2312" w:eastAsia="仿宋_GB2312"/>
          <w:b/>
          <w:sz w:val="21"/>
          <w:szCs w:val="21"/>
        </w:rPr>
      </w:pPr>
      <w:r w:rsidRPr="00335FE8">
        <w:rPr>
          <w:rFonts w:ascii="仿宋_GB2312" w:eastAsia="仿宋_GB2312" w:hint="eastAsia"/>
          <w:b/>
          <w:sz w:val="21"/>
          <w:szCs w:val="21"/>
        </w:rPr>
        <w:t>（一）投资目标与投资策略</w:t>
      </w:r>
    </w:p>
    <w:tbl>
      <w:tblPr>
        <w:tblStyle w:val="TableGri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547"/>
        <w:gridCol w:w="6525"/>
      </w:tblGrid>
      <w:tr w:rsidTr="002F5DBC">
        <w:tblPrEx>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547" w:type="dxa"/>
            <w:vAlign w:val="center"/>
          </w:tcPr>
          <w:p w:rsidR="00D373CC" w:rsidRPr="00335FE8" w:rsidP="00D373CC">
            <w:pPr>
              <w:widowControl/>
              <w:spacing w:after="0" w:line="240" w:lineRule="auto"/>
              <w:jc w:val="left"/>
              <w:rPr>
                <w:rFonts w:ascii="仿宋_GB2312" w:eastAsia="仿宋_GB2312" w:hint="eastAsia"/>
                <w:sz w:val="21"/>
                <w:szCs w:val="21"/>
              </w:rPr>
            </w:pPr>
            <w:r w:rsidRPr="00335FE8">
              <w:rPr>
                <w:rFonts w:ascii="仿宋_GB2312" w:eastAsia="仿宋_GB2312" w:hint="eastAsia"/>
                <w:sz w:val="21"/>
                <w:szCs w:val="21"/>
              </w:rPr>
              <w:t>投资目标</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在力求本金安全性和资产充分流动性的前提下，追求超过业绩比较基准的投资收益。</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投资范围</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投资于法律法规及监管机构允许投资的金融工具，包括现金，通知存款，短期融资券(包括超级短期融资券)，1年以内(含1年)的银行定期存款、大额存单，期限在1年以内(含1年)的债券回购，剩余期限在397天以内(含397天)的债券、资产支持证券和中期票据，期限在1年以内(含1年)的中央银行票据，中国证监会、中国人民银行认可的其他具有良好流动性的货币市场工具及相关衍生工具(但须符合中国证监会相关规定)。</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未来若法律法规或监管机构允许货币市场基金投资同业存单的，在不改变基金投资目标、基金风险收益特征的条件下，本基金可参与同业存单的投资，不需召开基金份额持有人大会，具体投资比例限制按届时有效的法律法规和监管机构的规定执行。</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法律法规或监管机构允许货币市场基金投资其他货币市场基金的，在不改变基金投资目标、基金风险收益特征的条件下，本基金可投资于其他货币市场基金，此项变动不需召开基金份额持有人大会。具体投资比例限制按届时有效的法律法规和监管机构的规定执行。</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如法律法规或监管机构以后允许货币市场基金投资其他金融工具，基金管理人在履行适当程序后，可以将其纳入投资范围，其投资比例遵循届时有效法律法规或相关规定。</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主要投资策略</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在保持组合高度流动性的前提下，结合对国内外宏观经济运行、金融市场运行、资金流动格局、货币市场收益率曲线形态等各方面的分析，合理安排组合期限结构，积极选择投资工具，采取主动性的投资策略和精细化的操作手法。具体包括：</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1、短期利率水平预期策略；2、收益率曲线分析策略；3、组合剩余期限策略、期限配置策略；4、类别品种配置策略；5、流动性管理策略；6、无风险套利策略；7、滚动配置策略；8、其他金融工具投资策略。</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业绩比较基准</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活期存款利率（税后）</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风险收益特征</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属于货币市场基金，是证券投资基金中的低风险品种，长期风险收益水平低于股票型基金、混合型基金和债券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rsidR="00D373CC" w:rsidRPr="00335FE8" w:rsidP="00D373CC">
      <w:pPr>
        <w:spacing w:after="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详见《交银施罗德现金宝货币市场基金招募说明书》“基金的投资”。</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b/>
          <w:sz w:val="21"/>
          <w:szCs w:val="21"/>
        </w:rPr>
        <w:t>（二）投资组合资产配置图表/区域配置图表</w:t>
      </w:r>
    </w:p>
    <w:p w:rsidR="00D373CC" w:rsidRPr="00335FE8" w:rsidP="00D373CC">
      <w:pPr>
        <w:spacing w:after="0"/>
        <w:jc w:val="center"/>
        <w:rPr>
          <w:rFonts w:ascii="仿宋_GB2312" w:eastAsia="仿宋_GB2312"/>
          <w:b/>
          <w:sz w:val="21"/>
          <w:szCs w:val="21"/>
        </w:rPr>
      </w:pPr>
      <w:r>
        <w:rPr>
          <w:rFonts w:ascii="仿宋_GB2312" w:hAnsi="仿宋_GB2312"/>
          <w:kern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250pt;width:454pt">
            <v:imagedata r:id="rId4" o:title="1521256610242020828"/>
          </v:shape>
        </w:pic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由于四舍五入的原因，分项之和与合计项之间可能存在尾差。</w:t>
      </w:r>
    </w:p>
    <w:p w:rsidR="00D373CC" w:rsidRPr="00335FE8" w:rsidP="00D373CC">
      <w:pPr>
        <w:spacing w:after="0"/>
        <w:jc w:val="left"/>
        <w:rPr>
          <w:rFonts w:ascii="仿宋_GB2312" w:eastAsia="仿宋_GB2312" w:hAnsi="仿宋_GB2312" w:cs="仿宋_GB2312" w:hint="eastAsia"/>
          <w:b/>
          <w:sz w:val="21"/>
          <w:szCs w:val="21"/>
        </w:rPr>
      </w:pPr>
      <w:r w:rsidRPr="00335FE8">
        <w:rPr>
          <w:rFonts w:ascii="仿宋_GB2312" w:eastAsia="仿宋_GB2312" w:hint="eastAsia"/>
          <w:b/>
          <w:sz w:val="21"/>
          <w:szCs w:val="21"/>
        </w:rPr>
        <w:t>（三）</w:t>
      </w:r>
      <w:r w:rsidRPr="0090269C">
        <w:rPr>
          <w:rFonts w:ascii="仿宋_GB2312" w:eastAsia="仿宋_GB2312" w:hint="eastAsia"/>
          <w:b/>
          <w:sz w:val="21"/>
          <w:szCs w:val="21"/>
        </w:rPr>
        <w:t>自基金合同生效以来/最近十年（孰短）基金每年的净值收益率及与同期业绩比较基准的比较图</w:t>
      </w:r>
    </w:p>
    <w:p w:rsidR="00D373CC" w:rsidRPr="00335FE8" w:rsidP="00D373CC">
      <w:pPr>
        <w:spacing w:after="0"/>
        <w:jc w:val="center"/>
        <w:rPr>
          <w:rFonts w:ascii="仿宋_GB2312" w:eastAsia="仿宋_GB2312"/>
          <w:b/>
          <w:sz w:val="21"/>
          <w:szCs w:val="21"/>
        </w:rPr>
      </w:pPr>
      <w:r>
        <w:rPr>
          <w:rFonts w:ascii="仿宋_GB2312" w:hAnsi="仿宋_GB2312"/>
          <w:kern w:val="0"/>
          <w:sz w:val="21"/>
        </w:rPr>
        <w:pict>
          <v:shape id="_x0000_i1026" type="#_x0000_t75" style="height:160pt;width:500pt">
            <v:imagedata r:id="rId5" o:title="1521256610242020828"/>
          </v:shape>
        </w:pic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1、净值表现数据的截止日为2025年12月31日；</w:t>
      </w:r>
    </w:p>
    <w:p w:rsidR="00F811C4" w:rsidRPr="00335FE8" w:rsidP="00F811C4">
      <w:pPr>
        <w:spacing w:after="0"/>
        <w:ind w:left="420" w:firstLine="400" w:firstLineChars="200"/>
        <w:jc w:val="left"/>
        <w:rPr>
          <w:rFonts w:ascii="仿宋_GB2312" w:eastAsia="仿宋_GB2312" w:hint="eastAsia"/>
          <w:sz w:val="21"/>
          <w:szCs w:val="21"/>
        </w:rPr>
      </w:pPr>
      <w:r w:rsidRPr="00335FE8">
        <w:rPr>
          <w:rFonts w:ascii="仿宋_GB2312" w:eastAsia="仿宋_GB2312" w:hint="eastAsia"/>
          <w:sz w:val="21"/>
          <w:szCs w:val="21"/>
        </w:rPr>
        <w:t>2、本基金份额于2016年9月13日开始确认，首次确认当年净值收益率按实际存续期计算；</w:t>
      </w:r>
    </w:p>
    <w:p w:rsidR="00F811C4" w:rsidRPr="00335FE8" w:rsidP="00F811C4">
      <w:pPr>
        <w:spacing w:after="0"/>
        <w:ind w:left="420" w:firstLine="400" w:firstLineChars="200"/>
        <w:jc w:val="left"/>
        <w:rPr>
          <w:rFonts w:ascii="仿宋_GB2312" w:eastAsia="仿宋_GB2312" w:hint="eastAsia"/>
          <w:sz w:val="21"/>
          <w:szCs w:val="21"/>
        </w:rPr>
      </w:pPr>
      <w:r w:rsidRPr="00335FE8">
        <w:rPr>
          <w:rFonts w:ascii="仿宋_GB2312" w:eastAsia="仿宋_GB2312" w:hint="eastAsia"/>
          <w:sz w:val="21"/>
          <w:szCs w:val="21"/>
        </w:rPr>
        <w:t>3、基金的过往业绩不代表未来表现。</w:t>
      </w:r>
    </w:p>
    <w:p w:rsidR="00D373CC"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三、投资本基金涉及的费用</w:t>
      </w:r>
    </w:p>
    <w:p w:rsidR="00D373CC"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（一）基金销售相关费用</w:t>
      </w:r>
    </w:p>
    <w:p w:rsidR="00D373CC" w:rsidRPr="00335FE8" w:rsidP="00D373CC">
      <w:pPr>
        <w:spacing w:after="0"/>
        <w:ind w:firstLine="420"/>
        <w:jc w:val="left"/>
        <w:rPr>
          <w:rFonts w:ascii="仿宋_GB2312" w:eastAsia="仿宋_GB2312"/>
          <w:sz w:val="21"/>
          <w:szCs w:val="21"/>
        </w:rPr>
      </w:pPr>
      <w:r w:rsidRPr="00335FE8">
        <w:rPr>
          <w:rFonts w:ascii="仿宋_GB2312" w:eastAsia="仿宋_GB2312" w:hint="eastAsia"/>
          <w:sz w:val="21"/>
          <w:szCs w:val="21"/>
        </w:rPr>
        <w:t>无。</w:t>
      </w:r>
    </w:p>
    <w:p w:rsidR="00D373CC" w:rsidRPr="00335FE8" w:rsidP="00D373CC">
      <w:pPr>
        <w:spacing w:after="0"/>
        <w:jc w:val="left"/>
        <w:rPr>
          <w:rFonts w:ascii="仿宋_GB2312" w:eastAsia="仿宋_GB2312" w:hAnsi="仿宋_GB2312" w:cs="仿宋_GB2312" w:hint="eastAsia"/>
          <w:b/>
          <w:sz w:val="21"/>
          <w:szCs w:val="21"/>
        </w:rPr>
      </w:pPr>
      <w:r w:rsidRPr="00335FE8">
        <w:rPr>
          <w:rFonts w:ascii="仿宋_GB2312" w:eastAsia="仿宋_GB2312" w:hint="eastAsia"/>
          <w:b/>
          <w:sz w:val="21"/>
          <w:szCs w:val="21"/>
        </w:rPr>
        <w:t>（二）基金运作相关费用</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sz w:val="21"/>
          <w:szCs w:val="21"/>
        </w:rPr>
        <w:t>以下费用将从基金资产中扣除：</w:t>
      </w:r>
    </w:p>
    <w:tbl>
      <w:tblPr>
        <w:tblStyle w:val="TableGri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3078"/>
        <w:gridCol w:w="3080"/>
        <w:gridCol w:w="2542"/>
      </w:tblGrid>
      <w:tr w:rsidTr="009F4EAE">
        <w:tblPrEx>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3078" w:type="dxa"/>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费用类别</w:t>
            </w:r>
          </w:p>
        </w:tc>
        <w:tc>
          <w:tcPr>
            <w:tcW w:w="3080" w:type="dxa"/>
            <w:vAlign w:val="center"/>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收费方式</w:t>
            </w:r>
            <w:r w:rsidRPr="009F4EAE">
              <w:rPr>
                <w:rFonts w:ascii="仿宋_GB2312" w:eastAsia="仿宋_GB2312"/>
                <w:b/>
                <w:sz w:val="21"/>
                <w:szCs w:val="21"/>
              </w:rPr>
              <w:t>/</w:t>
            </w:r>
            <w:r w:rsidRPr="009F4EAE">
              <w:rPr>
                <w:rFonts w:ascii="仿宋_GB2312" w:eastAsia="仿宋_GB2312"/>
                <w:b/>
                <w:sz w:val="21"/>
                <w:szCs w:val="21"/>
              </w:rPr>
              <w:t>年费率或金额</w:t>
            </w:r>
          </w:p>
        </w:tc>
        <w:tc>
          <w:tcPr>
            <w:tcW w:w="2542" w:type="dxa"/>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收取方</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管理费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0.30%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基金管理人和销售机构</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托管费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0.05%</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基金托管人</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销售服务费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0.01%</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销售机构</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审计费用</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110000.00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会计师事务所</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信息披露费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120000.00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规定披露报刊</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指数许可使用费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指数编制公司</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其他费用</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详见本基金招募说明书“基金的费用与税收”部分</w:t>
            </w:r>
          </w:p>
        </w:tc>
        <w:tc>
          <w:tcPr>
            <w:tcW w:w="3078" w:type="dxa"/>
          </w:tcPr>
          <w:p w:rsidR="00D373CC" w:rsidRPr="00335FE8" w:rsidP="00D373CC">
            <w:pPr>
              <w:spacing w:after="0" w:line="240" w:lineRule="auto"/>
              <w:rPr>
                <w:rFonts w:ascii="仿宋_GB2312" w:eastAsia="仿宋_GB2312" w:hint="eastAsia"/>
                <w:sz w:val="21"/>
                <w:szCs w:val="21"/>
              </w:rPr>
            </w:pPr>
          </w:p>
        </w:tc>
      </w:tr>
    </w:tbl>
    <w:p w:rsidR="00D373CC" w:rsidRPr="00335FE8" w:rsidP="00D373CC">
      <w:pPr>
        <w:spacing w:after="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b/>
          <w:sz w:val="21"/>
          <w:szCs w:val="21"/>
        </w:rPr>
        <w:t>（三）基金运作综合费用测算</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sz w:val="21"/>
          <w:szCs w:val="21"/>
        </w:rPr>
        <w:t>若投资者认购/申购本基金份额，在持有期间，投资者需支出的运作费率如下表：</w:t>
      </w:r>
    </w:p>
    <w:tbl>
      <w:tblPr>
        <w:tblStyle w:val="TableGri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3078"/>
        <w:gridCol w:w="5342"/>
      </w:tblGrid>
      <w:tr w:rsidTr="009F4EAE">
        <w:tblPrEx>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3078" w:type="dxa"/>
          </w:tcPr>
          <w:p w:rsidR="00F811C4" w:rsidRPr="009F4EAE" w:rsidP="00D373CC">
            <w:pPr>
              <w:spacing w:after="0" w:line="240" w:lineRule="auto"/>
              <w:rPr>
                <w:rFonts w:ascii="仿宋_GB2312" w:eastAsia="仿宋_GB2312" w:hint="eastAsia"/>
                <w:b/>
                <w:sz w:val="21"/>
                <w:szCs w:val="21"/>
              </w:rPr>
            </w:pPr>
          </w:p>
        </w:tc>
        <w:tc>
          <w:tcPr>
            <w:tcW w:w="5342" w:type="dxa"/>
          </w:tcPr>
          <w:p w:rsidR="00F811C4" w:rsidRPr="009F4EAE" w:rsidP="00D373CC">
            <w:pPr>
              <w:spacing w:after="0" w:line="240" w:lineRule="auto"/>
              <w:rPr>
                <w:rFonts w:ascii="仿宋_GB2312" w:eastAsia="仿宋_GB2312" w:hint="eastAsia"/>
                <w:b/>
                <w:sz w:val="21"/>
                <w:szCs w:val="21"/>
              </w:rPr>
            </w:pPr>
            <w:r w:rsidRPr="009F4EAE">
              <w:rPr>
                <w:rFonts w:ascii="仿宋_GB2312" w:eastAsia="仿宋_GB2312" w:hint="eastAsia"/>
                <w:b/>
                <w:sz w:val="21"/>
                <w:szCs w:val="21"/>
              </w:rPr>
              <w:t>基金运作综合费率（年化）</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0.36%</w:t>
            </w:r>
          </w:p>
        </w:tc>
      </w:tr>
    </w:tbl>
    <w:p w:rsidR="00D373CC" w:rsidRPr="00335FE8" w:rsidP="00D373CC">
      <w:pPr>
        <w:spacing w:after="0"/>
        <w:jc w:val="left"/>
        <w:rPr>
          <w:rFonts w:ascii="仿宋" w:eastAsia="仿宋" w:hAnsi="仿宋" w:cs="仿宋"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基金管理费率、托管费率、销售服务费率（若有）为基金现行费率，其他运作费用以最近一次基金年报披露的相关数据为基准测算。</w:t>
      </w:r>
    </w:p>
    <w:p w:rsidR="00F811C4"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四、风险揭示与重要提示</w:t>
      </w:r>
    </w:p>
    <w:p w:rsidR="00F811C4" w:rsidRPr="00335FE8" w:rsidP="00F811C4">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（一）风险揭示</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本基金不提供任何保证。投资者可能损失投资本金。</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投资有风险，投资者购买基金时应认真阅读本基金的《招募说明书》等销售文件。</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基金份额持有人须了解并承受以下风险：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1、市场风险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（1）政策风险、（2）经济周期风险、（3）利率风险、（4）信用风险、（5）购买力风险、（6）债券收益率曲线变动风险、（7）再投资风险、（8）经营风险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2、管理风险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3、流动性风险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4、交易对手违约风险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5、特定风险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投资于货币市场工具，面临货币市场利率波动的风险，基金每日的收益将根据市场情况上下波动，在极端情况下可能为负值。由于货币市场基金的特殊要求，为满足投资者的赎回需要，基金必须保持一定的现金比例以应对赎回的需求，在管理现金头寸时，有可能存在现金不足的风险或现金过多而带来的机会成本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6、本基金法律文件风险收益特征表述与销售机构基金风险评价可能不一致的风险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7、其他风险</w:t>
      </w:r>
    </w:p>
    <w:p w:rsidR="00F811C4" w:rsidRPr="00335FE8" w:rsidP="00F811C4">
      <w:pPr>
        <w:spacing w:after="0"/>
        <w:jc w:val="left"/>
        <w:rPr>
          <w:rFonts w:ascii="仿宋_GB2312" w:eastAsia="仿宋_GB2312"/>
          <w:b/>
          <w:sz w:val="21"/>
          <w:szCs w:val="21"/>
        </w:rPr>
      </w:pPr>
      <w:r w:rsidRPr="00335FE8">
        <w:rPr>
          <w:rFonts w:ascii="仿宋_GB2312" w:eastAsia="仿宋_GB2312"/>
          <w:b/>
          <w:sz w:val="21"/>
          <w:szCs w:val="21"/>
        </w:rPr>
        <w:t>（二）重要提示</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中国证监会对本基金募集的核准或注册，并不表明其对本基金的价值和收益作出实质性判断或保证，也不表明投资于本基金没有风险。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基金管理人依照恪尽职守、诚实信用、谨慎勤勉的原则管理和运用基金财产，但不保证基金一定盈利，也不保证最低收益。</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销售机构的风险等级评价与基金法律文件中风险收益特征的表述可能存在不同，投资人在购买本基金时需按照销售机构的要求完成风险承受能力与产品风险之间的匹配检验。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w:t>
      </w:r>
      <w:r w:rsidRPr="00BB248E">
        <w:rPr>
          <w:rFonts w:ascii="仿宋_GB2312" w:eastAsia="仿宋_GB2312" w:hAnsi="仿宋_GB2312" w:hint="eastAsia"/>
          <w:b/>
          <w:kern w:val="0"/>
          <w:sz w:val="21"/>
        </w:rPr>
        <w:t>因基金合同而产生的或与基金合同有关的一切争议，如经友好协商未能解决的，任何一方均有权将争议提交中国国际经济贸易仲裁委员会，按其届时有效的仲裁规则进行仲裁。仲裁地点为北京市。</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rsidR="00F811C4" w:rsidRPr="00335FE8" w:rsidP="00F811C4">
      <w:pPr>
        <w:spacing w:after="0"/>
        <w:jc w:val="left"/>
        <w:rPr>
          <w:rFonts w:ascii="仿宋_GB2312" w:eastAsia="仿宋_GB2312"/>
          <w:b/>
          <w:sz w:val="21"/>
          <w:szCs w:val="21"/>
        </w:rPr>
      </w:pPr>
      <w:r w:rsidRPr="00335FE8">
        <w:rPr>
          <w:rFonts w:ascii="仿宋_GB2312" w:eastAsia="仿宋_GB2312"/>
          <w:b/>
          <w:sz w:val="21"/>
          <w:szCs w:val="21"/>
        </w:rPr>
        <w:t>五、其他资料查询方式</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以下资料详见交银施罗德基金官方网站[www.fund001.com][客服电话：400-700-5000]</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●《交银施罗德现金宝货币市场基金基金合同》、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《交银施罗德现金宝货币市场基金托管协议》、</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《交银施罗德现金宝货币市场基金招募说明书》</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●定期报告，包括基金季度报告、中期报告和年度报告</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●基金份额净值</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●基金销售机构及联系方式</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●其他重要资料</w:t>
      </w:r>
    </w:p>
    <w:p w:rsidR="00F811C4" w:rsidRPr="00335FE8" w:rsidP="00F811C4">
      <w:pPr>
        <w:spacing w:after="0"/>
        <w:jc w:val="left"/>
        <w:rPr>
          <w:rFonts w:ascii="仿宋_GB2312" w:eastAsia="仿宋_GB2312" w:hint="eastAsia"/>
          <w:b/>
          <w:sz w:val="21"/>
          <w:szCs w:val="21"/>
        </w:rPr>
      </w:pPr>
      <w:r w:rsidRPr="00335FE8">
        <w:rPr>
          <w:rFonts w:ascii="仿宋_GB2312" w:eastAsia="仿宋_GB2312" w:hint="eastAsia"/>
          <w:b/>
          <w:sz w:val="21"/>
          <w:szCs w:val="21"/>
        </w:rPr>
        <w:t>六、其他情况说明</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无。</w:t>
      </w:r>
    </w:p>
    <w:sectPr w:rsidSect="00B14125">
      <w:pgSz w:w="11906" w:h="16838"/>
      <w:pgMar w:top="720" w:right="720" w:bottom="720" w:left="720" w:header="851" w:footer="992" w:gutter="0"/>
      <w:cols w:space="425"/>
      <w:docGrid w:type="lines"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
    <w:altName w:val="SimSun"/>
    <w:panose1 w:val="02010600030101010101"/>
    <w:charset w:val="86"/>
    <w:family w:val="modern"/>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FZHTJW--GB1-0">
    <w:altName w:val="Morningstar Symbols One"/>
    <w:panose1 w:val="00000000000000000000"/>
    <w:charset w:val="86"/>
    <w:family w:val="auto"/>
    <w:notTrueType/>
    <w:pitch w:val="default"/>
    <w:sig w:usb0="00000001" w:usb1="080E0000" w:usb2="00000010" w:usb3="00000000" w:csb0="00040000" w:csb1="00000000"/>
  </w:font>
  <w:font w:name="FZFSJW--GB1-0">
    <w:altName w:val="Morningstar Symbols One"/>
    <w:panose1 w:val="00000000000000000000"/>
    <w:charset w:val="86"/>
    <w:family w:val="auto"/>
    <w:notTrueType/>
    <w:pitch w:val="default"/>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12F48FB"/>
    <w:multiLevelType w:val="hybridMultilevel"/>
    <w:tmpl w:val="0356483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88045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880454"/>
    <w:rPr>
      <w:sz w:val="18"/>
      <w:szCs w:val="18"/>
    </w:rPr>
  </w:style>
  <w:style w:type="paragraph" w:styleId="Footer">
    <w:name w:val="footer"/>
    <w:basedOn w:val="Normal"/>
    <w:link w:val="Char0"/>
    <w:uiPriority w:val="99"/>
    <w:unhideWhenUsed/>
    <w:rsid w:val="00880454"/>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rsid w:val="00880454"/>
    <w:rPr>
      <w:sz w:val="18"/>
      <w:szCs w:val="18"/>
    </w:rPr>
  </w:style>
  <w:style w:type="paragraph" w:styleId="ListParagraph">
    <w:name w:val="List Paragraph"/>
    <w:basedOn w:val="Normal"/>
    <w:uiPriority w:val="34"/>
    <w:qFormat/>
    <w:rsid w:val="006A53E7"/>
    <w:pPr>
      <w:ind w:firstLine="420" w:firstLineChars="200"/>
    </w:pPr>
  </w:style>
  <w:style w:type="table" w:styleId="TableGrid">
    <w:name w:val="Table Grid"/>
    <w:basedOn w:val="TableNormal"/>
    <w:uiPriority w:val="39"/>
    <w:rsid w:val="006A5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F7A1E"/>
    <w:rPr>
      <w:sz w:val="24"/>
      <w:szCs w:val="24"/>
    </w:rPr>
  </w:style>
  <w:style w:type="paragraph" w:styleId="CommentText">
    <w:name w:val="annotation text"/>
    <w:basedOn w:val="Normal"/>
    <w:link w:val="Char1"/>
    <w:uiPriority w:val="99"/>
    <w:semiHidden/>
    <w:unhideWhenUsed/>
    <w:rsid w:val="00AF7A1E"/>
    <w:pPr>
      <w:jc w:val="left"/>
    </w:pPr>
  </w:style>
  <w:style w:type="character" w:customStyle="1" w:styleId="Char1">
    <w:name w:val="批注文字 Char"/>
    <w:basedOn w:val="DefaultParagraphFont"/>
    <w:link w:val="CommentText"/>
    <w:uiPriority w:val="99"/>
    <w:semiHidden/>
    <w:rsid w:val="00AF7A1E"/>
  </w:style>
  <w:style w:type="paragraph" w:styleId="CommentSubject">
    <w:name w:val="annotation subject"/>
    <w:basedOn w:val="CommentText"/>
    <w:next w:val="CommentText"/>
    <w:link w:val="Char2"/>
    <w:uiPriority w:val="99"/>
    <w:semiHidden/>
    <w:unhideWhenUsed/>
    <w:rsid w:val="00AF7A1E"/>
    <w:rPr>
      <w:b/>
      <w:bCs/>
    </w:rPr>
  </w:style>
  <w:style w:type="character" w:customStyle="1" w:styleId="Char2">
    <w:name w:val="批注主题 Char"/>
    <w:basedOn w:val="Char1"/>
    <w:link w:val="CommentSubject"/>
    <w:uiPriority w:val="99"/>
    <w:semiHidden/>
    <w:rsid w:val="00AF7A1E"/>
    <w:rPr>
      <w:b/>
      <w:bCs/>
    </w:rPr>
  </w:style>
  <w:style w:type="paragraph" w:styleId="BalloonText">
    <w:name w:val="Balloon Text"/>
    <w:basedOn w:val="Normal"/>
    <w:link w:val="Char3"/>
    <w:uiPriority w:val="99"/>
    <w:semiHidden/>
    <w:unhideWhenUsed/>
    <w:rsid w:val="00AF7A1E"/>
    <w:rPr>
      <w:sz w:val="18"/>
      <w:szCs w:val="18"/>
    </w:rPr>
  </w:style>
  <w:style w:type="character" w:customStyle="1" w:styleId="Char3">
    <w:name w:val="批注框文本 Char"/>
    <w:basedOn w:val="DefaultParagraphFont"/>
    <w:link w:val="BalloonText"/>
    <w:uiPriority w:val="99"/>
    <w:semiHidden/>
    <w:rsid w:val="00AF7A1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panose="020F0302020204030204" typeface="Calibri Light"/>
        <a:ea typeface=""/>
        <a:cs typeface=""/>
        <a:font script="Jpan" typeface="ＭＳ ゴシック"/>
        <a:font script="Hang" typeface="맑은 고딕"/>
        <a:font script="Hans" typeface="仿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panose="020F0502020204030204" typeface="Calibri"/>
        <a:ea typeface=""/>
        <a:cs typeface=""/>
        <a:font script="Jpan" typeface="ＭＳ 明朝"/>
        <a:font script="Hang" typeface="맑은 고딕"/>
        <a:font script="Hans" typeface="仿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algn="ctr" cap="flat" cmpd="sng" w="6350">
          <a:solidFill>
            <a:schemeClr val="phClr"/>
          </a:solidFill>
          <a:prstDash val="solid"/>
          <a:miter lim="800000"/>
        </a:ln>
        <a:ln algn="ctr" cap="flat" cmpd="sng" w="12700">
          <a:solidFill>
            <a:schemeClr val="phClr"/>
          </a:solidFill>
          <a:prstDash val="solid"/>
          <a:miter lim="800000"/>
        </a:ln>
        <a:ln algn="ctr" cap="flat" cmpd="sng" w="19050">
          <a:solidFill>
            <a:schemeClr val="phClr"/>
          </a:solidFill>
          <a:prstDash val="solid"/>
          <a:miter lim="800000"/>
        </a:ln>
      </a:lnStyleLst>
      <a:effectStyleLst>
        <a:effectStyle>
          <a:effectLst/>
        </a:effectStyle>
        <a:effectStyle>
          <a:effectLst/>
        </a:effectStyle>
        <a:effectStyle>
          <a:effectLst>
            <a:outerShdw algn="ctr" blurRad="57150" dir="5400000" dist="1905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165</Words>
  <Characters>947</Characters>
  <Application>Microsoft Office Word</Application>
  <DocSecurity>0</DocSecurity>
  <Lines>7</Lines>
  <Paragraphs>2</Paragraphs>
  <ScaleCrop>false</ScaleCrop>
  <Company/>
  <LinksUpToDate>false</LinksUpToDate>
  <CharactersWithSpaces>1110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stanc</cp:lastModifiedBy>
  <cp:revision>2</cp:revision>
  <dcterms:created xsi:type="dcterms:W3CDTF">2020-05-03T04:18:00Z</dcterms:created>
  <dcterms:modified xsi:type="dcterms:W3CDTF">2020-05-03T04:18:00Z</dcterms:modified>
</cp:coreProperties>
</file>