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黑体" w:hAnsi="黑体" w:eastAsia="黑体"/>
          <w:b/>
          <w:sz w:val="36"/>
        </w:rPr>
      </w:pPr>
      <w:r>
        <w:rPr>
          <w:rFonts w:hint="eastAsia" w:ascii="黑体" w:hAnsi="黑体" w:eastAsia="黑体"/>
          <w:b/>
          <w:sz w:val="36"/>
        </w:rPr>
        <w:t>交银施罗德瑞元三年定期开放混合型证券投资基金</w:t>
      </w:r>
    </w:p>
    <w:p>
      <w:pPr>
        <w:spacing w:after="0"/>
        <w:jc w:val="center"/>
        <w:rPr>
          <w:rFonts w:ascii="黑体" w:hAnsi="黑体" w:eastAsia="黑体"/>
          <w:b/>
          <w:sz w:val="36"/>
        </w:rPr>
      </w:pPr>
      <w:r>
        <w:rPr>
          <w:rFonts w:hint="eastAsia" w:ascii="黑体" w:hAnsi="黑体" w:eastAsia="黑体"/>
          <w:b/>
          <w:sz w:val="36"/>
        </w:rPr>
        <w:t>基金产品资料概要更新</w:t>
      </w:r>
    </w:p>
    <w:p>
      <w:pPr>
        <w:spacing w:after="0"/>
        <w:jc w:val="right"/>
        <w:rPr>
          <w:rFonts w:hint="eastAsia" w:ascii="仿宋_GB2312" w:eastAsia="仿宋_GB2312"/>
          <w:kern w:val="0"/>
          <w:sz w:val="21"/>
          <w:szCs w:val="21"/>
        </w:rPr>
      </w:pPr>
      <w:r>
        <w:rPr>
          <w:rFonts w:hint="eastAsia" w:ascii="仿宋_GB2312" w:eastAsia="仿宋_GB2312"/>
          <w:sz w:val="21"/>
        </w:rPr>
        <w:t>编制日期：</w:t>
      </w:r>
      <w:r>
        <w:rPr>
          <w:rFonts w:hint="eastAsia" w:ascii="Times New Roman" w:hAnsi="Times New Roman" w:eastAsia="Times New Roman" w:cs="Times New Roman"/>
          <w:kern w:val="0"/>
          <w:sz w:val="21"/>
          <w:szCs w:val="21"/>
        </w:rPr>
        <w:t>2026-09-02</w:t>
      </w:r>
    </w:p>
    <w:p>
      <w:pPr>
        <w:spacing w:after="0" w:line="380" w:lineRule="exact"/>
        <w:jc w:val="center"/>
        <w:rPr>
          <w:rFonts w:hint="eastAsia" w:ascii="仿宋_GB2312" w:eastAsia="仿宋_GB2312"/>
          <w:b/>
          <w:iCs/>
          <w:sz w:val="21"/>
          <w:szCs w:val="21"/>
        </w:rPr>
      </w:pPr>
      <w:r>
        <w:rPr>
          <w:rFonts w:hint="eastAsia" w:ascii="仿宋_GB2312" w:eastAsia="仿宋_GB2312"/>
          <w:sz w:val="21"/>
        </w:rPr>
        <w:t>送出日期：</w:t>
      </w:r>
      <w:r>
        <w:rPr>
          <w:rFonts w:hint="eastAsia" w:ascii="Times New Roman" w:hAnsi="Times New Roman" w:eastAsia="Times New Roman" w:cs="Times New Roman"/>
          <w:kern w:val="0"/>
          <w:sz w:val="21"/>
          <w:szCs w:val="21"/>
        </w:rPr>
        <w:t>2026-10-09</w:t>
      </w:r>
      <w:r>
        <w:rPr>
          <w:rFonts w:hint="eastAsia" w:ascii="仿宋" w:hAnsi="仿宋" w:cs="仿宋"/>
          <w:b/>
          <w:iCs/>
          <w:sz w:val="21"/>
          <w:szCs w:val="21"/>
        </w:rPr>
        <w:t xml:space="preserve"> </w:t>
      </w:r>
    </w:p>
    <w:p>
      <w:pPr>
        <w:autoSpaceDE w:val="0"/>
        <w:autoSpaceDN w:val="0"/>
        <w:adjustRightInd w:val="0"/>
        <w:spacing w:after="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spacing w:after="0"/>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spacing w:after="0"/>
        <w:jc w:val="left"/>
        <w:rPr>
          <w:rFonts w:ascii="仿宋_GB2312" w:hAnsi="宋体" w:eastAsia="仿宋_GB2312" w:cs="宋体"/>
          <w:b/>
          <w:kern w:val="0"/>
          <w:sz w:val="21"/>
          <w:szCs w:val="21"/>
        </w:rPr>
      </w:pPr>
      <w:r>
        <w:rPr>
          <w:rFonts w:hint="eastAsia" w:ascii="仿宋_GB2312" w:hAnsi="宋体" w:eastAsia="仿宋_GB2312" w:cs="宋体"/>
          <w:b/>
          <w:kern w:val="0"/>
          <w:sz w:val="21"/>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spacing w:after="0" w:line="240" w:lineRule="auto"/>
              <w:jc w:val="left"/>
              <w:rPr>
                <w:rFonts w:ascii="仿宋_GB2312" w:eastAsia="仿宋_GB2312"/>
                <w:sz w:val="21"/>
                <w:szCs w:val="21"/>
              </w:rPr>
            </w:pPr>
            <w:r>
              <w:rPr>
                <w:rFonts w:hint="eastAsia" w:ascii="仿宋_GB2312" w:eastAsia="仿宋_GB2312"/>
                <w:sz w:val="21"/>
                <w:szCs w:val="21"/>
              </w:rPr>
              <w:t>基金简称</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交银瑞元三年定期开放混合</w:t>
            </w:r>
          </w:p>
        </w:tc>
        <w:tc>
          <w:tcPr>
            <w:tcW w:w="3649" w:type="dxa"/>
            <w:vAlign w:val="center"/>
          </w:tcPr>
          <w:p>
            <w:pPr>
              <w:spacing w:after="0" w:line="240" w:lineRule="auto"/>
              <w:rPr>
                <w:rFonts w:ascii="仿宋_GB2312" w:eastAsia="仿宋_GB2312"/>
                <w:sz w:val="21"/>
                <w:szCs w:val="21"/>
              </w:rPr>
            </w:pPr>
            <w:r>
              <w:rPr>
                <w:rFonts w:hint="eastAsia" w:ascii="仿宋_GB2312" w:eastAsia="仿宋_GB2312"/>
                <w:sz w:val="21"/>
                <w:szCs w:val="21"/>
              </w:rPr>
              <w:t>基金代码</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019401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基金管理人</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交银施罗德基金管理有限公司</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基金托管人</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基金合同生效日</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2023-10-27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基金类型</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混合型</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交易币种</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运作方式</w:t>
            </w:r>
          </w:p>
        </w:tc>
        <w:tc>
          <w:tcPr>
            <w:tcW w:w="1601"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定期开放式</w:t>
            </w:r>
          </w:p>
        </w:tc>
        <w:tc>
          <w:tcPr>
            <w:tcW w:w="3649"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开放频率</w:t>
            </w:r>
          </w:p>
        </w:tc>
        <w:tc>
          <w:tcPr>
            <w:tcW w:w="1275"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每三年开放一次</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restart"/>
          </w:tcPr>
          <w:p>
            <w:pPr>
              <w:spacing w:after="0" w:line="240" w:lineRule="auto"/>
              <w:jc w:val="left"/>
              <w:rPr>
                <w:rFonts w:hint="eastAsia" w:ascii="仿宋_GB2312" w:eastAsia="仿宋_GB2312"/>
                <w:sz w:val="21"/>
                <w:szCs w:val="21"/>
              </w:rPr>
            </w:pPr>
            <w:r>
              <w:rPr>
                <w:rFonts w:hint="eastAsia" w:ascii="仿宋_GB2312" w:eastAsia="仿宋_GB2312"/>
                <w:sz w:val="21"/>
                <w:szCs w:val="21"/>
              </w:rPr>
              <w:t>基金经理</w:t>
            </w:r>
          </w:p>
        </w:tc>
        <w:tc>
          <w:tcPr>
            <w:tcW w:w="1601" w:type="dxa"/>
            <w:vMerge w:val="restart"/>
          </w:tcPr>
          <w:p>
            <w:pPr>
              <w:spacing w:after="0" w:line="240" w:lineRule="auto"/>
              <w:jc w:val="left"/>
              <w:rPr>
                <w:rFonts w:hint="eastAsia" w:ascii="仿宋_GB2312" w:eastAsia="仿宋_GB2312"/>
                <w:sz w:val="21"/>
                <w:szCs w:val="21"/>
              </w:rPr>
            </w:pPr>
            <w:r>
              <w:rPr>
                <w:rFonts w:hint="eastAsia" w:ascii="仿宋_GB2312" w:eastAsia="仿宋_GB2312"/>
                <w:sz w:val="21"/>
                <w:szCs w:val="21"/>
              </w:rPr>
              <w:t>杨金金</w:t>
            </w:r>
          </w:p>
        </w:tc>
        <w:tc>
          <w:tcPr>
            <w:tcW w:w="3000"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开始担任本基金基金经理的日期</w:t>
            </w:r>
          </w:p>
        </w:tc>
        <w:tc>
          <w:tcPr>
            <w:tcW w:w="2000"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2023-10-27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spacing w:after="0" w:line="240" w:lineRule="auto"/>
              <w:jc w:val="left"/>
              <w:rPr>
                <w:rFonts w:hint="eastAsia" w:ascii="仿宋_GB2312" w:eastAsia="仿宋_GB2312"/>
                <w:sz w:val="21"/>
                <w:szCs w:val="21"/>
              </w:rPr>
            </w:pPr>
          </w:p>
        </w:tc>
        <w:tc>
          <w:tcPr>
            <w:tcW w:w="1601" w:type="dxa"/>
            <w:vMerge w:val="continue"/>
          </w:tcPr>
          <w:p>
            <w:pPr>
              <w:spacing w:after="0" w:line="240" w:lineRule="auto"/>
              <w:jc w:val="left"/>
              <w:rPr>
                <w:rFonts w:hint="eastAsia" w:ascii="仿宋_GB2312" w:eastAsia="仿宋_GB2312"/>
                <w:sz w:val="21"/>
                <w:szCs w:val="21"/>
              </w:rPr>
            </w:pPr>
          </w:p>
        </w:tc>
        <w:tc>
          <w:tcPr>
            <w:tcW w:w="3649"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证券从业日期</w:t>
            </w:r>
          </w:p>
        </w:tc>
        <w:tc>
          <w:tcPr>
            <w:tcW w:w="1275"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2014-06-28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其他</w:t>
            </w:r>
          </w:p>
        </w:tc>
        <w:tc>
          <w:tcPr>
            <w:tcW w:w="6525" w:type="dxa"/>
            <w:gridSpan w:val="3"/>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基金合同生效后的存续期内，出现以下情况的，本基金可以暂停基金的运作，且无须召开基金份额持有人大会：</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暂停运作期间，基金管理人与基金托管人协商一致，可以决定终止基金合同，报中国证监会备案并公告，无须召开基金份额持有人大会。</w:t>
            </w:r>
          </w:p>
        </w:tc>
      </w:tr>
    </w:tbl>
    <w:p>
      <w:pPr>
        <w:spacing w:after="0"/>
        <w:jc w:val="left"/>
        <w:rPr>
          <w:rFonts w:hint="eastAsia" w:ascii="仿宋_GB2312" w:eastAsia="仿宋_GB2312"/>
          <w:sz w:val="21"/>
          <w:szCs w:val="21"/>
        </w:rPr>
      </w:pPr>
      <w:r>
        <w:rPr>
          <w:rFonts w:hint="eastAsia" w:ascii="仿宋_GB2312" w:hAnsi="仿宋_GB2312" w:eastAsia="仿宋_GB2312" w:cs="仿宋_GB2312"/>
          <w:kern w:val="0"/>
          <w:sz w:val="21"/>
          <w:szCs w:val="21"/>
        </w:rPr>
        <w:t>注：</w:t>
      </w:r>
      <w:r>
        <w:rPr>
          <w:rFonts w:hint="eastAsia" w:ascii="仿宋_GB2312" w:eastAsia="仿宋_GB2312"/>
          <w:sz w:val="21"/>
          <w:szCs w:val="21"/>
        </w:rPr>
        <w:t>本基金为偏股混合型基金。</w:t>
      </w:r>
    </w:p>
    <w:p>
      <w:pPr>
        <w:spacing w:after="0"/>
        <w:jc w:val="left"/>
        <w:rPr>
          <w:rFonts w:ascii="仿宋_GB2312" w:hAnsi="宋体" w:eastAsia="仿宋_GB2312" w:cs="宋体"/>
          <w:b/>
          <w:kern w:val="0"/>
          <w:sz w:val="21"/>
          <w:szCs w:val="21"/>
        </w:rPr>
      </w:pPr>
      <w:r>
        <w:rPr>
          <w:rFonts w:hint="eastAsia" w:ascii="仿宋_GB2312" w:hAnsi="宋体" w:eastAsia="仿宋_GB2312" w:cs="宋体"/>
          <w:b/>
          <w:kern w:val="0"/>
          <w:sz w:val="21"/>
          <w:szCs w:val="21"/>
        </w:rPr>
        <w:t>二、基金投资与净值表现</w:t>
      </w:r>
    </w:p>
    <w:p>
      <w:pPr>
        <w:spacing w:after="0"/>
        <w:jc w:val="left"/>
        <w:rPr>
          <w:rFonts w:ascii="仿宋_GB2312" w:eastAsia="仿宋_GB2312"/>
          <w:b/>
          <w:sz w:val="21"/>
          <w:szCs w:val="21"/>
        </w:rPr>
      </w:pPr>
      <w:r>
        <w:rPr>
          <w:rFonts w:hint="eastAsia" w:ascii="仿宋_GB2312" w:eastAsia="仿宋_GB2312"/>
          <w:b/>
          <w:sz w:val="21"/>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547"/>
        <w:gridCol w:w="652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spacing w:after="0" w:line="240" w:lineRule="auto"/>
              <w:jc w:val="left"/>
              <w:rPr>
                <w:rFonts w:hint="eastAsia" w:ascii="仿宋_GB2312" w:eastAsia="仿宋_GB2312"/>
                <w:sz w:val="21"/>
                <w:szCs w:val="21"/>
              </w:rPr>
            </w:pPr>
            <w:r>
              <w:rPr>
                <w:rFonts w:hint="eastAsia" w:ascii="仿宋_GB2312" w:eastAsia="仿宋_GB2312"/>
                <w:sz w:val="21"/>
                <w:szCs w:val="21"/>
              </w:rPr>
              <w:t>投资目标</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投资范围</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如法律法规或监管机构以后允许基金投资其他品种，基金管理人在履行适当程序后，可以将其纳入投资范围。</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基金的投资组合比例为：股票投资（含存托凭证）占基金资产的比例不低于60%，其中投资于港股通标的股票的比例占股票资产的0%-50%；但应开放期流动性需要，为保护基金份额持有人利益，在每个封闭期结束前三个月、开放期及开放期结束后三个月的期间内，基金投资不受上述比例限制。</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在开放期内，每个交易日日终在扣除股指期货合约需缴纳的交易保证金后，本基金持有的现金或者到期日在一年以内的政府债券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主要投资策略</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一、封闭期投资策略：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1、大类资产配置；2、股票投资策略；3、债券投资策略；4、资产支持证券投资策略；5、股指期货投资策略。</w:t>
            </w:r>
          </w:p>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二、开放期投资策略：开放期内，基金规模将随着投资人对本基金份额的申购与赎回而不断变化。本基金将保持资产适当的流动性，以应对当时市场条件下的赎回要求。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业绩比较基准</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风险收益特征</w:t>
            </w:r>
          </w:p>
        </w:tc>
        <w:tc>
          <w:tcPr>
            <w:tcW w:w="6525" w:type="dxa"/>
            <w:vAlign w:val="center"/>
          </w:tcPr>
          <w:p>
            <w:pPr>
              <w:spacing w:after="0" w:line="240" w:lineRule="auto"/>
              <w:ind w:firstLine="420"/>
              <w:jc w:val="left"/>
              <w:rPr>
                <w:rFonts w:hint="eastAsia" w:ascii="仿宋_GB2312" w:eastAsia="仿宋_GB2312"/>
                <w:sz w:val="21"/>
                <w:szCs w:val="21"/>
              </w:rPr>
            </w:pPr>
            <w:r>
              <w:rPr>
                <w:rFonts w:hint="eastAsia" w:ascii="仿宋_GB2312" w:eastAsia="仿宋_GB2312"/>
                <w:sz w:val="21"/>
                <w:szCs w:val="21"/>
              </w:rPr>
              <w:t>本基金是一只混合型基金，其预期风险和预期收益理论上高于债券型基金和货币市场基金，低于股票型基金。</w:t>
            </w:r>
          </w:p>
        </w:tc>
      </w:tr>
    </w:tbl>
    <w:p>
      <w:pPr>
        <w:spacing w:after="0"/>
        <w:jc w:val="left"/>
        <w:rPr>
          <w:rFonts w:hint="eastAsia" w:ascii="仿宋_GB2312" w:eastAsia="仿宋_GB2312"/>
          <w:sz w:val="21"/>
          <w:szCs w:val="21"/>
        </w:rPr>
      </w:pPr>
      <w:r>
        <w:rPr>
          <w:rFonts w:hint="eastAsia" w:ascii="仿宋_GB2312" w:eastAsia="仿宋_GB2312"/>
          <w:sz w:val="21"/>
          <w:szCs w:val="21"/>
        </w:rPr>
        <w:t>注：详见《交银施罗德瑞元三年定期开放混合型证券投资基金招募说明书》“基金的投资”。</w:t>
      </w:r>
    </w:p>
    <w:p>
      <w:pPr>
        <w:spacing w:after="0"/>
        <w:jc w:val="left"/>
        <w:rPr>
          <w:rFonts w:hint="eastAsia" w:ascii="仿宋_GB2312" w:eastAsia="仿宋_GB2312"/>
          <w:b/>
          <w:sz w:val="21"/>
          <w:szCs w:val="21"/>
        </w:rPr>
      </w:pPr>
      <w:r>
        <w:rPr>
          <w:rFonts w:hint="eastAsia" w:ascii="仿宋_GB2312" w:eastAsia="仿宋_GB2312"/>
          <w:b/>
          <w:sz w:val="21"/>
          <w:szCs w:val="21"/>
        </w:rPr>
        <w:t>（二）投资组合资产配置图表/区域配置图表</w:t>
      </w:r>
    </w:p>
    <w:p>
      <w:pPr>
        <w:spacing w:after="0"/>
        <w:jc w:val="center"/>
        <w:rPr>
          <w:rFonts w:ascii="仿宋_GB2312" w:eastAsia="仿宋_GB2312"/>
          <w:b/>
          <w:sz w:val="21"/>
          <w:szCs w:val="21"/>
        </w:rPr>
      </w:pPr>
      <w:r>
        <w:rPr>
          <w:rFonts w:ascii="仿宋_GB2312" w:hAnsi="仿宋_GB2312"/>
          <w:kern w:val="0"/>
          <w:sz w:val="21"/>
        </w:rPr>
        <w:pict>
          <v:shape id="_x0000_i1025" o:spt="75" type="#_x0000_t75" style="height:250pt;width:454pt;" filled="f" o:preferrelative="t" stroked="f" coordsize="21600,21600">
            <v:path/>
            <v:fill on="f" focussize="0,0"/>
            <v:stroke on="f" joinstyle="miter"/>
            <v:imagedata r:id="rId4" o:title="1521256610242020828"/>
            <o:lock v:ext="edit" aspectratio="t"/>
            <w10:wrap type="none"/>
            <w10:anchorlock/>
          </v:shape>
        </w:pict>
      </w:r>
    </w:p>
    <w:p>
      <w:pPr>
        <w:spacing w:after="0"/>
        <w:ind w:firstLine="420"/>
        <w:jc w:val="left"/>
        <w:rPr>
          <w:rFonts w:hint="eastAsia" w:ascii="仿宋_GB2312" w:eastAsia="仿宋_GB2312"/>
          <w:sz w:val="21"/>
          <w:szCs w:val="21"/>
        </w:rPr>
      </w:pPr>
      <w:r>
        <w:rPr>
          <w:rFonts w:hint="eastAsia" w:ascii="仿宋_GB2312" w:eastAsia="仿宋_GB2312"/>
          <w:sz w:val="21"/>
          <w:szCs w:val="21"/>
        </w:rPr>
        <w:t>注：由于四舍五入的原因，分项之和与合计项之间可能存在尾差。</w:t>
      </w:r>
    </w:p>
    <w:p>
      <w:pPr>
        <w:spacing w:after="0"/>
        <w:jc w:val="left"/>
        <w:rPr>
          <w:rFonts w:hint="eastAsia" w:ascii="仿宋_GB2312" w:hAnsi="仿宋_GB2312" w:eastAsia="仿宋_GB2312" w:cs="仿宋_GB2312"/>
          <w:b/>
          <w:sz w:val="21"/>
          <w:szCs w:val="21"/>
        </w:rPr>
      </w:pPr>
      <w:r>
        <w:rPr>
          <w:rFonts w:hint="eastAsia" w:ascii="仿宋_GB2312" w:eastAsia="仿宋_GB2312"/>
          <w:b/>
          <w:sz w:val="21"/>
          <w:szCs w:val="21"/>
        </w:rPr>
        <w:t>（三）自基金合同生效以来/最近十年（孰短）基金每年的净值增长率及与同期业绩比较基准的比较图</w:t>
      </w:r>
    </w:p>
    <w:p>
      <w:pPr>
        <w:spacing w:after="0"/>
        <w:jc w:val="center"/>
        <w:rPr>
          <w:rFonts w:ascii="仿宋_GB2312" w:eastAsia="仿宋_GB2312"/>
          <w:b/>
          <w:sz w:val="21"/>
          <w:szCs w:val="21"/>
        </w:rPr>
      </w:pPr>
      <w:r>
        <w:rPr>
          <w:rFonts w:ascii="仿宋_GB2312" w:hAnsi="仿宋_GB2312"/>
          <w:kern w:val="0"/>
          <w:sz w:val="21"/>
        </w:rPr>
        <w:pict>
          <v:shape id="_x0000_i1026" o:spt="75" type="#_x0000_t75" style="height:160pt;width:500pt;" filled="f" o:preferrelative="t" stroked="f" coordsize="21600,21600">
            <v:path/>
            <v:fill on="f" focussize="0,0"/>
            <v:stroke on="f" joinstyle="miter"/>
            <v:imagedata r:id="rId5" o:title="1521256610242020828"/>
            <o:lock v:ext="edit" aspectratio="t"/>
            <w10:wrap type="none"/>
            <w10:anchorlock/>
          </v:shape>
        </w:pict>
      </w:r>
    </w:p>
    <w:p>
      <w:pPr>
        <w:spacing w:after="0"/>
        <w:ind w:firstLine="420"/>
        <w:jc w:val="left"/>
        <w:rPr>
          <w:rFonts w:hint="eastAsia" w:ascii="仿宋_GB2312" w:eastAsia="仿宋_GB2312"/>
          <w:sz w:val="21"/>
          <w:szCs w:val="21"/>
        </w:rPr>
      </w:pPr>
      <w:r>
        <w:rPr>
          <w:rFonts w:hint="eastAsia" w:ascii="仿宋_GB2312" w:eastAsia="仿宋_GB2312"/>
          <w:sz w:val="21"/>
          <w:szCs w:val="21"/>
        </w:rPr>
        <w:t>注：1、净值表现数据的截止日为2025年12月31日；</w:t>
      </w:r>
    </w:p>
    <w:p>
      <w:pPr>
        <w:spacing w:after="0"/>
        <w:ind w:left="420" w:firstLine="420" w:firstLineChars="200"/>
        <w:jc w:val="left"/>
        <w:rPr>
          <w:rFonts w:hint="eastAsia" w:ascii="仿宋_GB2312" w:eastAsia="仿宋_GB2312"/>
          <w:sz w:val="21"/>
          <w:szCs w:val="21"/>
        </w:rPr>
      </w:pPr>
      <w:r>
        <w:rPr>
          <w:rFonts w:hint="eastAsia" w:ascii="仿宋_GB2312" w:eastAsia="仿宋_GB2312"/>
          <w:sz w:val="21"/>
          <w:szCs w:val="21"/>
        </w:rPr>
        <w:t>2、本基金合同于2023年10月27日生效，合同生效当年净值增长率按实际存续期计算；</w:t>
      </w:r>
    </w:p>
    <w:p>
      <w:pPr>
        <w:spacing w:after="0"/>
        <w:ind w:left="420" w:firstLine="420" w:firstLineChars="200"/>
        <w:jc w:val="left"/>
        <w:rPr>
          <w:rFonts w:hint="eastAsia" w:ascii="仿宋_GB2312" w:eastAsia="仿宋_GB2312"/>
          <w:sz w:val="21"/>
          <w:szCs w:val="21"/>
        </w:rPr>
      </w:pPr>
      <w:r>
        <w:rPr>
          <w:rFonts w:hint="eastAsia" w:ascii="仿宋_GB2312" w:eastAsia="仿宋_GB2312"/>
          <w:sz w:val="21"/>
          <w:szCs w:val="21"/>
        </w:rPr>
        <w:t>3、基金的过往业绩不代表未来表现。</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三、投资本基金涉及的费用</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（一）基金销售相关费用</w:t>
      </w:r>
    </w:p>
    <w:p>
      <w:pPr>
        <w:spacing w:after="0"/>
        <w:jc w:val="left"/>
        <w:rPr>
          <w:rFonts w:ascii="仿宋_GB2312" w:eastAsia="仿宋_GB2312"/>
          <w:sz w:val="21"/>
          <w:szCs w:val="21"/>
        </w:rPr>
      </w:pPr>
      <w:r>
        <w:rPr>
          <w:rFonts w:hint="eastAsia" w:ascii="仿宋_GB2312" w:eastAsia="仿宋_GB2312"/>
          <w:sz w:val="21"/>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9"/>
        <w:gridCol w:w="1754"/>
        <w:gridCol w:w="198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spacing w:after="0" w:line="240" w:lineRule="auto"/>
              <w:jc w:val="left"/>
              <w:rPr>
                <w:rFonts w:hint="eastAsia" w:ascii="仿宋_GB2312" w:hAnsi="宋体" w:eastAsia="仿宋_GB2312" w:cs="宋体"/>
                <w:b/>
                <w:sz w:val="21"/>
                <w:szCs w:val="21"/>
              </w:rPr>
            </w:pPr>
            <w:r>
              <w:rPr>
                <w:rFonts w:hint="eastAsia" w:ascii="仿宋_GB2312" w:hAnsi="宋体" w:eastAsia="仿宋_GB2312" w:cs="宋体"/>
                <w:b/>
                <w:kern w:val="0"/>
                <w:sz w:val="21"/>
                <w:szCs w:val="21"/>
              </w:rPr>
              <w:t>费用类型</w:t>
            </w:r>
          </w:p>
        </w:tc>
        <w:tc>
          <w:tcPr>
            <w:tcW w:w="2409" w:type="dxa"/>
            <w:vAlign w:val="center"/>
          </w:tcPr>
          <w:p>
            <w:pPr>
              <w:spacing w:after="0" w:line="240" w:lineRule="auto"/>
              <w:rPr>
                <w:rFonts w:ascii="仿宋_GB2312" w:eastAsia="仿宋_GB2312"/>
                <w:sz w:val="21"/>
                <w:szCs w:val="21"/>
              </w:rPr>
            </w:pPr>
            <w:r>
              <w:rPr>
                <w:rFonts w:hint="eastAsia" w:ascii="仿宋_GB2312" w:eastAsia="仿宋_GB2312"/>
                <w:b/>
                <w:sz w:val="21"/>
                <w:szCs w:val="21"/>
              </w:rPr>
              <w:t>份额（S）或金额（M）/持有期限（N）</w:t>
            </w:r>
          </w:p>
        </w:tc>
        <w:tc>
          <w:tcPr>
            <w:tcW w:w="1843" w:type="dxa"/>
            <w:vAlign w:val="center"/>
          </w:tcPr>
          <w:p>
            <w:pPr>
              <w:spacing w:after="0" w:line="240" w:lineRule="auto"/>
              <w:jc w:val="center"/>
              <w:rPr>
                <w:rFonts w:hint="eastAsia" w:ascii="仿宋_GB2312" w:hAnsi="宋体" w:eastAsia="仿宋_GB2312" w:cs="宋体"/>
                <w:b/>
                <w:sz w:val="21"/>
                <w:szCs w:val="21"/>
              </w:rPr>
            </w:pPr>
            <w:r>
              <w:rPr>
                <w:rFonts w:hint="eastAsia" w:ascii="仿宋_GB2312" w:hAnsi="宋体" w:eastAsia="仿宋_GB2312" w:cs="宋体"/>
                <w:b/>
                <w:sz w:val="21"/>
                <w:szCs w:val="21"/>
              </w:rPr>
              <w:t>收费方式/费率</w:t>
            </w:r>
          </w:p>
        </w:tc>
        <w:tc>
          <w:tcPr>
            <w:tcW w:w="2126" w:type="dxa"/>
            <w:vAlign w:val="center"/>
          </w:tcPr>
          <w:p>
            <w:pPr>
              <w:widowControl/>
              <w:spacing w:after="0" w:line="240" w:lineRule="auto"/>
              <w:jc w:val="center"/>
              <w:rPr>
                <w:rFonts w:hint="eastAsia" w:ascii="仿宋_GB2312" w:hAnsi="宋体" w:eastAsia="仿宋_GB2312" w:cs="宋体"/>
                <w:b/>
                <w:sz w:val="21"/>
                <w:szCs w:val="21"/>
              </w:rPr>
            </w:pPr>
            <w:r>
              <w:rPr>
                <w:rFonts w:hint="eastAsia" w:ascii="仿宋_GB2312" w:hAnsi="宋体" w:eastAsia="仿宋_GB2312" w:cs="宋体"/>
                <w:b/>
                <w:kern w:val="0"/>
                <w:sz w:val="21"/>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400" w:type="dxa"/>
            <w:vMerge w:val="restart"/>
            <w:vAlign w:val="center"/>
          </w:tcPr>
          <w:p>
            <w:pPr>
              <w:widowControl/>
              <w:spacing w:after="0" w:line="240" w:lineRule="auto"/>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申购费（前收费）</w:t>
            </w: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M＜500万元</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1.5%</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spacing w:after="0" w:line="240" w:lineRule="auto"/>
              <w:jc w:val="left"/>
              <w:rPr>
                <w:rFonts w:hint="eastAsia" w:ascii="仿宋_GB2312" w:hAnsi="宋体" w:eastAsia="仿宋_GB2312" w:cs="宋体"/>
                <w:kern w:val="0"/>
                <w:sz w:val="21"/>
                <w:szCs w:val="21"/>
              </w:rPr>
            </w:pPr>
          </w:p>
        </w:tc>
        <w:tc>
          <w:tcPr>
            <w:tcW w:w="2409"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500万元≤M</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1000元每笔</w:t>
            </w:r>
          </w:p>
        </w:tc>
        <w:tc>
          <w:tcPr>
            <w:tcW w:w="2126" w:type="dxa"/>
            <w:vAlign w:val="center"/>
          </w:tcPr>
          <w:p>
            <w:pPr>
              <w:widowControl/>
              <w:spacing w:after="0" w:line="240" w:lineRule="auto"/>
              <w:jc w:val="center"/>
              <w:rPr>
                <w:rFonts w:hint="eastAsia" w:ascii="仿宋_GB2312" w:hAnsi="宋体" w:eastAsia="仿宋_GB2312" w:cs="宋体"/>
                <w:kern w:val="0"/>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spacing w:after="0" w:line="240" w:lineRule="auto"/>
              <w:jc w:val="center"/>
              <w:rPr>
                <w:rFonts w:hint="eastAsia" w:ascii="仿宋_GB2312" w:hAnsi="宋体" w:eastAsia="仿宋_GB2312" w:cs="宋体"/>
                <w:kern w:val="0"/>
                <w:sz w:val="21"/>
                <w:szCs w:val="21"/>
              </w:rPr>
            </w:pPr>
            <w:r>
              <w:rPr>
                <w:rFonts w:hint="eastAsia" w:ascii="仿宋_GB2312" w:hAnsi="宋体" w:eastAsia="仿宋_GB2312" w:cs="宋体"/>
                <w:kern w:val="0"/>
                <w:sz w:val="21"/>
                <w:szCs w:val="21"/>
              </w:rPr>
              <w:t>赎回费</w:t>
            </w:r>
          </w:p>
        </w:tc>
        <w:tc>
          <w:tcPr>
            <w:tcW w:w="2409" w:type="dxa"/>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N＜7天</w:t>
            </w:r>
          </w:p>
        </w:tc>
        <w:tc>
          <w:tcPr>
            <w:tcW w:w="1843" w:type="dxa"/>
            <w:vAlign w:val="center"/>
          </w:tcPr>
          <w:p>
            <w:pPr>
              <w:spacing w:after="0" w:line="240" w:lineRule="auto"/>
              <w:jc w:val="center"/>
              <w:rPr>
                <w:rFonts w:hint="eastAsia" w:ascii="仿宋_GB2312" w:hAnsi="宋体" w:eastAsia="仿宋_GB2312" w:cs="宋体"/>
                <w:sz w:val="21"/>
                <w:szCs w:val="21"/>
              </w:rPr>
            </w:pPr>
            <w:r>
              <w:rPr>
                <w:rFonts w:hint="eastAsia" w:ascii="仿宋_GB2312" w:hAnsi="宋体" w:eastAsia="仿宋_GB2312" w:cs="宋体"/>
                <w:sz w:val="21"/>
                <w:szCs w:val="21"/>
              </w:rPr>
              <w:t>1.5%</w:t>
            </w:r>
          </w:p>
        </w:tc>
        <w:tc>
          <w:tcPr>
            <w:tcW w:w="1843" w:type="dxa"/>
            <w:vAlign w:val="center"/>
          </w:tcPr>
          <w:p>
            <w:pPr>
              <w:spacing w:after="0" w:line="240" w:lineRule="auto"/>
              <w:jc w:val="center"/>
              <w:rPr>
                <w:rFonts w:hint="eastAsia" w:ascii="仿宋_GB2312" w:hAnsi="宋体" w:eastAsia="仿宋_GB2312" w:cs="宋体"/>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spacing w:after="0" w:line="240" w:lineRule="auto"/>
              <w:jc w:val="left"/>
              <w:rPr>
                <w:rFonts w:hint="eastAsia" w:ascii="仿宋_GB2312" w:hAnsi="仿宋_GB2312" w:eastAsia="仿宋_GB2312" w:cs="仿宋_GB2312"/>
                <w:kern w:val="0"/>
                <w:sz w:val="21"/>
                <w:szCs w:val="21"/>
              </w:rPr>
            </w:pPr>
          </w:p>
        </w:tc>
        <w:tc>
          <w:tcPr>
            <w:tcW w:w="3000" w:type="dxa"/>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7天≤N＜30天</w:t>
            </w:r>
          </w:p>
        </w:tc>
        <w:tc>
          <w:tcPr>
            <w:tcW w:w="1843" w:type="dxa"/>
            <w:vAlign w:val="center"/>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0.75%</w:t>
            </w:r>
          </w:p>
        </w:tc>
        <w:tc>
          <w:tcPr>
            <w:tcW w:w="1843" w:type="dxa"/>
            <w:vAlign w:val="center"/>
          </w:tcPr>
          <w:p>
            <w:pPr>
              <w:spacing w:after="0" w:line="240" w:lineRule="auto"/>
              <w:jc w:val="center"/>
              <w:rPr>
                <w:rFonts w:hint="eastAsia" w:ascii="仿宋_GB2312" w:hAnsi="仿宋_GB2312" w:eastAsia="仿宋_GB2312" w:cs="仿宋_GB2312"/>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spacing w:after="0" w:line="240" w:lineRule="auto"/>
              <w:jc w:val="left"/>
              <w:rPr>
                <w:rFonts w:hint="eastAsia" w:ascii="仿宋_GB2312" w:hAnsi="仿宋_GB2312" w:eastAsia="仿宋_GB2312" w:cs="仿宋_GB2312"/>
                <w:kern w:val="0"/>
                <w:sz w:val="21"/>
                <w:szCs w:val="21"/>
              </w:rPr>
            </w:pPr>
          </w:p>
        </w:tc>
        <w:tc>
          <w:tcPr>
            <w:tcW w:w="3000" w:type="dxa"/>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30天≤N＜180天</w:t>
            </w:r>
          </w:p>
        </w:tc>
        <w:tc>
          <w:tcPr>
            <w:tcW w:w="1843" w:type="dxa"/>
            <w:vAlign w:val="center"/>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0.5%</w:t>
            </w:r>
          </w:p>
        </w:tc>
        <w:tc>
          <w:tcPr>
            <w:tcW w:w="1843" w:type="dxa"/>
            <w:vAlign w:val="center"/>
          </w:tcPr>
          <w:p>
            <w:pPr>
              <w:spacing w:after="0" w:line="240" w:lineRule="auto"/>
              <w:jc w:val="center"/>
              <w:rPr>
                <w:rFonts w:hint="eastAsia" w:ascii="仿宋_GB2312" w:hAnsi="仿宋_GB2312" w:eastAsia="仿宋_GB2312" w:cs="仿宋_GB2312"/>
                <w:sz w:val="21"/>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spacing w:after="0" w:line="240" w:lineRule="auto"/>
              <w:jc w:val="left"/>
              <w:rPr>
                <w:rFonts w:hint="eastAsia" w:ascii="仿宋_GB2312" w:hAnsi="仿宋_GB2312" w:eastAsia="仿宋_GB2312" w:cs="仿宋_GB2312"/>
                <w:kern w:val="0"/>
                <w:sz w:val="21"/>
                <w:szCs w:val="21"/>
              </w:rPr>
            </w:pPr>
          </w:p>
        </w:tc>
        <w:tc>
          <w:tcPr>
            <w:tcW w:w="3000" w:type="dxa"/>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180天≤N</w:t>
            </w:r>
          </w:p>
        </w:tc>
        <w:tc>
          <w:tcPr>
            <w:tcW w:w="1843" w:type="dxa"/>
            <w:vAlign w:val="center"/>
          </w:tcPr>
          <w:p>
            <w:pPr>
              <w:spacing w:after="0" w:line="240" w:lineRule="auto"/>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0</w:t>
            </w:r>
          </w:p>
        </w:tc>
        <w:tc>
          <w:tcPr>
            <w:tcW w:w="1843" w:type="dxa"/>
            <w:vAlign w:val="center"/>
          </w:tcPr>
          <w:p>
            <w:pPr>
              <w:spacing w:after="0" w:line="240" w:lineRule="auto"/>
              <w:jc w:val="center"/>
              <w:rPr>
                <w:rFonts w:hint="eastAsia" w:ascii="仿宋_GB2312" w:hAnsi="仿宋_GB2312" w:eastAsia="仿宋_GB2312" w:cs="仿宋_GB2312"/>
                <w:sz w:val="21"/>
                <w:szCs w:val="21"/>
              </w:rPr>
            </w:pPr>
          </w:p>
        </w:tc>
      </w:tr>
    </w:tbl>
    <w:p>
      <w:pPr>
        <w:spacing w:after="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spacing w:after="0"/>
        <w:jc w:val="left"/>
        <w:rPr>
          <w:rFonts w:hint="eastAsia" w:ascii="仿宋_GB2312" w:hAnsi="仿宋_GB2312" w:eastAsia="仿宋_GB2312" w:cs="仿宋_GB2312"/>
          <w:b/>
          <w:sz w:val="21"/>
          <w:szCs w:val="21"/>
        </w:rPr>
      </w:pPr>
      <w:r>
        <w:rPr>
          <w:rFonts w:hint="eastAsia" w:ascii="仿宋_GB2312" w:eastAsia="仿宋_GB2312"/>
          <w:b/>
          <w:sz w:val="21"/>
          <w:szCs w:val="21"/>
        </w:rPr>
        <w:t>（二）基金运作相关费用</w:t>
      </w:r>
    </w:p>
    <w:p>
      <w:pPr>
        <w:spacing w:after="0"/>
        <w:jc w:val="left"/>
        <w:rPr>
          <w:rFonts w:hint="eastAsia" w:ascii="仿宋_GB2312" w:eastAsia="仿宋_GB2312"/>
          <w:b/>
          <w:sz w:val="21"/>
          <w:szCs w:val="21"/>
        </w:rPr>
      </w:pPr>
      <w:r>
        <w:rPr>
          <w:rFonts w:hint="eastAsia" w:ascii="仿宋_GB2312" w:eastAsia="仿宋_GB2312"/>
          <w:sz w:val="21"/>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809"/>
        <w:gridCol w:w="2886"/>
        <w:gridCol w:w="281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ascii="仿宋_GB2312" w:eastAsia="仿宋_GB2312"/>
                <w:b/>
                <w:sz w:val="21"/>
                <w:szCs w:val="21"/>
              </w:rPr>
            </w:pPr>
            <w:r>
              <w:rPr>
                <w:rFonts w:ascii="仿宋_GB2312" w:eastAsia="仿宋_GB2312"/>
                <w:b/>
                <w:sz w:val="21"/>
                <w:szCs w:val="21"/>
              </w:rPr>
              <w:t>费用类别</w:t>
            </w:r>
          </w:p>
        </w:tc>
        <w:tc>
          <w:tcPr>
            <w:tcW w:w="3080" w:type="dxa"/>
            <w:vAlign w:val="center"/>
          </w:tcPr>
          <w:p>
            <w:pPr>
              <w:spacing w:after="0" w:line="240" w:lineRule="auto"/>
              <w:rPr>
                <w:rFonts w:ascii="仿宋_GB2312" w:eastAsia="仿宋_GB2312"/>
                <w:b/>
                <w:sz w:val="21"/>
                <w:szCs w:val="21"/>
              </w:rPr>
            </w:pPr>
            <w:r>
              <w:rPr>
                <w:rFonts w:ascii="仿宋_GB2312" w:eastAsia="仿宋_GB2312"/>
                <w:b/>
                <w:sz w:val="21"/>
                <w:szCs w:val="21"/>
              </w:rPr>
              <w:t>收费方式/年费率或金额</w:t>
            </w:r>
          </w:p>
        </w:tc>
        <w:tc>
          <w:tcPr>
            <w:tcW w:w="2542" w:type="dxa"/>
          </w:tcPr>
          <w:p>
            <w:pPr>
              <w:spacing w:after="0" w:line="240" w:lineRule="auto"/>
              <w:rPr>
                <w:rFonts w:ascii="仿宋_GB2312" w:eastAsia="仿宋_GB2312"/>
                <w:b/>
                <w:sz w:val="21"/>
                <w:szCs w:val="21"/>
              </w:rPr>
            </w:pPr>
            <w:r>
              <w:rPr>
                <w:rFonts w:ascii="仿宋_GB2312" w:eastAsia="仿宋_GB2312"/>
                <w:b/>
                <w:sz w:val="21"/>
                <w:szCs w:val="21"/>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管理费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 xml:space="preserve">本基金的管理费由基础管理费和业绩报酬两部分组成。 1、基础管理费：开放期内，本基金不收取基础管理费。封闭期内，本基金的基础管理费按前一日基金资产净值的1.0%年费率计提。封闭期基金基础管理费中50%的部分为基金管理人的固定管理费，另外50%的部分为基金管理人的或有管理费，或有管理费将根据基金封闭期内的年化收益率情况决定是否计提给基金管理人。 </w:t>
            </w:r>
          </w:p>
          <w:p>
            <w:pPr>
              <w:spacing w:after="0" w:line="240" w:lineRule="auto"/>
              <w:rPr>
                <w:rFonts w:hint="eastAsia" w:ascii="仿宋_GB2312" w:eastAsia="仿宋_GB2312"/>
                <w:sz w:val="21"/>
                <w:szCs w:val="21"/>
              </w:rPr>
            </w:pPr>
            <w:r>
              <w:rPr>
                <w:rFonts w:hint="eastAsia" w:ascii="仿宋_GB2312" w:eastAsia="仿宋_GB2312"/>
                <w:sz w:val="21"/>
                <w:szCs w:val="21"/>
              </w:rPr>
              <w:t>2、业绩报酬：当封闭期内基金年化收益率超过8%且超过同期业绩比较基准的年化收益率Rm时，基金管理人对基金年化收益率（R）超过业绩报酬计提基准（8%和同期业绩比较基准年化收益率的孰高者）的部分，按20%的计提比例计算业绩报酬。业绩报酬计提比例年化不超过1.0%，即基金管理人对基金年化收益率（R）超过计提基准部分的20%计提业绩报酬，按此计提的业绩报酬计提比例超过1.0%时，则按1.0%的比例计提。</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托管费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0.20%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销售服务费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审计费用</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50000.00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信息披露费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120000.00</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jc w:val="left"/>
              <w:rPr>
                <w:rFonts w:hint="eastAsia" w:ascii="仿宋_GB2312" w:eastAsia="仿宋_GB2312"/>
                <w:sz w:val="21"/>
                <w:szCs w:val="21"/>
              </w:rPr>
            </w:pPr>
            <w:r>
              <w:rPr>
                <w:rFonts w:hint="eastAsia" w:ascii="仿宋_GB2312" w:eastAsia="仿宋_GB2312"/>
                <w:sz w:val="21"/>
                <w:szCs w:val="21"/>
              </w:rPr>
              <w:t>指数许可使用费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w:t>
            </w:r>
          </w:p>
        </w:tc>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其他费用</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详见本基金招募说明书“基金的费用与税收”部分</w:t>
            </w:r>
          </w:p>
        </w:tc>
        <w:tc>
          <w:tcPr>
            <w:tcW w:w="3078" w:type="dxa"/>
          </w:tcPr>
          <w:p>
            <w:pPr>
              <w:spacing w:after="0" w:line="240" w:lineRule="auto"/>
              <w:rPr>
                <w:rFonts w:hint="eastAsia" w:ascii="仿宋_GB2312" w:eastAsia="仿宋_GB2312"/>
                <w:sz w:val="21"/>
                <w:szCs w:val="21"/>
              </w:rPr>
            </w:pPr>
          </w:p>
        </w:tc>
      </w:tr>
    </w:tbl>
    <w:p>
      <w:pPr>
        <w:spacing w:after="0"/>
        <w:jc w:val="left"/>
        <w:rPr>
          <w:rFonts w:hint="eastAsia" w:ascii="仿宋_GB2312" w:eastAsia="仿宋_GB2312"/>
          <w:sz w:val="21"/>
          <w:szCs w:val="21"/>
        </w:rPr>
      </w:pPr>
      <w:r>
        <w:rPr>
          <w:rFonts w:hint="eastAsia" w:ascii="仿宋_GB2312" w:eastAsia="仿宋_GB2312"/>
          <w:sz w:val="21"/>
          <w:szCs w:val="21"/>
        </w:rPr>
        <w:t>注：本基金交易证券、基金等产生的费用和税负，按实际发生额从基金资产扣除。上表中披露的年费用金额为基金整体承担费用，非单个份额类别费用，且年金额为预估值，最终实际金额以基金定期报告披露为准。</w:t>
      </w:r>
      <w:bookmarkStart w:id="0" w:name="_GoBack"/>
      <w:bookmarkEnd w:id="0"/>
    </w:p>
    <w:p>
      <w:pPr>
        <w:spacing w:after="0"/>
        <w:jc w:val="left"/>
        <w:rPr>
          <w:rFonts w:hint="eastAsia" w:ascii="仿宋_GB2312" w:eastAsia="仿宋_GB2312"/>
          <w:b/>
          <w:sz w:val="21"/>
          <w:szCs w:val="21"/>
        </w:rPr>
      </w:pPr>
      <w:r>
        <w:rPr>
          <w:rFonts w:hint="eastAsia" w:ascii="仿宋_GB2312" w:eastAsia="仿宋_GB2312"/>
          <w:b/>
          <w:sz w:val="21"/>
          <w:szCs w:val="21"/>
        </w:rPr>
        <w:t>（三）基金运作综合费用测算</w:t>
      </w:r>
    </w:p>
    <w:p>
      <w:pPr>
        <w:spacing w:after="0"/>
        <w:jc w:val="left"/>
        <w:rPr>
          <w:rFonts w:hint="eastAsia" w:ascii="仿宋_GB2312" w:eastAsia="仿宋_GB2312"/>
          <w:b/>
          <w:sz w:val="21"/>
          <w:szCs w:val="21"/>
        </w:rPr>
      </w:pPr>
      <w:r>
        <w:rPr>
          <w:rFonts w:hint="eastAsia" w:ascii="仿宋_GB2312" w:eastAsia="仿宋_GB2312"/>
          <w:sz w:val="21"/>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b/>
                <w:sz w:val="21"/>
                <w:szCs w:val="21"/>
              </w:rPr>
            </w:pPr>
          </w:p>
        </w:tc>
        <w:tc>
          <w:tcPr>
            <w:tcW w:w="5342" w:type="dxa"/>
          </w:tcPr>
          <w:p>
            <w:pPr>
              <w:spacing w:after="0" w:line="240" w:lineRule="auto"/>
              <w:rPr>
                <w:rFonts w:hint="eastAsia" w:ascii="仿宋_GB2312" w:eastAsia="仿宋_GB2312"/>
                <w:b/>
                <w:sz w:val="21"/>
                <w:szCs w:val="21"/>
              </w:rPr>
            </w:pPr>
            <w:r>
              <w:rPr>
                <w:rFonts w:hint="eastAsia" w:ascii="仿宋_GB2312" w:eastAsia="仿宋_GB2312"/>
                <w:b/>
                <w:sz w:val="21"/>
                <w:szCs w:val="21"/>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开放期内不收取基础管理费</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在每个封闭期的最后一日，若基金份额的期末净值小于或等于期初净值</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0.71%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spacing w:after="0" w:line="240" w:lineRule="auto"/>
              <w:rPr>
                <w:rFonts w:hint="eastAsia" w:ascii="仿宋_GB2312" w:eastAsia="仿宋_GB2312"/>
                <w:sz w:val="21"/>
                <w:szCs w:val="21"/>
              </w:rPr>
            </w:pPr>
            <w:r>
              <w:rPr>
                <w:rFonts w:hint="eastAsia" w:ascii="仿宋_GB2312" w:eastAsia="仿宋_GB2312"/>
                <w:sz w:val="21"/>
                <w:szCs w:val="21"/>
              </w:rPr>
              <w:t>在每个封闭期的最后一日，若基金份额的期末净值大于期初净值</w:t>
            </w:r>
          </w:p>
        </w:tc>
        <w:tc>
          <w:tcPr>
            <w:tcW w:w="3080" w:type="dxa"/>
            <w:vAlign w:val="center"/>
          </w:tcPr>
          <w:p>
            <w:pPr>
              <w:spacing w:after="0" w:line="240" w:lineRule="auto"/>
              <w:rPr>
                <w:rFonts w:hint="eastAsia" w:ascii="仿宋_GB2312" w:eastAsia="仿宋_GB2312"/>
                <w:sz w:val="21"/>
                <w:szCs w:val="21"/>
              </w:rPr>
            </w:pPr>
            <w:r>
              <w:rPr>
                <w:rFonts w:hint="eastAsia" w:ascii="仿宋_GB2312" w:eastAsia="仿宋_GB2312"/>
                <w:sz w:val="21"/>
                <w:szCs w:val="21"/>
              </w:rPr>
              <w:t>1.21%</w:t>
            </w:r>
          </w:p>
        </w:tc>
      </w:tr>
    </w:tbl>
    <w:p>
      <w:pPr>
        <w:spacing w:after="0"/>
        <w:jc w:val="left"/>
        <w:rPr>
          <w:rFonts w:hint="eastAsia" w:ascii="仿宋" w:hAnsi="仿宋" w:eastAsia="仿宋" w:cs="仿宋"/>
          <w:sz w:val="21"/>
          <w:szCs w:val="21"/>
        </w:rPr>
      </w:pPr>
      <w:r>
        <w:rPr>
          <w:rFonts w:hint="eastAsia" w:ascii="仿宋_GB2312" w:eastAsia="仿宋_GB2312"/>
          <w:sz w:val="21"/>
          <w:szCs w:val="21"/>
        </w:rPr>
        <w:t>注：基金管理费率、托管费率、销售服务费率（若有）为基金现行费率，其他运作费用以最近一次基金年报披露的相关数据为基准测算。</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四、风险揭示与重要提示</w:t>
      </w:r>
    </w:p>
    <w:p>
      <w:pPr>
        <w:spacing w:after="0"/>
        <w:jc w:val="left"/>
        <w:rPr>
          <w:rFonts w:hint="eastAsia" w:ascii="仿宋_GB2312" w:hAnsi="宋体" w:eastAsia="仿宋_GB2312" w:cs="宋体"/>
          <w:b/>
          <w:kern w:val="0"/>
          <w:sz w:val="21"/>
          <w:szCs w:val="21"/>
        </w:rPr>
      </w:pPr>
      <w:r>
        <w:rPr>
          <w:rFonts w:hint="eastAsia" w:ascii="仿宋_GB2312" w:hAnsi="宋体" w:eastAsia="仿宋_GB2312" w:cs="宋体"/>
          <w:b/>
          <w:kern w:val="0"/>
          <w:sz w:val="21"/>
          <w:szCs w:val="21"/>
        </w:rPr>
        <w:t>（一）风险揭示</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本基金不提供任何保证。投资者可能损失投资本金。</w:t>
      </w:r>
    </w:p>
    <w:p>
      <w:pPr>
        <w:spacing w:after="0"/>
        <w:ind w:firstLine="420"/>
        <w:jc w:val="left"/>
        <w:rPr>
          <w:rFonts w:hint="eastAsia" w:ascii="仿宋_GB2312" w:eastAsia="仿宋_GB2312"/>
          <w:sz w:val="21"/>
          <w:szCs w:val="21"/>
        </w:rPr>
      </w:pPr>
      <w:r>
        <w:rPr>
          <w:rFonts w:hint="eastAsia" w:ascii="仿宋_GB2312" w:eastAsia="仿宋_GB2312"/>
          <w:sz w:val="21"/>
          <w:szCs w:val="21"/>
        </w:rPr>
        <w:t>投资有风险，投资者购买基金时应认真阅读本基金的《招募说明书》等销售文件。</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基金份额持有人须了解并承受以下风险：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1、市场风险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（1）政策风险（2）经济周期风险（3）利率风险（4）上市公司经营风险（5）购买力风险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2、管理风险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3、流动性风险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4、信用风险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5、本基金的特有风险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spacing w:after="0"/>
        <w:ind w:firstLine="420"/>
        <w:jc w:val="left"/>
        <w:rPr>
          <w:rFonts w:hint="eastAsia" w:ascii="仿宋_GB2312" w:eastAsia="仿宋_GB2312"/>
          <w:sz w:val="21"/>
          <w:szCs w:val="21"/>
        </w:rPr>
      </w:pPr>
      <w:r>
        <w:rPr>
          <w:rFonts w:hint="eastAsia" w:ascii="仿宋_GB2312" w:eastAsia="仿宋_GB2312"/>
          <w:sz w:val="21"/>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spacing w:after="0"/>
        <w:ind w:firstLine="420"/>
        <w:jc w:val="left"/>
        <w:rPr>
          <w:rFonts w:hint="eastAsia" w:ascii="仿宋_GB2312" w:eastAsia="仿宋_GB2312"/>
          <w:sz w:val="21"/>
          <w:szCs w:val="21"/>
        </w:rPr>
      </w:pPr>
      <w:r>
        <w:rPr>
          <w:rFonts w:hint="eastAsia" w:ascii="仿宋_GB2312" w:eastAsia="仿宋_GB2312"/>
          <w:sz w:val="21"/>
          <w:szCs w:val="21"/>
        </w:rPr>
        <w:t>（3）本基金面临特定运作方式的风险：本基金以封闭期和开放期滚动的方式运作，投资者需在开放期提出申购、赎回申请，每个开放期不少于5个工作日并且最长不超过20个工作日。在非开放期间将无法按照基金份额净值进行申购和赎回。基金份额持有人面临封闭期内无法赎回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（4）本基金暂停运作的风险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基金合同生效后的存续期内，出现以下情况的，本基金可以暂停基金的运作，且无须召开基金份额持有人大会：</w:t>
      </w:r>
    </w:p>
    <w:p>
      <w:pPr>
        <w:spacing w:after="0"/>
        <w:ind w:firstLine="420"/>
        <w:jc w:val="left"/>
        <w:rPr>
          <w:rFonts w:hint="eastAsia" w:ascii="仿宋_GB2312" w:eastAsia="仿宋_GB2312"/>
          <w:sz w:val="21"/>
          <w:szCs w:val="21"/>
        </w:rPr>
      </w:pPr>
      <w:r>
        <w:rPr>
          <w:rFonts w:hint="eastAsia" w:ascii="仿宋_GB2312" w:eastAsia="仿宋_GB2312"/>
          <w:sz w:val="21"/>
          <w:szCs w:val="21"/>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若存在未变现的资产，登记机构将于该部分资产变现完成后，将对应款项按该封闭期最后一日基金份额持有人持有的基金份额比例分配给全体基金份额持有人，单位基金份额所分配的资产金额按照资产变现完成后的净额进行计算，单位基金份额对应的总到账款项可能与封闭期到期日基金份额净值不一致。封闭期结束后，基金暂不开放申购、转换转入等相关业务。</w:t>
      </w:r>
    </w:p>
    <w:p>
      <w:pPr>
        <w:spacing w:after="0"/>
        <w:ind w:firstLine="420"/>
        <w:jc w:val="left"/>
        <w:rPr>
          <w:rFonts w:hint="eastAsia" w:ascii="仿宋_GB2312" w:eastAsia="仿宋_GB2312"/>
          <w:sz w:val="21"/>
          <w:szCs w:val="21"/>
        </w:rPr>
      </w:pPr>
      <w:r>
        <w:rPr>
          <w:rFonts w:hint="eastAsia" w:ascii="仿宋_GB2312" w:eastAsia="仿宋_GB2312"/>
          <w:sz w:val="21"/>
          <w:szCs w:val="21"/>
        </w:rPr>
        <w:t>同时，为避免基金份额持有人利益因基金份额净值的小数点保留精度受到不利影响，基金管理人可提高该封闭期结束之日的下一个工作日的基金份额净值的精度。</w:t>
      </w:r>
    </w:p>
    <w:p>
      <w:pPr>
        <w:spacing w:after="0"/>
        <w:ind w:firstLine="420"/>
        <w:jc w:val="left"/>
        <w:rPr>
          <w:rFonts w:hint="eastAsia" w:ascii="仿宋_GB2312" w:eastAsia="仿宋_GB2312"/>
          <w:sz w:val="21"/>
          <w:szCs w:val="21"/>
        </w:rPr>
      </w:pPr>
      <w:r>
        <w:rPr>
          <w:rFonts w:hint="eastAsia" w:ascii="仿宋_GB2312" w:eastAsia="仿宋_GB2312"/>
          <w:sz w:val="21"/>
          <w:szCs w:val="21"/>
        </w:rPr>
        <w:t>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基金管理人决定暂停进入下一封闭期的，投资人未确认的申购申请对应的已缴纳申购款项将全部退回；对于当日日终留存的基金份额，将全部自动赎回。</w:t>
      </w:r>
    </w:p>
    <w:p>
      <w:pPr>
        <w:spacing w:after="0"/>
        <w:ind w:firstLine="420"/>
        <w:jc w:val="left"/>
        <w:rPr>
          <w:rFonts w:hint="eastAsia" w:ascii="仿宋_GB2312" w:eastAsia="仿宋_GB2312"/>
          <w:sz w:val="21"/>
          <w:szCs w:val="21"/>
        </w:rPr>
      </w:pPr>
      <w:r>
        <w:rPr>
          <w:rFonts w:hint="eastAsia" w:ascii="仿宋_GB2312" w:eastAsia="仿宋_GB2312"/>
          <w:sz w:val="21"/>
          <w:szCs w:val="21"/>
        </w:rPr>
        <w:t>同时，为避免基金份额持有人利益因基金份额净值的小数点保留精度受到不利影响，基金管理人可提高该开放期最后一日的基金份额净值的精度。</w:t>
      </w:r>
    </w:p>
    <w:p>
      <w:pPr>
        <w:spacing w:after="0"/>
        <w:ind w:firstLine="420"/>
        <w:jc w:val="left"/>
        <w:rPr>
          <w:rFonts w:hint="eastAsia" w:ascii="仿宋_GB2312" w:eastAsia="仿宋_GB2312"/>
          <w:sz w:val="21"/>
          <w:szCs w:val="21"/>
        </w:rPr>
      </w:pPr>
      <w:r>
        <w:rPr>
          <w:rFonts w:hint="eastAsia" w:ascii="仿宋_GB2312" w:eastAsia="仿宋_GB2312"/>
          <w:sz w:val="21"/>
          <w:szCs w:val="21"/>
        </w:rPr>
        <w:t>3）暂停运作期间，基金管理人与基金托管人协商一致，可以决定终止基金合同，报中国证监会备案并公告，无须召开基金份额持有人大会。</w:t>
      </w:r>
    </w:p>
    <w:p>
      <w:pPr>
        <w:spacing w:after="0"/>
        <w:ind w:firstLine="420"/>
        <w:jc w:val="left"/>
        <w:rPr>
          <w:rFonts w:hint="eastAsia" w:ascii="仿宋_GB2312" w:eastAsia="仿宋_GB2312"/>
          <w:sz w:val="21"/>
          <w:szCs w:val="21"/>
        </w:rPr>
      </w:pPr>
      <w:r>
        <w:rPr>
          <w:rFonts w:hint="eastAsia" w:ascii="仿宋_GB2312" w:eastAsia="仿宋_GB2312"/>
          <w:sz w:val="21"/>
          <w:szCs w:val="21"/>
        </w:rPr>
        <w:t>（5）浮动管理费模式相关风险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1）本基金的基金管理费由基础管理费和业绩报酬两部分组成，而基础管理费、业绩报酬取决于基金封闭期内净值增长情况及年化收益率情况，因此投资者在认/申购本基金时无法预先确定本基金的整体管理费水平。</w:t>
      </w:r>
    </w:p>
    <w:p>
      <w:pPr>
        <w:spacing w:after="0"/>
        <w:ind w:firstLine="420"/>
        <w:jc w:val="left"/>
        <w:rPr>
          <w:rFonts w:hint="eastAsia" w:ascii="仿宋_GB2312" w:eastAsia="仿宋_GB2312"/>
          <w:sz w:val="21"/>
          <w:szCs w:val="21"/>
        </w:rPr>
      </w:pPr>
      <w:r>
        <w:rPr>
          <w:rFonts w:hint="eastAsia" w:ascii="仿宋_GB2312" w:eastAsia="仿宋_GB2312"/>
          <w:sz w:val="21"/>
          <w:szCs w:val="21"/>
        </w:rPr>
        <w:t>2）本基金公布的基金份额净值中，为按1.0%/年收取管理费的净值。本基金封闭期内（封闭期最后一天除外）披露的基金份额净值为已扣除或有管理费但未扣除基金管理人业绩报酬前的基金份额净值，可能因为封闭期最后一天或有管理费划归基金资产或计提业绩报酬导致基金份额净值发生波动。投资者投资者实际可得的份额净值可能与披露净值不同。投资者实际赎回金额，以登记机构确认数据为准。</w:t>
      </w:r>
    </w:p>
    <w:p>
      <w:pPr>
        <w:spacing w:after="0"/>
        <w:ind w:firstLine="420"/>
        <w:jc w:val="left"/>
        <w:rPr>
          <w:rFonts w:hint="eastAsia" w:ascii="仿宋_GB2312" w:eastAsia="仿宋_GB2312"/>
          <w:sz w:val="21"/>
          <w:szCs w:val="21"/>
        </w:rPr>
      </w:pPr>
      <w:r>
        <w:rPr>
          <w:rFonts w:hint="eastAsia" w:ascii="仿宋_GB2312" w:eastAsia="仿宋_GB2312"/>
          <w:sz w:val="21"/>
          <w:szCs w:val="21"/>
        </w:rPr>
        <w:t>3）虽然本基金采用浮动管理费加提取业绩报酬的模式，但这并不代表基金的收益保证，即封闭期到期时，存在年化收益率低于8%甚至为负的可能性。</w:t>
      </w:r>
    </w:p>
    <w:p>
      <w:pPr>
        <w:spacing w:after="0"/>
        <w:ind w:firstLine="420"/>
        <w:jc w:val="left"/>
        <w:rPr>
          <w:rFonts w:hint="eastAsia" w:ascii="仿宋_GB2312" w:eastAsia="仿宋_GB2312"/>
          <w:sz w:val="21"/>
          <w:szCs w:val="21"/>
        </w:rPr>
      </w:pPr>
      <w:r>
        <w:rPr>
          <w:rFonts w:hint="eastAsia" w:ascii="仿宋_GB2312" w:eastAsia="仿宋_GB2312"/>
          <w:sz w:val="21"/>
          <w:szCs w:val="21"/>
        </w:rPr>
        <w:t>（6）本基金可投资创业板股票，创业板个股上市后的前五个交易日不设价格涨跌幅限制，第六个交易日开始涨跌幅限制比例为20%。</w:t>
      </w:r>
    </w:p>
    <w:p>
      <w:pPr>
        <w:spacing w:after="0"/>
        <w:ind w:firstLine="420"/>
        <w:jc w:val="left"/>
        <w:rPr>
          <w:rFonts w:hint="eastAsia" w:ascii="仿宋_GB2312" w:eastAsia="仿宋_GB2312"/>
          <w:sz w:val="21"/>
          <w:szCs w:val="21"/>
        </w:rPr>
      </w:pPr>
      <w:r>
        <w:rPr>
          <w:rFonts w:hint="eastAsia" w:ascii="仿宋_GB2312" w:eastAsia="仿宋_GB2312"/>
          <w:sz w:val="21"/>
          <w:szCs w:val="21"/>
        </w:rPr>
        <w:t>6、投资股指期货的特定风险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此外，由于衍生品通常具有杠杆效应，价格波动比标的工具更为剧烈，并且其定价相当复杂，不适当的估值也有可能使基金资产面临损失风险。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7、投资资产支持证券的特定风险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8、投资流通受限证券的特定风险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spacing w:after="0"/>
        <w:ind w:firstLine="420"/>
        <w:jc w:val="left"/>
        <w:rPr>
          <w:rFonts w:hint="eastAsia" w:ascii="仿宋_GB2312" w:eastAsia="仿宋_GB2312"/>
          <w:sz w:val="21"/>
          <w:szCs w:val="21"/>
        </w:rPr>
      </w:pPr>
      <w:r>
        <w:rPr>
          <w:rFonts w:hint="eastAsia" w:ascii="仿宋_GB2312" w:eastAsia="仿宋_GB2312"/>
          <w:sz w:val="21"/>
          <w:szCs w:val="21"/>
        </w:rPr>
        <w:t>9、投资港股通标的股票的特定风险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spacing w:after="0"/>
        <w:ind w:firstLine="420"/>
        <w:jc w:val="left"/>
        <w:rPr>
          <w:rFonts w:hint="eastAsia" w:ascii="仿宋_GB2312" w:eastAsia="仿宋_GB2312"/>
          <w:sz w:val="21"/>
          <w:szCs w:val="21"/>
        </w:rPr>
      </w:pPr>
      <w:r>
        <w:rPr>
          <w:rFonts w:hint="eastAsia" w:ascii="仿宋_GB2312" w:eastAsia="仿宋_GB2312"/>
          <w:sz w:val="21"/>
          <w:szCs w:val="21"/>
        </w:rPr>
        <w:t>10、投资存托凭证的特定风险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本基金可根据投资策略需要或市场环境的变化，选择将部分基金资产投资于存托凭证或选择不将基金资产投资于存托凭证，基金资产并非必然投资存托凭证。</w:t>
      </w:r>
    </w:p>
    <w:p>
      <w:pPr>
        <w:spacing w:after="0"/>
        <w:ind w:firstLine="420"/>
        <w:jc w:val="left"/>
        <w:rPr>
          <w:rFonts w:hint="eastAsia" w:ascii="仿宋_GB2312" w:eastAsia="仿宋_GB2312"/>
          <w:sz w:val="21"/>
          <w:szCs w:val="21"/>
        </w:rPr>
      </w:pPr>
      <w:r>
        <w:rPr>
          <w:rFonts w:hint="eastAsia" w:ascii="仿宋_GB2312" w:eastAsia="仿宋_GB2312"/>
          <w:sz w:val="21"/>
          <w:szCs w:val="21"/>
        </w:rPr>
        <w:t>11、投资科创板股票的特定风险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spacing w:after="0"/>
        <w:ind w:firstLine="420"/>
        <w:jc w:val="left"/>
        <w:rPr>
          <w:rFonts w:hint="eastAsia" w:ascii="仿宋_GB2312" w:eastAsia="仿宋_GB2312"/>
          <w:sz w:val="21"/>
          <w:szCs w:val="21"/>
        </w:rPr>
      </w:pPr>
      <w:r>
        <w:rPr>
          <w:rFonts w:hint="eastAsia" w:ascii="仿宋_GB2312" w:eastAsia="仿宋_GB2312"/>
          <w:sz w:val="21"/>
          <w:szCs w:val="21"/>
        </w:rPr>
        <w:t>12、本基金法律文件风险收益特征表述与销售机构基金风险评价可能不一致的风险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spacing w:after="0"/>
        <w:ind w:firstLine="420"/>
        <w:jc w:val="left"/>
        <w:rPr>
          <w:rFonts w:hint="eastAsia" w:ascii="仿宋_GB2312" w:eastAsia="仿宋_GB2312"/>
          <w:sz w:val="21"/>
          <w:szCs w:val="21"/>
        </w:rPr>
      </w:pPr>
      <w:r>
        <w:rPr>
          <w:rFonts w:hint="eastAsia" w:ascii="仿宋_GB2312" w:eastAsia="仿宋_GB2312"/>
          <w:sz w:val="21"/>
          <w:szCs w:val="21"/>
        </w:rPr>
        <w:t>13、其他风险</w:t>
      </w:r>
    </w:p>
    <w:p>
      <w:pPr>
        <w:spacing w:after="0"/>
        <w:jc w:val="left"/>
        <w:rPr>
          <w:rFonts w:ascii="仿宋_GB2312" w:eastAsia="仿宋_GB2312"/>
          <w:b/>
          <w:sz w:val="21"/>
          <w:szCs w:val="21"/>
        </w:rPr>
      </w:pPr>
      <w:r>
        <w:rPr>
          <w:rFonts w:ascii="仿宋_GB2312" w:eastAsia="仿宋_GB2312"/>
          <w:b/>
          <w:sz w:val="21"/>
          <w:szCs w:val="21"/>
        </w:rPr>
        <w:t>（二）重要提示</w:t>
      </w:r>
    </w:p>
    <w:p>
      <w:pPr>
        <w:spacing w:after="0"/>
        <w:ind w:firstLine="420"/>
        <w:jc w:val="left"/>
        <w:rPr>
          <w:rFonts w:hint="eastAsia" w:ascii="仿宋_GB2312" w:eastAsia="仿宋_GB2312"/>
          <w:sz w:val="21"/>
          <w:szCs w:val="21"/>
        </w:rPr>
      </w:pPr>
      <w:r>
        <w:rPr>
          <w:rFonts w:hint="eastAsia" w:ascii="仿宋_GB2312" w:eastAsia="仿宋_GB2312"/>
          <w:sz w:val="21"/>
          <w:szCs w:val="21"/>
        </w:rPr>
        <w:t>中国证监会对本基金募集的核准或注册，并不表明其对本基金的价值和收益作出实质性判断或保证，也不表明投资于本基金没有风险。</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基金管理人依照恪尽职守、诚实信用、谨慎勤勉的原则管理和运用基金财产，但不保证基金一定盈利，也不保证最低收益。</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spacing w:after="0"/>
        <w:ind w:firstLine="420"/>
        <w:jc w:val="left"/>
        <w:rPr>
          <w:rFonts w:hint="eastAsia" w:ascii="仿宋_GB2312" w:eastAsia="仿宋_GB2312"/>
          <w:sz w:val="21"/>
          <w:szCs w:val="21"/>
        </w:rPr>
      </w:pPr>
      <w:r>
        <w:rPr>
          <w:rFonts w:hint="eastAsia" w:ascii="仿宋_GB2312" w:eastAsia="仿宋_GB2312"/>
          <w:sz w:val="21"/>
          <w:szCs w:val="21"/>
        </w:rPr>
        <w:t>销售机构的风险等级评价与基金法律文件中风险收益特征的表述可能存在不同，投资人在购买本基金时需按照销售机构的要求完成风险承受能力与产品风险之间的匹配检验。</w:t>
      </w:r>
    </w:p>
    <w:p>
      <w:pPr>
        <w:spacing w:after="0"/>
        <w:ind w:firstLine="420"/>
        <w:jc w:val="left"/>
        <w:rPr>
          <w:rFonts w:hint="eastAsia" w:ascii="仿宋_GB2312" w:eastAsia="仿宋_GB2312"/>
          <w:sz w:val="21"/>
          <w:szCs w:val="21"/>
        </w:rPr>
      </w:pPr>
      <w:r>
        <w:rPr>
          <w:rFonts w:hint="eastAsia" w:ascii="仿宋_GB2312" w:eastAsia="仿宋_GB2312"/>
          <w:sz w:val="21"/>
          <w:szCs w:val="21"/>
        </w:rPr>
        <w:t>▲▲</w:t>
      </w:r>
      <w:r>
        <w:rPr>
          <w:rFonts w:hint="eastAsia" w:ascii="仿宋_GB2312" w:hAnsi="仿宋_GB2312" w:eastAsia="仿宋_GB2312"/>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spacing w:after="0"/>
        <w:jc w:val="left"/>
        <w:rPr>
          <w:rFonts w:ascii="仿宋_GB2312" w:eastAsia="仿宋_GB2312"/>
          <w:b/>
          <w:sz w:val="21"/>
          <w:szCs w:val="21"/>
        </w:rPr>
      </w:pPr>
      <w:r>
        <w:rPr>
          <w:rFonts w:ascii="仿宋_GB2312" w:eastAsia="仿宋_GB2312"/>
          <w:b/>
          <w:sz w:val="21"/>
          <w:szCs w:val="21"/>
        </w:rPr>
        <w:t>五、其他资料查询方式</w:t>
      </w:r>
    </w:p>
    <w:p>
      <w:pPr>
        <w:spacing w:after="0"/>
        <w:ind w:firstLine="420"/>
        <w:jc w:val="left"/>
        <w:rPr>
          <w:rFonts w:hint="eastAsia" w:ascii="仿宋_GB2312" w:eastAsia="仿宋_GB2312"/>
          <w:sz w:val="21"/>
          <w:szCs w:val="21"/>
        </w:rPr>
      </w:pPr>
      <w:r>
        <w:rPr>
          <w:rFonts w:hint="eastAsia" w:ascii="仿宋_GB2312" w:eastAsia="仿宋_GB2312"/>
          <w:sz w:val="21"/>
          <w:szCs w:val="21"/>
        </w:rPr>
        <w:t>以下资料详见交银施罗德基金官方网站[www.fund001.com][客服电话：400-700-5000]</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●《交银施罗德瑞元三年定期开放混合型证券投资基金基金合同》、</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《交银施罗德瑞元三年定期开放混合型证券投资基金托管协议》、</w:t>
      </w:r>
    </w:p>
    <w:p>
      <w:pPr>
        <w:spacing w:after="0"/>
        <w:ind w:firstLine="420"/>
        <w:jc w:val="left"/>
        <w:rPr>
          <w:rFonts w:hint="eastAsia" w:ascii="仿宋_GB2312" w:eastAsia="仿宋_GB2312"/>
          <w:sz w:val="21"/>
          <w:szCs w:val="21"/>
        </w:rPr>
      </w:pPr>
      <w:r>
        <w:rPr>
          <w:rFonts w:hint="eastAsia" w:ascii="仿宋_GB2312" w:eastAsia="仿宋_GB2312"/>
          <w:sz w:val="21"/>
          <w:szCs w:val="21"/>
        </w:rPr>
        <w:t>《交银施罗德瑞元三年定期开放混合型证券投资基金招募说明书》</w:t>
      </w:r>
    </w:p>
    <w:p>
      <w:pPr>
        <w:spacing w:after="0"/>
        <w:ind w:firstLine="420"/>
        <w:jc w:val="left"/>
        <w:rPr>
          <w:rFonts w:hint="eastAsia" w:ascii="仿宋_GB2312" w:eastAsia="仿宋_GB2312"/>
          <w:sz w:val="21"/>
          <w:szCs w:val="21"/>
        </w:rPr>
      </w:pPr>
      <w:r>
        <w:rPr>
          <w:rFonts w:hint="eastAsia" w:ascii="仿宋_GB2312" w:eastAsia="仿宋_GB2312"/>
          <w:sz w:val="21"/>
          <w:szCs w:val="21"/>
        </w:rPr>
        <w:t>●定期报告，包括基金季度报告、中期报告和年度报告</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●基金份额净值</w:t>
      </w:r>
    </w:p>
    <w:p>
      <w:pPr>
        <w:spacing w:after="0"/>
        <w:ind w:firstLine="420"/>
        <w:jc w:val="left"/>
        <w:rPr>
          <w:rFonts w:hint="eastAsia" w:ascii="仿宋_GB2312" w:eastAsia="仿宋_GB2312"/>
          <w:sz w:val="21"/>
          <w:szCs w:val="21"/>
        </w:rPr>
      </w:pPr>
      <w:r>
        <w:rPr>
          <w:rFonts w:hint="eastAsia" w:ascii="仿宋_GB2312" w:eastAsia="仿宋_GB2312"/>
          <w:sz w:val="21"/>
          <w:szCs w:val="21"/>
        </w:rPr>
        <w:t>●基金销售机构及联系方式</w:t>
      </w:r>
    </w:p>
    <w:p>
      <w:pPr>
        <w:spacing w:after="0"/>
        <w:ind w:firstLine="420"/>
        <w:jc w:val="left"/>
        <w:rPr>
          <w:rFonts w:hint="eastAsia" w:ascii="仿宋_GB2312" w:eastAsia="仿宋_GB2312"/>
          <w:sz w:val="21"/>
          <w:szCs w:val="21"/>
        </w:rPr>
      </w:pPr>
      <w:r>
        <w:rPr>
          <w:rFonts w:hint="eastAsia" w:ascii="仿宋_GB2312" w:eastAsia="仿宋_GB2312"/>
          <w:sz w:val="21"/>
          <w:szCs w:val="21"/>
        </w:rPr>
        <w:t>●其他重要资料</w:t>
      </w:r>
    </w:p>
    <w:p>
      <w:pPr>
        <w:spacing w:after="0"/>
        <w:jc w:val="left"/>
        <w:rPr>
          <w:rFonts w:hint="eastAsia" w:ascii="仿宋_GB2312" w:eastAsia="仿宋_GB2312"/>
          <w:b/>
          <w:sz w:val="21"/>
          <w:szCs w:val="21"/>
        </w:rPr>
      </w:pPr>
      <w:r>
        <w:rPr>
          <w:rFonts w:hint="eastAsia" w:ascii="仿宋_GB2312" w:eastAsia="仿宋_GB2312"/>
          <w:b/>
          <w:sz w:val="21"/>
          <w:szCs w:val="21"/>
        </w:rPr>
        <w:t>六、其他情况说明</w:t>
      </w:r>
    </w:p>
    <w:p>
      <w:pPr>
        <w:spacing w:after="0"/>
        <w:ind w:firstLine="420"/>
        <w:jc w:val="left"/>
        <w:rPr>
          <w:rFonts w:hint="eastAsia" w:ascii="仿宋_GB2312" w:eastAsia="仿宋_GB2312"/>
          <w:sz w:val="21"/>
          <w:szCs w:val="21"/>
        </w:rPr>
      </w:pPr>
      <w:r>
        <w:rPr>
          <w:rFonts w:hint="eastAsia" w:ascii="仿宋_GB2312" w:eastAsia="仿宋_GB2312"/>
          <w:sz w:val="21"/>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FZHTJW--GB1-0">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607915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nhideWhenUsed="0" w:uiPriority="99"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4"/>
      <w:szCs w:val="24"/>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165</Words>
  <Characters>947</Characters>
  <Lines>7</Lines>
  <Paragraphs>2</Paragraphs>
  <TotalTime>1</TotalTime>
  <ScaleCrop>false</ScaleCrop>
  <LinksUpToDate>false</LinksUpToDate>
  <CharactersWithSpaces>1110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2020-05-03T04:18:00Z</dcterms:created>
  <dc:creator>Cc</dc:creator>
  <cp:lastModifiedBy>haotingting</cp:lastModifiedBy>
  <dcterms:modified xsi:type="dcterms:W3CDTF">2026-09-28T01:09:48Z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10368F5EF1154097B2BC9F5B82C8D732</vt:lpwstr>
  </property>
</Properties>
</file>