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rPr>
          <w:rFonts w:hint="eastAsia"/>
          <w:sz w:val="32"/>
        </w:rPr>
      </w:pPr>
    </w:p>
    <w:p>
      <w:pPr>
        <w:spacing w:after="0"/>
        <w:rPr>
          <w:sz w:val="32"/>
        </w:rPr>
      </w:pPr>
    </w:p>
    <w:p>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交银施罗德恒益灵活配置混合型证券投资基金招募说明书（更新）</w:t>
      </w:r>
    </w:p>
    <w:p>
      <w:pPr>
        <w:snapToGrid w:val="0"/>
        <w:spacing w:after="0" w:line="360" w:lineRule="auto"/>
        <w:jc w:val="center"/>
        <w:rPr>
          <w:rFonts w:ascii="宋体" w:hAnsi="宋体" w:eastAsia="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基金托管人：中国农业银行股份有限公司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r:id="rId7" w:type="first"/>
          <w:footerReference r:id="rId10" w:type="first"/>
          <w:headerReference r:id="rId5" w:type="default"/>
          <w:footerReference r:id="rId8" w:type="default"/>
          <w:headerReference r:id="rId6" w:type="even"/>
          <w:footerReference r:id="rId9" w:type="even"/>
          <w:pgSz w:w="11920" w:h="16840"/>
          <w:pgMar w:top="1440" w:right="1680" w:bottom="280" w:left="1680" w:header="900" w:footer="1073" w:gutter="0"/>
          <w:cols w:space="720" w:num="1"/>
          <w:titlePg/>
          <w:docGrid w:linePitch="286" w:charSpace="0"/>
        </w:sectPr>
      </w:pPr>
    </w:p>
    <w:p>
      <w:pPr>
        <w:pStyle w:val="2"/>
        <w:snapToGrid w:val="0"/>
        <w:spacing w:before="240" w:beforeLines="0" w:after="0"/>
        <w:rPr>
          <w:rFonts w:ascii="宋体" w:hAnsi="宋体"/>
          <w:kern w:val="0"/>
        </w:rPr>
      </w:pPr>
      <w:bookmarkStart w:id="0" w:name="_Toc324920538"/>
      <w:bookmarkStart w:id="1" w:name="_Toc496884613"/>
      <w:bookmarkStart w:id="2" w:name="_Toc256000000"/>
      <w:bookmarkStart w:id="3" w:name="_Toc256000027"/>
      <w:r>
        <w:rPr>
          <w:rFonts w:ascii="宋体" w:hAnsi="宋体"/>
          <w:kern w:val="0"/>
        </w:rPr>
        <w:t>重要提示</w:t>
      </w:r>
      <w:bookmarkEnd w:id="0"/>
      <w:bookmarkEnd w:id="1"/>
      <w:bookmarkEnd w:id="2"/>
      <w:bookmarkEnd w:id="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交银施罗德恒益灵活配置混合型证券投资基金（以下简称“本基金”）经2017年7月10日中国证券监督管理委员会（以下简称“中国证监会”）证监许可【2017】1179号文准予募集注册。本基金基金合同于2017年9月15日正式生效。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基金管理人保证招募说明书的内容真实、准确、完整。本招募说明书经中国证监会注册，但中国证监会对本基金募集的注册，并不表明其对本基金的价值和收益作出实质性判断或保证，也不表明投资于本基金没有风险。中国证监会不对基金的投资价值及市场前景等作出实质性判断或者保证。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基金管理人依照恪尽职守、诚实信用、勤勉尽责的原则管理和运用基金财产，但不保证投资本基金一定盈利，也不保证基金份额持有人的最低收益；因基金价格可升可跌，亦不保证基金份额持有人能全数取回其原本投资。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本基金投资于证券市场，基金净值会因为证券市场波动等因素产生波动。投资人在投资本基金前，需全面认识本基金产品的风险收益特征和产品特性，充分考虑自身的风险承受能力，理性判断市场，对投资本基金的意愿、时机、数量等投资行为作出独立决策。投资人根据所持有份额享受基金的收益，但同时也需承担相应的投资风险。投资本基金可能遇到的风险包括：因受到经济因素、政治因素、投资心理和交易制度等各种因素的影响而引起的市场风险；基金管理人在基金管理实施过程中产生的基金管理风险；流动性风险（包括实施侧袋机制时的特定风险）；交易对手违约风险；投资股指期货的特定风险；投资资产支持证券的特定风险；投资流通受限证券的特定风险；投资科创板股票的特定风险；投资本基金特有的其他风险等等。本基金是一只混合型基金，其风险和预期收益高于债券型基金和货币市场基金，低于股票型基金。属于承担较高风险、预期收益较高的证券投资基金品种。本基金的目标客户不包括特定的机构投资者。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本基金可根据投资策略需要或市场环境的变化，选择将部分基金资产投资于存托凭证或选择不将基金资产投资于存托凭证，基金资产并非必然投资存托凭证。  </w:t>
      </w:r>
    </w:p>
    <w:p>
      <w:pPr>
        <w:autoSpaceDE w:val="0"/>
        <w:autoSpaceDN w:val="0"/>
        <w:adjustRightInd w:val="0"/>
        <w:snapToGrid w:val="0"/>
        <w:spacing w:after="0" w:line="360" w:lineRule="auto"/>
        <w:ind w:firstLine="480" w:firstLineChars="200"/>
        <w:jc w:val="left"/>
        <w:rPr>
          <w:rFonts w:ascii="宋体" w:hAnsi="宋体"/>
          <w:szCs w:val="24"/>
        </w:rPr>
      </w:pPr>
      <w:bookmarkStart w:id="56" w:name="_GoBack"/>
      <w:bookmarkEnd w:id="56"/>
      <w:r>
        <w:rPr>
          <w:rFonts w:hint="eastAsia" w:ascii="宋体" w:hAnsi="宋体"/>
          <w:kern w:val="0"/>
          <w:sz w:val="24"/>
        </w:rPr>
        <w:t xml:space="preserve">投资有风险，投资人在投资本基金前应认真阅读本基金的招募说明书、基金合同、基金产品资料概要等信息披露文件。基金的过往业绩并不代表未来表现。基金管理人管理的其他基金的业绩并不构成对本基金业绩表现的保证。基金管理人提醒投资者基金投资的“买者自负”原则，在投资者作出投资决策后，基金运营状况与基金净值变化引致的投资风险，由投资者自行负责。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本招募说明书所载内容截止日为2026年09月02日，有关财务和业绩表现数据截止日为2026年06月30日，财务和业绩表现数据未经审计。</w:t>
      </w:r>
    </w:p>
    <w:p>
      <w:pPr>
        <w:autoSpaceDE w:val="0"/>
        <w:autoSpaceDN w:val="0"/>
        <w:adjustRightInd w:val="0"/>
        <w:snapToGrid w:val="0"/>
        <w:spacing w:before="51" w:after="0" w:line="360" w:lineRule="auto"/>
        <w:ind w:left="0" w:right="0" w:rightChars="0" w:firstLine="480"/>
        <w:rPr>
          <w:rFonts w:ascii="宋体" w:hAnsi="宋体"/>
          <w:kern w:val="0"/>
          <w:szCs w:val="24"/>
        </w:rPr>
        <w:sectPr>
          <w:headerReference r:id="rId11" w:type="default"/>
          <w:pgSz w:w="11920" w:h="16840"/>
          <w:pgMar w:top="1440" w:right="1680" w:bottom="280" w:left="1680" w:header="0" w:footer="1073" w:gutter="0"/>
          <w:pgNumType w:start="1"/>
          <w:cols w:space="720" w:num="1"/>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 xml:space="preserve">TOC \o "1-3" \h \z \u</w:instrText>
      </w:r>
      <w:r>
        <w:rPr>
          <w:rFonts w:ascii="宋体" w:hAnsi="宋体"/>
          <w:color w:val="auto"/>
        </w:rPr>
        <w:fldChar w:fldCharType="separate"/>
      </w:r>
    </w:p>
    <w:p>
      <w:pPr>
        <w:pStyle w:val="10"/>
        <w:tabs>
          <w:tab w:val="right" w:leader="dot" w:pos="8650"/>
        </w:tabs>
        <w:rPr>
          <w:rFonts w:asciiTheme="minorHAnsi" w:hAnsiTheme="minorHAnsi"/>
          <w:sz w:val="22"/>
        </w:rPr>
      </w:pPr>
      <w:r>
        <w:fldChar w:fldCharType="begin"/>
      </w:r>
      <w:r>
        <w:rPr>
          <w:rStyle w:val="18"/>
        </w:rPr>
        <w:instrText xml:space="preserve"> HYPERLINK \l "_Toc256000027" </w:instrText>
      </w:r>
      <w:r>
        <w:fldChar w:fldCharType="separate"/>
      </w:r>
      <w:r>
        <w:rPr>
          <w:rStyle w:val="18"/>
          <w:rFonts w:ascii="宋体" w:hAnsi="宋体"/>
          <w:kern w:val="0"/>
        </w:rPr>
        <w:t>重要提示</w:t>
      </w:r>
      <w:r>
        <w:rPr>
          <w:rStyle w:val="18"/>
        </w:rPr>
        <w:tab/>
      </w:r>
      <w:r>
        <w:fldChar w:fldCharType="begin"/>
      </w:r>
      <w:r>
        <w:rPr>
          <w:rStyle w:val="18"/>
        </w:rPr>
        <w:instrText xml:space="preserve"> PAGEREF _Toc256000027 \h </w:instrText>
      </w:r>
      <w:r>
        <w:fldChar w:fldCharType="separate"/>
      </w:r>
      <w:r>
        <w:rPr>
          <w:rStyle w:val="18"/>
        </w:rPr>
        <w:t>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"_Toc256000028" </w:instrText>
      </w:r>
      <w:r>
        <w:fldChar w:fldCharType="separate"/>
      </w:r>
      <w:r>
        <w:rPr>
          <w:rStyle w:val="18"/>
          <w:rFonts w:ascii="宋体" w:hAnsi="宋体"/>
        </w:rPr>
        <w:t>一、绪言</w:t>
      </w:r>
      <w:r>
        <w:rPr>
          <w:rStyle w:val="18"/>
        </w:rPr>
        <w:tab/>
      </w:r>
      <w:r>
        <w:fldChar w:fldCharType="begin"/>
      </w:r>
      <w:r>
        <w:rPr>
          <w:rStyle w:val="18"/>
        </w:rPr>
        <w:instrText xml:space="preserve"> PAGEREF _Toc256000028 \h </w:instrText>
      </w:r>
      <w:r>
        <w:fldChar w:fldCharType="separate"/>
      </w:r>
      <w:r>
        <w:rPr>
          <w:rStyle w:val="18"/>
        </w:rPr>
        <w:t>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"_Toc256000029" </w:instrText>
      </w:r>
      <w:r>
        <w:fldChar w:fldCharType="separate"/>
      </w:r>
      <w:r>
        <w:rPr>
          <w:rStyle w:val="18"/>
          <w:rFonts w:ascii="宋体" w:hAnsi="宋体"/>
        </w:rPr>
        <w:t>二、释义</w:t>
      </w:r>
      <w:r>
        <w:rPr>
          <w:rStyle w:val="18"/>
        </w:rPr>
        <w:tab/>
      </w:r>
      <w:r>
        <w:fldChar w:fldCharType="begin"/>
      </w:r>
      <w:r>
        <w:rPr>
          <w:rStyle w:val="18"/>
        </w:rPr>
        <w:instrText xml:space="preserve"> PAGEREF _Toc256000029 \h </w:instrText>
      </w:r>
      <w:r>
        <w:fldChar w:fldCharType="separate"/>
      </w:r>
      <w:r>
        <w:rPr>
          <w:rStyle w:val="18"/>
        </w:rPr>
        <w:t>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"_Toc256000030" </w:instrText>
      </w:r>
      <w:r>
        <w:fldChar w:fldCharType="separate"/>
      </w:r>
      <w:r>
        <w:rPr>
          <w:rStyle w:val="18"/>
          <w:rFonts w:ascii="宋体" w:hAnsi="宋体"/>
        </w:rPr>
        <w:t>三、基金管理人</w:t>
      </w:r>
      <w:r>
        <w:rPr>
          <w:rStyle w:val="18"/>
        </w:rPr>
        <w:tab/>
      </w:r>
      <w:r>
        <w:fldChar w:fldCharType="begin"/>
      </w:r>
      <w:r>
        <w:rPr>
          <w:rStyle w:val="18"/>
        </w:rPr>
        <w:instrText xml:space="preserve"> PAGEREF _Toc256000030 \h </w:instrText>
      </w:r>
      <w:r>
        <w:fldChar w:fldCharType="separate"/>
      </w:r>
      <w:r>
        <w:rPr>
          <w:rStyle w:val="18"/>
        </w:rPr>
        <w:t>10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"_Toc256000031" </w:instrText>
      </w:r>
      <w:r>
        <w:fldChar w:fldCharType="separate"/>
      </w:r>
      <w:r>
        <w:rPr>
          <w:rStyle w:val="18"/>
          <w:rFonts w:ascii="宋体" w:hAnsi="宋体"/>
        </w:rPr>
        <w:t>四、基金托管人</w:t>
      </w:r>
      <w:r>
        <w:rPr>
          <w:rStyle w:val="18"/>
        </w:rPr>
        <w:tab/>
      </w:r>
      <w:r>
        <w:fldChar w:fldCharType="begin"/>
      </w:r>
      <w:r>
        <w:rPr>
          <w:rStyle w:val="18"/>
        </w:rPr>
        <w:instrText xml:space="preserve"> PAGEREF _Toc256000031 \h </w:instrText>
      </w:r>
      <w:r>
        <w:fldChar w:fldCharType="separate"/>
      </w:r>
      <w:r>
        <w:rPr>
          <w:rStyle w:val="18"/>
        </w:rPr>
        <w:t>18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"_Toc256000032" </w:instrText>
      </w:r>
      <w:r>
        <w:fldChar w:fldCharType="separate"/>
      </w:r>
      <w:r>
        <w:rPr>
          <w:rStyle w:val="18"/>
          <w:rFonts w:ascii="宋体" w:hAnsi="宋体"/>
        </w:rPr>
        <w:t>五、相关服务机构</w:t>
      </w:r>
      <w:r>
        <w:rPr>
          <w:rStyle w:val="18"/>
        </w:rPr>
        <w:tab/>
      </w:r>
      <w:r>
        <w:fldChar w:fldCharType="begin"/>
      </w:r>
      <w:r>
        <w:rPr>
          <w:rStyle w:val="18"/>
        </w:rPr>
        <w:instrText xml:space="preserve"> PAGEREF _Toc256000032 \h </w:instrText>
      </w:r>
      <w:r>
        <w:fldChar w:fldCharType="separate"/>
      </w:r>
      <w:r>
        <w:rPr>
          <w:rStyle w:val="18"/>
        </w:rPr>
        <w:t>21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"_Toc256000033" </w:instrText>
      </w:r>
      <w:r>
        <w:fldChar w:fldCharType="separate"/>
      </w:r>
      <w:r>
        <w:rPr>
          <w:rStyle w:val="18"/>
          <w:rFonts w:ascii="宋体" w:hAnsi="宋体"/>
        </w:rPr>
        <w:t>六、基金的募集</w:t>
      </w:r>
      <w:r>
        <w:rPr>
          <w:rStyle w:val="18"/>
        </w:rPr>
        <w:tab/>
      </w:r>
      <w:r>
        <w:fldChar w:fldCharType="begin"/>
      </w:r>
      <w:r>
        <w:rPr>
          <w:rStyle w:val="18"/>
        </w:rPr>
        <w:instrText xml:space="preserve"> PAGEREF _Toc256000033 \h </w:instrText>
      </w:r>
      <w:r>
        <w:fldChar w:fldCharType="separate"/>
      </w:r>
      <w:r>
        <w:rPr>
          <w:rStyle w:val="18"/>
        </w:rPr>
        <w:t>50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"_Toc256000034" </w:instrText>
      </w:r>
      <w:r>
        <w:fldChar w:fldCharType="separate"/>
      </w:r>
      <w:r>
        <w:rPr>
          <w:rStyle w:val="18"/>
          <w:rFonts w:ascii="宋体" w:hAnsi="宋体"/>
        </w:rPr>
        <w:t>七、基金合同的生效</w:t>
      </w:r>
      <w:r>
        <w:rPr>
          <w:rStyle w:val="18"/>
        </w:rPr>
        <w:tab/>
      </w:r>
      <w:r>
        <w:fldChar w:fldCharType="begin"/>
      </w:r>
      <w:r>
        <w:rPr>
          <w:rStyle w:val="18"/>
        </w:rPr>
        <w:instrText xml:space="preserve"> PAGEREF _Toc256000034 \h </w:instrText>
      </w:r>
      <w:r>
        <w:fldChar w:fldCharType="separate"/>
      </w:r>
      <w:r>
        <w:rPr>
          <w:rStyle w:val="18"/>
        </w:rPr>
        <w:t>51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"_Toc256000035" </w:instrText>
      </w:r>
      <w:r>
        <w:fldChar w:fldCharType="separate"/>
      </w:r>
      <w:r>
        <w:rPr>
          <w:rStyle w:val="18"/>
          <w:rFonts w:ascii="宋体" w:hAnsi="宋体"/>
        </w:rPr>
        <w:t>八、基金份额的申购与赎回</w:t>
      </w:r>
      <w:r>
        <w:rPr>
          <w:rStyle w:val="18"/>
        </w:rPr>
        <w:tab/>
      </w:r>
      <w:r>
        <w:fldChar w:fldCharType="begin"/>
      </w:r>
      <w:r>
        <w:rPr>
          <w:rStyle w:val="18"/>
        </w:rPr>
        <w:instrText xml:space="preserve"> PAGEREF _Toc256000035 \h </w:instrText>
      </w:r>
      <w:r>
        <w:fldChar w:fldCharType="separate"/>
      </w:r>
      <w:r>
        <w:rPr>
          <w:rStyle w:val="18"/>
        </w:rPr>
        <w:t>52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"_Toc256000036" </w:instrText>
      </w:r>
      <w:r>
        <w:fldChar w:fldCharType="separate"/>
      </w:r>
      <w:r>
        <w:rPr>
          <w:rStyle w:val="18"/>
          <w:rFonts w:ascii="宋体" w:hAnsi="宋体"/>
        </w:rPr>
        <w:t>九、基金的转换</w:t>
      </w:r>
      <w:r>
        <w:rPr>
          <w:rStyle w:val="18"/>
        </w:rPr>
        <w:tab/>
      </w:r>
      <w:r>
        <w:fldChar w:fldCharType="begin"/>
      </w:r>
      <w:r>
        <w:rPr>
          <w:rStyle w:val="18"/>
        </w:rPr>
        <w:instrText xml:space="preserve"> PAGEREF _Toc256000036 \h </w:instrText>
      </w:r>
      <w:r>
        <w:fldChar w:fldCharType="separate"/>
      </w:r>
      <w:r>
        <w:rPr>
          <w:rStyle w:val="18"/>
        </w:rPr>
        <w:t>65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"_Toc256000037" </w:instrText>
      </w:r>
      <w:r>
        <w:fldChar w:fldCharType="separate"/>
      </w:r>
      <w:r>
        <w:rPr>
          <w:rStyle w:val="18"/>
          <w:rFonts w:ascii="宋体" w:hAnsi="宋体"/>
        </w:rPr>
        <w:t>十、基金的投资</w:t>
      </w:r>
      <w:r>
        <w:rPr>
          <w:rStyle w:val="18"/>
        </w:rPr>
        <w:tab/>
      </w:r>
      <w:r>
        <w:fldChar w:fldCharType="begin"/>
      </w:r>
      <w:r>
        <w:rPr>
          <w:rStyle w:val="18"/>
        </w:rPr>
        <w:instrText xml:space="preserve"> PAGEREF _Toc256000037 \h </w:instrText>
      </w:r>
      <w:r>
        <w:fldChar w:fldCharType="separate"/>
      </w:r>
      <w:r>
        <w:rPr>
          <w:rStyle w:val="18"/>
        </w:rPr>
        <w:t>72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"_Toc256000038" </w:instrText>
      </w:r>
      <w:r>
        <w:fldChar w:fldCharType="separate"/>
      </w:r>
      <w:r>
        <w:rPr>
          <w:rStyle w:val="18"/>
          <w:rFonts w:ascii="宋体" w:hAnsi="宋体"/>
        </w:rPr>
        <w:t>十一、基金的业绩</w:t>
      </w:r>
      <w:r>
        <w:rPr>
          <w:rStyle w:val="18"/>
        </w:rPr>
        <w:tab/>
      </w:r>
      <w:r>
        <w:fldChar w:fldCharType="begin"/>
      </w:r>
      <w:r>
        <w:rPr>
          <w:rStyle w:val="18"/>
        </w:rPr>
        <w:instrText xml:space="preserve"> PAGEREF _Toc256000038 \h </w:instrText>
      </w:r>
      <w:r>
        <w:fldChar w:fldCharType="separate"/>
      </w:r>
      <w:r>
        <w:rPr>
          <w:rStyle w:val="18"/>
        </w:rPr>
        <w:t>86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"_Toc256000039" </w:instrText>
      </w:r>
      <w:r>
        <w:fldChar w:fldCharType="separate"/>
      </w:r>
      <w:r>
        <w:rPr>
          <w:rStyle w:val="18"/>
          <w:rFonts w:ascii="宋体" w:hAnsi="宋体"/>
        </w:rPr>
        <w:t>十二、基金的财产</w:t>
      </w:r>
      <w:r>
        <w:rPr>
          <w:rStyle w:val="18"/>
        </w:rPr>
        <w:tab/>
      </w:r>
      <w:r>
        <w:fldChar w:fldCharType="begin"/>
      </w:r>
      <w:r>
        <w:rPr>
          <w:rStyle w:val="18"/>
        </w:rPr>
        <w:instrText xml:space="preserve"> PAGEREF _Toc256000039 \h </w:instrText>
      </w:r>
      <w:r>
        <w:fldChar w:fldCharType="separate"/>
      </w:r>
      <w:r>
        <w:rPr>
          <w:rStyle w:val="18"/>
        </w:rPr>
        <w:t>89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"_Toc256000040" </w:instrText>
      </w:r>
      <w:r>
        <w:fldChar w:fldCharType="separate"/>
      </w:r>
      <w:r>
        <w:rPr>
          <w:rStyle w:val="18"/>
          <w:rFonts w:ascii="宋体" w:hAnsi="宋体"/>
        </w:rPr>
        <w:t>十三、基金资产的估值</w:t>
      </w:r>
      <w:r>
        <w:rPr>
          <w:rStyle w:val="18"/>
        </w:rPr>
        <w:tab/>
      </w:r>
      <w:r>
        <w:fldChar w:fldCharType="begin"/>
      </w:r>
      <w:r>
        <w:rPr>
          <w:rStyle w:val="18"/>
        </w:rPr>
        <w:instrText xml:space="preserve"> PAGEREF _Toc256000040 \h </w:instrText>
      </w:r>
      <w:r>
        <w:fldChar w:fldCharType="separate"/>
      </w:r>
      <w:r>
        <w:rPr>
          <w:rStyle w:val="18"/>
        </w:rPr>
        <w:t>90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"_Toc256000041" </w:instrText>
      </w:r>
      <w:r>
        <w:fldChar w:fldCharType="separate"/>
      </w:r>
      <w:r>
        <w:rPr>
          <w:rStyle w:val="18"/>
          <w:rFonts w:ascii="宋体" w:hAnsi="宋体"/>
        </w:rPr>
        <w:t>十四、基金收益与分配</w:t>
      </w:r>
      <w:r>
        <w:rPr>
          <w:rStyle w:val="18"/>
        </w:rPr>
        <w:tab/>
      </w:r>
      <w:r>
        <w:fldChar w:fldCharType="begin"/>
      </w:r>
      <w:r>
        <w:rPr>
          <w:rStyle w:val="18"/>
        </w:rPr>
        <w:instrText xml:space="preserve"> PAGEREF _Toc256000041 \h </w:instrText>
      </w:r>
      <w:r>
        <w:fldChar w:fldCharType="separate"/>
      </w:r>
      <w:r>
        <w:rPr>
          <w:rStyle w:val="18"/>
        </w:rPr>
        <w:t>95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"_Toc256000042" </w:instrText>
      </w:r>
      <w:r>
        <w:fldChar w:fldCharType="separate"/>
      </w:r>
      <w:r>
        <w:rPr>
          <w:rStyle w:val="18"/>
          <w:rFonts w:ascii="宋体" w:hAnsi="宋体"/>
        </w:rPr>
        <w:t>十五、基金的费用与税收</w:t>
      </w:r>
      <w:r>
        <w:rPr>
          <w:rStyle w:val="18"/>
        </w:rPr>
        <w:tab/>
      </w:r>
      <w:r>
        <w:fldChar w:fldCharType="begin"/>
      </w:r>
      <w:r>
        <w:rPr>
          <w:rStyle w:val="18"/>
        </w:rPr>
        <w:instrText xml:space="preserve"> PAGEREF _Toc256000042 \h </w:instrText>
      </w:r>
      <w:r>
        <w:fldChar w:fldCharType="separate"/>
      </w:r>
      <w:r>
        <w:rPr>
          <w:rStyle w:val="18"/>
        </w:rPr>
        <w:t>97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"_Toc256000043" </w:instrText>
      </w:r>
      <w:r>
        <w:fldChar w:fldCharType="separate"/>
      </w:r>
      <w:r>
        <w:rPr>
          <w:rStyle w:val="18"/>
          <w:rFonts w:ascii="宋体" w:hAnsi="宋体"/>
        </w:rPr>
        <w:t>十六、基金的会计与审计</w:t>
      </w:r>
      <w:r>
        <w:rPr>
          <w:rStyle w:val="18"/>
        </w:rPr>
        <w:tab/>
      </w:r>
      <w:r>
        <w:fldChar w:fldCharType="begin"/>
      </w:r>
      <w:r>
        <w:rPr>
          <w:rStyle w:val="18"/>
        </w:rPr>
        <w:instrText xml:space="preserve"> PAGEREF _Toc256000043 \h </w:instrText>
      </w:r>
      <w:r>
        <w:fldChar w:fldCharType="separate"/>
      </w:r>
      <w:r>
        <w:rPr>
          <w:rStyle w:val="18"/>
        </w:rPr>
        <w:t>100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"_Toc256000044" </w:instrText>
      </w:r>
      <w:r>
        <w:fldChar w:fldCharType="separate"/>
      </w:r>
      <w:r>
        <w:rPr>
          <w:rStyle w:val="18"/>
          <w:rFonts w:ascii="宋体" w:hAnsi="宋体"/>
        </w:rPr>
        <w:t>十七、基金的信息披露</w:t>
      </w:r>
      <w:r>
        <w:rPr>
          <w:rStyle w:val="18"/>
        </w:rPr>
        <w:tab/>
      </w:r>
      <w:r>
        <w:fldChar w:fldCharType="begin"/>
      </w:r>
      <w:r>
        <w:rPr>
          <w:rStyle w:val="18"/>
        </w:rPr>
        <w:instrText xml:space="preserve"> PAGEREF _Toc256000044 \h </w:instrText>
      </w:r>
      <w:r>
        <w:fldChar w:fldCharType="separate"/>
      </w:r>
      <w:r>
        <w:rPr>
          <w:rStyle w:val="18"/>
        </w:rPr>
        <w:t>101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"_Toc256000045" </w:instrText>
      </w:r>
      <w:r>
        <w:fldChar w:fldCharType="separate"/>
      </w:r>
      <w:r>
        <w:rPr>
          <w:rStyle w:val="18"/>
          <w:rFonts w:ascii="宋体" w:hAnsi="宋体"/>
        </w:rPr>
        <w:t>十八、侧袋机制</w:t>
      </w:r>
      <w:r>
        <w:rPr>
          <w:rStyle w:val="18"/>
        </w:rPr>
        <w:tab/>
      </w:r>
      <w:r>
        <w:fldChar w:fldCharType="begin"/>
      </w:r>
      <w:r>
        <w:rPr>
          <w:rStyle w:val="18"/>
        </w:rPr>
        <w:instrText xml:space="preserve"> PAGEREF _Toc256000045 \h </w:instrText>
      </w:r>
      <w:r>
        <w:fldChar w:fldCharType="separate"/>
      </w:r>
      <w:r>
        <w:rPr>
          <w:rStyle w:val="18"/>
        </w:rPr>
        <w:t>108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"_Toc256000046" </w:instrText>
      </w:r>
      <w:r>
        <w:fldChar w:fldCharType="separate"/>
      </w:r>
      <w:r>
        <w:rPr>
          <w:rStyle w:val="18"/>
          <w:rFonts w:ascii="宋体" w:hAnsi="宋体"/>
        </w:rPr>
        <w:t>十九、风险揭示</w:t>
      </w:r>
      <w:r>
        <w:rPr>
          <w:rStyle w:val="18"/>
        </w:rPr>
        <w:tab/>
      </w:r>
      <w:r>
        <w:fldChar w:fldCharType="begin"/>
      </w:r>
      <w:r>
        <w:rPr>
          <w:rStyle w:val="18"/>
        </w:rPr>
        <w:instrText xml:space="preserve"> PAGEREF _Toc256000046 \h </w:instrText>
      </w:r>
      <w:r>
        <w:fldChar w:fldCharType="separate"/>
      </w:r>
      <w:r>
        <w:rPr>
          <w:rStyle w:val="18"/>
        </w:rPr>
        <w:t>111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"_Toc256000047" </w:instrText>
      </w:r>
      <w:r>
        <w:fldChar w:fldCharType="separate"/>
      </w:r>
      <w:r>
        <w:rPr>
          <w:rStyle w:val="18"/>
          <w:rFonts w:ascii="宋体" w:hAnsi="宋体"/>
        </w:rPr>
        <w:t>二十、基金合同的变更、终止与基金财产的清算</w:t>
      </w:r>
      <w:r>
        <w:rPr>
          <w:rStyle w:val="18"/>
        </w:rPr>
        <w:tab/>
      </w:r>
      <w:r>
        <w:fldChar w:fldCharType="begin"/>
      </w:r>
      <w:r>
        <w:rPr>
          <w:rStyle w:val="18"/>
        </w:rPr>
        <w:instrText xml:space="preserve"> PAGEREF _Toc256000047 \h </w:instrText>
      </w:r>
      <w:r>
        <w:fldChar w:fldCharType="separate"/>
      </w:r>
      <w:r>
        <w:rPr>
          <w:rStyle w:val="18"/>
        </w:rPr>
        <w:t>119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"_Toc256000048" </w:instrText>
      </w:r>
      <w:r>
        <w:fldChar w:fldCharType="separate"/>
      </w:r>
      <w:r>
        <w:rPr>
          <w:rStyle w:val="18"/>
          <w:rFonts w:ascii="宋体" w:hAnsi="宋体"/>
        </w:rPr>
        <w:t>二十一、基金合同内容摘要</w:t>
      </w:r>
      <w:r>
        <w:rPr>
          <w:rStyle w:val="18"/>
        </w:rPr>
        <w:tab/>
      </w:r>
      <w:r>
        <w:fldChar w:fldCharType="begin"/>
      </w:r>
      <w:r>
        <w:rPr>
          <w:rStyle w:val="18"/>
        </w:rPr>
        <w:instrText xml:space="preserve"> PAGEREF _Toc256000048 \h </w:instrText>
      </w:r>
      <w:r>
        <w:fldChar w:fldCharType="separate"/>
      </w:r>
      <w:r>
        <w:rPr>
          <w:rStyle w:val="18"/>
        </w:rPr>
        <w:t>121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"_Toc256000049" </w:instrText>
      </w:r>
      <w:r>
        <w:fldChar w:fldCharType="separate"/>
      </w:r>
      <w:r>
        <w:rPr>
          <w:rStyle w:val="18"/>
          <w:rFonts w:ascii="宋体" w:hAnsi="宋体"/>
        </w:rPr>
        <w:t>二十二、托管协议的内容摘要</w:t>
      </w:r>
      <w:r>
        <w:rPr>
          <w:rStyle w:val="18"/>
        </w:rPr>
        <w:tab/>
      </w:r>
      <w:r>
        <w:fldChar w:fldCharType="begin"/>
      </w:r>
      <w:r>
        <w:rPr>
          <w:rStyle w:val="18"/>
        </w:rPr>
        <w:instrText xml:space="preserve"> PAGEREF _Toc256000049 \h </w:instrText>
      </w:r>
      <w:r>
        <w:fldChar w:fldCharType="separate"/>
      </w:r>
      <w:r>
        <w:rPr>
          <w:rStyle w:val="18"/>
        </w:rPr>
        <w:t>138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"_Toc256000050" </w:instrText>
      </w:r>
      <w:r>
        <w:fldChar w:fldCharType="separate"/>
      </w:r>
      <w:r>
        <w:rPr>
          <w:rStyle w:val="18"/>
          <w:rFonts w:ascii="宋体" w:hAnsi="宋体"/>
        </w:rPr>
        <w:t>二十三、对基金份额持有人的服务</w:t>
      </w:r>
      <w:r>
        <w:rPr>
          <w:rStyle w:val="18"/>
        </w:rPr>
        <w:tab/>
      </w:r>
      <w:r>
        <w:fldChar w:fldCharType="begin"/>
      </w:r>
      <w:r>
        <w:rPr>
          <w:rStyle w:val="18"/>
        </w:rPr>
        <w:instrText xml:space="preserve"> PAGEREF _Toc256000050 \h </w:instrText>
      </w:r>
      <w:r>
        <w:fldChar w:fldCharType="separate"/>
      </w:r>
      <w:r>
        <w:rPr>
          <w:rStyle w:val="18"/>
        </w:rPr>
        <w:t>151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"_Toc256000051" </w:instrText>
      </w:r>
      <w:r>
        <w:fldChar w:fldCharType="separate"/>
      </w:r>
      <w:r>
        <w:rPr>
          <w:rStyle w:val="18"/>
          <w:rFonts w:ascii="宋体" w:hAnsi="宋体"/>
        </w:rPr>
        <w:t>二十四、其他应披露事项</w:t>
      </w:r>
      <w:r>
        <w:rPr>
          <w:rStyle w:val="18"/>
        </w:rPr>
        <w:tab/>
      </w:r>
      <w:r>
        <w:fldChar w:fldCharType="begin"/>
      </w:r>
      <w:r>
        <w:rPr>
          <w:rStyle w:val="18"/>
        </w:rPr>
        <w:instrText xml:space="preserve"> PAGEREF _Toc256000051 \h </w:instrText>
      </w:r>
      <w:r>
        <w:fldChar w:fldCharType="separate"/>
      </w:r>
      <w:r>
        <w:rPr>
          <w:rStyle w:val="18"/>
        </w:rPr>
        <w:t>153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"_Toc256000052" </w:instrText>
      </w:r>
      <w:r>
        <w:fldChar w:fldCharType="separate"/>
      </w:r>
      <w:r>
        <w:rPr>
          <w:rStyle w:val="18"/>
          <w:rFonts w:ascii="宋体" w:hAnsi="宋体"/>
        </w:rPr>
        <w:t>二十五、招募说明书的存放及查阅方式</w:t>
      </w:r>
      <w:r>
        <w:rPr>
          <w:rStyle w:val="18"/>
        </w:rPr>
        <w:tab/>
      </w:r>
      <w:r>
        <w:fldChar w:fldCharType="begin"/>
      </w:r>
      <w:r>
        <w:rPr>
          <w:rStyle w:val="18"/>
        </w:rPr>
        <w:instrText xml:space="preserve"> PAGEREF _Toc256000052 \h </w:instrText>
      </w:r>
      <w:r>
        <w:fldChar w:fldCharType="separate"/>
      </w:r>
      <w:r>
        <w:rPr>
          <w:rStyle w:val="18"/>
        </w:rPr>
        <w:t>155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"_Toc256000053" </w:instrText>
      </w:r>
      <w:r>
        <w:fldChar w:fldCharType="separate"/>
      </w:r>
      <w:r>
        <w:rPr>
          <w:rStyle w:val="18"/>
          <w:rFonts w:ascii="宋体" w:hAnsi="宋体"/>
        </w:rPr>
        <w:t>二十六、备查文件</w:t>
      </w:r>
      <w:r>
        <w:rPr>
          <w:rStyle w:val="18"/>
        </w:rPr>
        <w:tab/>
      </w:r>
      <w:r>
        <w:fldChar w:fldCharType="begin"/>
      </w:r>
      <w:r>
        <w:rPr>
          <w:rStyle w:val="18"/>
        </w:rPr>
        <w:instrText xml:space="preserve"> PAGEREF _Toc256000053 \h </w:instrText>
      </w:r>
      <w:r>
        <w:fldChar w:fldCharType="separate"/>
      </w:r>
      <w:r>
        <w:rPr>
          <w:rStyle w:val="18"/>
        </w:rPr>
        <w:t>156</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rightChars="6" w:firstLine="480"/>
        <w:rPr>
          <w:rFonts w:ascii="宋体" w:hAnsi="宋体"/>
          <w:kern w:val="0"/>
          <w:szCs w:val="24"/>
        </w:rPr>
        <w:sectPr>
          <w:footerReference r:id="rId12" w:type="default"/>
          <w:pgSz w:w="11920" w:h="16840"/>
          <w:pgMar w:top="1360" w:right="1580" w:bottom="280" w:left="1680" w:header="0" w:footer="1186" w:gutter="0"/>
          <w:cols w:space="720" w:num="1"/>
        </w:sectPr>
      </w:pPr>
    </w:p>
    <w:p>
      <w:pPr>
        <w:pStyle w:val="2"/>
        <w:snapToGrid w:val="0"/>
        <w:spacing w:before="240" w:beforeLines="0" w:after="0"/>
        <w:rPr>
          <w:rFonts w:ascii="宋体" w:hAnsi="宋体"/>
          <w:szCs w:val="30"/>
        </w:rPr>
      </w:pPr>
      <w:bookmarkStart w:id="4" w:name="_Toc256000001"/>
      <w:bookmarkStart w:id="5" w:name="_Toc256000028"/>
      <w:r>
        <w:rPr>
          <w:rFonts w:ascii="宋体" w:hAnsi="宋体"/>
          <w:sz w:val="30"/>
        </w:rPr>
        <w:t>一、绪言</w:t>
      </w:r>
      <w:bookmarkEnd w:id="4"/>
      <w:bookmarkEnd w:id="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恒益灵活配置混合型证券投资基金招募说明书》（以下简称“本招募说明书”）依据《中华人民共和国证券投资基金法》（以下简称“《基金法》”）、《公开募集证券投资基金运作管理办法》（以下简称“《运作办法》”）、《证券投资基金销售管理办法》（以下简称“《销售办法》”）、《公开募集证券投资基金信息披露管理办法》（以下简称“《信息披露办法》”）、《公开募集开放式证券投资基金流动性风险管理规定》（以下简称“《流动性规定》”）和其他相关法律法规的规定以及《交银施罗德恒益灵活配置混合型证券投资基金基金合同》（以下简称“基金合同”）编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根据本基金的基金合同编写，并经中国证监会注册。基金合同是约定基金合同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pPr>
        <w:pStyle w:val="2"/>
        <w:snapToGrid w:val="0"/>
        <w:spacing w:before="240" w:beforeLines="0" w:after="0"/>
        <w:rPr>
          <w:rFonts w:ascii="宋体" w:hAnsi="宋体"/>
          <w:szCs w:val="30"/>
        </w:rPr>
      </w:pPr>
      <w:r>
        <w:br w:type="page"/>
      </w:r>
      <w:bookmarkStart w:id="6" w:name="_Toc256000002"/>
      <w:bookmarkStart w:id="7" w:name="_Toc256000029"/>
      <w:r>
        <w:rPr>
          <w:rFonts w:ascii="宋体" w:hAnsi="宋体"/>
          <w:sz w:val="30"/>
        </w:rPr>
        <w:t>二、释义</w:t>
      </w:r>
      <w:bookmarkEnd w:id="6"/>
      <w:bookmarkEnd w:id="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在本招募说明书中，除非文意另有所指，下列词语或简称具有如下含义：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1、基金或本基金：指交银施罗德恒益灵活配置混合型证券投资基金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2、基金管理人或本基金管理人：指交银施罗德基金管理有限公司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3、基金托管人或本基金托管人：指中国农业银行股份有限公司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4、《基金合同》或基金合同：指《交银施罗德恒益灵活配置混合型证券投资基金基金合同》及对基金合同的任何有效修订和补充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5、托管协议：指基金管理人与基金托管人就本基金签订之《交银施罗德恒益灵活配置混合型证券投资基金托管协议》及对该托管协议的任何有效修订和补充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6、招募说明书或《招募说明书》或本招募说明书：指《交银施罗德恒益灵活配置混合型证券投资基金招募说明书》及其更新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7、基金份额发售公告：指《交银施罗德恒益灵活配置混合型证券投资基金基金份额发售公告》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8、基金产品资料概要：指《交银施罗德恒益灵活配置混合型证券投资基金基金产品资料概要》及其更新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9、法律法规：指中国现行有效并公布实施的法律、行政法规、规范性文件、司法解释、行政规章以及其他对基金合同当事人有约束力的决定、决议、通知等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10、《基金法》：指《中华人民共和国证券投资基金法》及颁布机关对其不时做出的修订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11、《销售办法》：指《证券投资基金销售管理办法》及颁布机关对其不时做出的修订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12、《信息披露办法》：指《公开募集证券投资基金信息披露管理办法》及颁布机关对其不时做出的修订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13、《运作办法》：指《公开募集证券投资基金运作管理办法》及颁布机关对其不时做出的修订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14、《流动性规定》：指中国证监会2017年8月31日颁布、同年10月1日实施的《公开募集开放式证券投资基金流动性风险管理规定》及颁布机关对其不时做出的修订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15、中国证监会：指中国证券监督管理委员会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16、银行业监督管理机构：指中国人民银行和/或中国银行业监督管理委员会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17、基金合同当事人：指受基金合同约束，根据基金合同享有权利并承担义务的法律主体，包括基金管理人、基金托管人和基金份额持有人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18、个人投资者：指依据有关法律法规规定可投资于证券投资基金的自然人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19、机构投资者：指依法可以投资证券投资基金的、在中华人民共和国境内合法登记并存续或经有关政府部门批准设立并存续的企业法人、事业法人、社会团体或其他组织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20、合格境外机构投资者：指符合《合格境外机构投资者境内证券投资管理办法》及相关法律法规规定，可以投资于在中国境内依法募集的证券投资基金的中国境外的机构投资者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21、人民币合格境外机构投资者：指按照《人民币合格境外机构投资者境内证券投资试点办法》及相关法律法规规定，运用来自境外的人民币资金进行中国境内证券投资的境外机构投资者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22、投资人或投资者：指个人投资者、机构投资者、合格境外机构投资者和人民币合格境外机构投资者以及法律法规或中国证监会允许购买证券投资基金的其他投资人的合称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23、基金份额持有人：指依基金合同和招募说明书合法取得基金份额的投资人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24、基金销售业务：指基金管理人或销售机构宣传推介基金，发售基金份额，办理基金份额的申购、赎回、转换、转托管及定期定额投资等业务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25、销售机构：指交银施罗德基金管理有限公司以及符合《销售办法》和中国证监会规定的其他条件，取得基金销售业务资格并与基金管理人签订了基金销售服务协议，办理基金销售业务的机构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27、登记机构：指办理登记业务的机构。基金的登记机构为交银施罗德基金管理有限公司或接受交银施罗德基金管理有限公司委托办理登记业务的机构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28、基金账户：指登记机构为投资人开立的、记录其持有的、基金管理人所管理的基金份额余额及其变动情况的账户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29、基金交易账户：指销售机构为投资人开立的、记录投资人通过该销售机构办理认购、申购、赎回、转换、定期定额投资及转托管等业务而引起的基金份额变动及结余情况的账户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30、基金合同生效日：指基金募集达到法律法规规定及基金合同规定的条件，基金管理人向中国证监会办理基金备案手续完毕，并获得中国证监会书面确认的日期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31、基金合同终止日：指基金合同规定的基金合同终止事由出现后，基金财产清算完毕，清算结果报中国证监会备案并予以公告的日期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32、基金募集期：指自基金份额发售之日起至发售结束之日止的期间，最长不得超过3个月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33、存续期：指基金合同生效至终止之间的不定期期限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34、工作日：指上海证券交易所、深圳证券交易所的正常交易日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35、T日：指销售机构在规定时间受理投资人申购、赎回或其他业务申请的开放日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36、T+n日：指自T日起第n个工作日（不包含T日）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37、开放日：指为投资人办理基金份额申购、赎回或其他业务的工作日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38、开放时间：指开放日基金接受申购、赎回或其他交易的时间段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39、《业务规则》：指《中国证券登记结算有限责任公司开放式证券投资基金及证券公司集合资产管理计划份额登记及资金结算业务指南》及其后修订，是规范基金管理人所管理的开放式证券投资基金登记方面的业务规则，由基金管理人和投资人共同遵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40、认购：指在基金募集期内，投资人根据基金合同和招募说明书的规定申请购买基金份额的行为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41、申购：指基金合同生效后，投资人根据基金合同和招募说明书的规定申请购买基金份额的行为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42、赎回：指基金合同生效后，基金份额持有人按基金合同和招募说明书规定的条件要求将基金份额兑换为现金的行为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43、基金转换：指基金份额持有人按照基金合同和基金管理人届时有效公告规定的条件，申请将其持有基金管理人管理的、某一基金的基金份额转换为基金管理人管理的其他基金基金份额的行为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44、转托管：指基金份额持有人在本基金的不同销售机构之间实施的变更所持基金份额销售机构的操作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45、定期定额投资计划：指投资人通过有关销售机构提出申请，约定每期申购日、扣款金额及扣款方式，由指定的销售机构在投资人指定银行账户内自动完成扣款并于每期约定的申购日受理基金申购申请的一种投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46、巨额赎回：指本基金单个开放日，基金净赎回申请（赎回申请份额总数加上基金转换中转出申请份额总数后扣除申购申请份额总数及基金转换中转入申请份额总数后的余额）超过上一开放日基金总份额的10%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47、元：指人民币元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48、基金收益：指基金投资所得红利、股息、债券利息、买卖证券价差、银行存款利息、已实现的其他合法收入及因运用基金财产带来的成本和费用的节约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49、基金资产总值：指基金拥有的各类有价证券、股指期货合约、银行存款本息、基金应收申购款及其他资产的价值总和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50、基金资产净值：指基金资产总值减去基金负债后的价值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51、基金份额净值：指计算日基金资产净值除以计算日基金份额总数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52、基金资产估值：指计算评估基金资产和负债的价值，以确定基金资产净值和基金份额净值的过程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53、销售服务费：指从基金财产中计提的，用于本基金市场推广、销售以及基金份额持有人服务的费用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54、A类基金份额：指在投资人申购时收取申购费用且不从本类别基金资产中计提销售服务费的基金份额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55、C类基金份额：指在投资人申购时不收取申购费用，并从本类别基金资产中计提销售服务费的基金份额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56、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57、指定媒介：指中国证监会指定的用以进行信息披露的全国性报刊及指定互联网网站（包括基金管理人网站、基金托管人网站、中国证监会基金电子披露网站）等媒介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58、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59、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60、不可抗力：指基金合同当事人不能预见、不能避免且不能克服的客观事件</w:t>
      </w:r>
    </w:p>
    <w:p>
      <w:pPr>
        <w:pStyle w:val="2"/>
        <w:snapToGrid w:val="0"/>
        <w:spacing w:before="240" w:beforeLines="0" w:after="0"/>
        <w:rPr>
          <w:rFonts w:ascii="宋体" w:hAnsi="宋体"/>
          <w:szCs w:val="30"/>
        </w:rPr>
      </w:pPr>
      <w:r>
        <w:br w:type="page"/>
      </w:r>
      <w:bookmarkStart w:id="8" w:name="_Toc256000003"/>
      <w:bookmarkStart w:id="9" w:name="_Toc256000030"/>
      <w:r>
        <w:rPr>
          <w:rFonts w:ascii="宋体" w:hAnsi="宋体"/>
          <w:sz w:val="30"/>
        </w:rPr>
        <w:t>三、基金管理人</w:t>
      </w:r>
      <w:bookmarkEnd w:id="8"/>
      <w:bookmarkEnd w:id="9"/>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联系人：何佳妮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电话：（021）61055050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交银施罗德基金管理有限公司（以下简称“公司”）经中国证监会证监基金字[2005]128号文批准设立。公司股权结构如下：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袁庆伟女士，总经理。简历同上。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艺伟女士:基金经理。北京大学经济学硕士，吉林大学经济学学士、理学学士。14年证券投资行业从业经验。2012年至2014年任光大证券研究所宏观分析师。2014年加入交银施罗德基金管理有限公司，曾任研究员、研究部助理总经理、基金经理助理、固定收益部基金经理，现任混合资产投资助理总监、基金经理。曾任交银施罗德稳悦回报债券型证券投资基金（2024年03月27日至2026年03月04日）、交银施罗德稳进回报六个月持有期混合型证券投资基金（2023年02月01日至2025年03月15日）、交银施罗德优择回报灵活配置混合型证券投资基金（2020年07月09日至2024年12月07日）、交银施罗德优选回报灵活配置混合型证券投资基金（2020年07月09日至2024年12月03日）、交银施罗德荣鑫灵活配置混合型证券投资基金（2019年11月28日至2023年02月16日）、交银施罗德安心收益债券型证券投资基金（2019年11月28日至2022年01月26日）的基金经理。现任交银施罗德启嘉混合型证券投资基金（2026年08月28日至今）、交银施罗德臻选回报混合型证券投资基金（2020年12月23日至今）、交银施罗德恒益灵活配置混合型证券投资基金（2020年07月09日至今）、交银施罗德周期回报灵活配置混合型证券投资基金（2020年07月09日至今）、交银施罗德多策略回报灵活配置混合型证券投资基金（2020年07月09日至今）、交银施罗德新回报灵活配置混合型证券投资基金（2020年07月09日至今）、交银施罗德瑞鑫六个月持有期混合型证券投资基金（2020年07月09日至今）的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胡湘怡女士:基金经理。武汉纺织大学会计学学士。16年证券投资行业从业经验，曾任中海基金管理有限公司交易员。2015年加入交银施罗德基金管理有限公司，历任中央交易室高级交易员、专户投资部投资经理、混合资产投资部投资经理、基金经理助理，现任混合资产投资部基金经理。曾任交银施罗德稳进回报六个月持有期混合型证券投资基金（2024年10月23日至2026年05月21日）的基金经理。现任交银施罗德瑞鑫六个月持有期混合型证券投资基金（2024年12月26日至今）、交银施罗德恒益灵活配置混合型证券投资基金（2024年12月26日至今）、交银施罗德新回报灵活配置混合型证券投资基金（2024年12月26日至今）、交银施罗德周期回报灵活配置混合型证券投资基金（2024年12月17日至今）、交银施罗德稳悦回报债券型证券投资基金（2024年10月23日至今）的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本基金历任基金经理：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王少成先生（2018年08月24日至2019年08月28日）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盖婷婷女士（2017年09月15日至2018年09月21日）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凌超先生（2019年07月20日至2020年07月22日）</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委员：马俊（副总经理）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迟鑫（权益部总经理兼任跨境投资部总经理）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王崇（权益投资副总监、权益部一级专家、基金经理）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于海颖（混合资产投资总监、基金经理）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黄莹洁（固定收益（公募）投资助理总监、基金经理）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樊继拓（多资产研究部副总经理）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上述人员之间不存在近亲属关系。</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3、对所管理的不同基金财产分别管理、分别记账，进行证券投资；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7、计算并公告基金净值信息，确定基金份额申购、赎回价格；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8、办理与基金财产管理业务活动有关的信息披露事项；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9、按照规定召集基金份额持有人大会；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10、保存基金财产管理业务活动的记录、账册、报表和其他相关资料；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12、有关法律法规和中国证监会规定的其他职责。</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1、基金管理人承诺不从事违反《中华人民共和国证券法》的行为，并承诺建立健全内部控制制度，采取有效措施，防止违反《中华人民共和国证券法》行为的发生；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（1）将基金管理人固有财产或者他人财产混同于基金财产从事证券投资；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（2）不公平地对待管理的不同基金财产；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（3）利用基金财产为基金份额持有人以外的第三人牟取利益；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（4）向基金份额持有人违规承诺收益或者承担损失；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（5）侵占、挪用基金财产；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（6）法律、行政法规和中国证监会禁止的其他行为。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5、基金管理人承诺不从事其他法规规定禁止从事的行为。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2、不利用职务之便为自己、受雇人或任何第三者谋取利益；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3、不泄露在任职期间知悉的有关证券、基金的商业秘密，尚未依法公开的基金投资内容、基金投资计划等信息，或利用该信息从事或者明示、暗示他人从事相关的交易活动；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4、不以任何形式为其他组织或个人进行证券交易。</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（1）健全性原则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（2）有效性原则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通过科学的内控手段和方法，建立合理的内控程序，维护内控制度的有效执行。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（3）独立性原则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（4）相互制约原则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公司内部部门和岗位的设置应当体现权责分明、相互制衡。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（5）成本效益原则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2、风险管理和内部风险控制体系结构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（1）董事会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（2）合规风险及审计委员会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（3）风险控制委员会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（4）督察长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（5）风险管理部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（6）审计部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（7）内控合规及法律事务部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（8）业务部门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3、风险管理和内部风险控制的措施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（1）建立内控体系，完善内控制度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（2）建立相互分离、相互制衡的内控机制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（3）建立、健全岗位责任制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（4）建立风险分类、识别、评估、报告、提示程序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（5）建立有效的内部监控系统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（6）使用数量化的风险管理手段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（7）提供足够的培训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制定了完整的培训计划，为所有员工提供足够和适当的培训，使员工明确其职责所在，控制风险。</w:t>
      </w:r>
    </w:p>
    <w:p>
      <w:pPr>
        <w:pStyle w:val="2"/>
        <w:snapToGrid w:val="0"/>
        <w:spacing w:before="240" w:beforeLines="0" w:after="0"/>
        <w:rPr>
          <w:rFonts w:ascii="宋体" w:hAnsi="宋体"/>
          <w:szCs w:val="30"/>
        </w:rPr>
      </w:pPr>
      <w:r>
        <w:br w:type="page"/>
      </w:r>
      <w:bookmarkStart w:id="10" w:name="_Toc256000031"/>
      <w:bookmarkStart w:id="11" w:name="_Toc256000004"/>
      <w:r>
        <w:rPr>
          <w:rFonts w:ascii="宋体" w:hAnsi="宋体"/>
          <w:sz w:val="30"/>
        </w:rPr>
        <w:t>四、基金托管人</w:t>
      </w:r>
      <w:bookmarkEnd w:id="10"/>
      <w:bookmarkEnd w:id="1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（一）基金托管人情况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1、基本情况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名称：中国农业银行股份有限公司（简称中国农业银行）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住所：北京市东城区建国门内大街69号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办公地址：北京市西城区复兴门内大街28号凯晨世贸中心东座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法定代表人：谷澍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成立日期：2009年1月15日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批准设立机关和批准设立文号：中国银监会银监复[2009]13号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基金托管资格批文及文号：中国证监会证监基字[1998]23号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注册资本：34,998,303.4万元人民币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联系电话：010-66060069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传真：010-68121816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联系人：任航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股份有限公司是中国金融体系的重要组成部分,总行设在北京。经国务院批准，中国农业银行整体改制为中国农业银行股份有限公司并于2009年1月15日依法成立。中国农业银行股份有限公司承继原中国农业银行全部资产、负债、业务、机构网点和员工。中国农业银行网点遍布中国城乡，成为国内网点最多、业务辐射范围最广，服务领域最广，服务对象最多，业务功能齐全的大型国有商业银行之一。在海外，中国农业银行同样通过自己的努力赢得了良好的信誉，每年位居《财富》世界500强企业之列。作为一家城乡并举、联通国际、功能齐备的大型国有商业银行，中国农业银行一贯秉承以客户为中心的经营理念，坚持审慎稳健经营、可持续发展，立足县域和城市两大市场，实施差异化竞争策略，着力打造“伴你成长”服务品牌，依托覆盖全国的分支机构、庞大的电子化网络和多元化的金融产品，致力为广大客户提供优质的金融服务，与广大客户共创价值、共同成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是中国第一批开展托管业务的国内商业银行，经验丰富，服务优质，业绩突出，2004年被英国《全球托管人》评为中国“最佳托管银行”。2007年中国农业银行通过了美国SAS70内部控制审计，并获得无保留意见的SAS70审计报告。自2010年起中国农业银行连续通过托管业务国际内控标准（ISAE3402）认证，表明了独立公正第三方对中国农业银行托管服务运作流程的风险管理、内部控制的健全有效性的全面认可。中国农业银行着力加强能力建设，品牌声誉进一步提升，在2010年首届“‘金牌理财’TOP10颁奖盛典”中成绩突出，获“最佳托管银行”奖。2010年再次荣获《首席财务官》杂志颁发的“最佳资产托管奖”。2012年荣获第十届中国财经风云榜“最佳资产托管银行”称号；2013年至2017年连续荣获上海清算所授予的“托管银行优秀奖”和中央国债登记结算有限责任公司授予的“优秀托管机构奖”称号；2015年、2016年荣获中国银行业协会授予的“养老金业务最佳发展奖”称号；2018年荣获中国基金报授予的公募基金20年“最佳基金托管银行”奖；2019年荣获证券时报授予的“2019年度资产托管银行天玑奖”称号；2020年被美国《环球金融》评为中国“最佳托管银行”；2021年荣获全国银行间同业拆借中心首次设立的“银行间本币市场优秀托管行”奖；2022年在权威杂志《财资》年度评选中首次荣获“中国最佳保险托管银行”；2023年第五次荣获《环球金融》杂志中国地区“最佳次托管银行”大奖；2024年荣获《中国基金报》英华奖“优秀ETF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证券投资基金托管部于1998年5月经中国证监会和中国人民银行批准成立，2004年更名为中国农业银行托管业务部。目前内设风险合规部/综合管理部、业务管理部、客户一部、客户二部、客户三部、客户四部、系统与信息管理部、营运管理部、营运一部、营运二部，拥有先进的安全防范设施和基金托管业务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2、主要人员情况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托管业务部现有员工302名，其中具有高级职称的专家60名，服务团队成员专业水平高、业务素质好、服务能力强，高级管理层均有20年以上金融从业经验和高级技术职称，精通国内外证券市场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3、基金托管业务经营情况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截止到2026年6月30日，中国农业银行托管的封闭式证券投资基金和开放式证券投资基金共1052只。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（二）基金托管人的内部风险控制制度说明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严格遵守国家有关托管业务的法律法规、行业监管规章和行内有关管理规定，守法经营、规范运作、严格监察，确保业务的稳健运行，保证基金财产的安全完整，确保有关信息的真实、准确、完整、及时，保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2、内部控制组织结构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委员会总体负责中国农业银行的风险管理与内部控制工作，对托管业务风险管理和内部控制工作进行监督和评价。托管业务部专门设置了风险管理处，配备了专职内控监督人员负责托管业务的内控监督工作，独立行使监督稽核职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3、内部控制制度及措施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具备系统、完善的制度控制体系，建立了管理制度、控制制度、岗位职责、业务操作流程，可以保证托管业务的规范操作和顺利进行；业务人员具备从业资格；业务管理实行严格的复核、审核、检查制度，授权工作实行集中控制，业务印章按规程保管、存放、使用，账户资料严格保管，制约机制严格有效；业务操作区专门设置，封闭管理，实施音像监控；业务信息由专职信息披露人负责，防止泄密；业务实现自动化操作，防止人为事故的发生，技术系统完整、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（三）基金托管人对基金管理人运作基金进行监督的方法和程序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通过参数设置将《基金法》、《运作办法》、基金合同、托管协议规定的投资比例和禁止投资品种输入监控系统，每日登录监控系统监督基金管理人的投资运作，并通过基金资金账户、基金管理人的投资指令等监督基金管理人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当基金出现异常交易行为时，基金托管人应当针对不同情况进行以下方式的处理：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1、电话提示。对媒体和舆论反映集中的问题，电话提示基金管理人；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2、书面警示。对本基金投资比例接近超标、资金头寸不足等问题，以书面方式对基金管理人进行提示；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3、书面报告。对投资比例超标、清算资金透支以及其他涉嫌违规交易等行为，书面提示有关基金管理人并报中国证监会。</w:t>
      </w:r>
    </w:p>
    <w:p>
      <w:pPr>
        <w:pStyle w:val="2"/>
        <w:snapToGrid w:val="0"/>
        <w:spacing w:before="240" w:beforeLines="0" w:after="0"/>
        <w:rPr>
          <w:rFonts w:ascii="宋体" w:hAnsi="宋体"/>
          <w:szCs w:val="30"/>
        </w:rPr>
      </w:pPr>
      <w:r>
        <w:br w:type="page"/>
      </w:r>
      <w:bookmarkStart w:id="12" w:name="_Toc256000005"/>
      <w:bookmarkStart w:id="13" w:name="_Toc256000032"/>
      <w:r>
        <w:rPr>
          <w:rFonts w:ascii="宋体" w:hAnsi="宋体"/>
          <w:sz w:val="30"/>
        </w:rPr>
        <w:t>五、相关服务机构</w:t>
      </w:r>
      <w:bookmarkEnd w:id="12"/>
      <w:bookmarkEnd w:id="1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个人投资者可以通过基金管理人网上直销交易平台办理开户、本基金的申购、赎回、转换及定期定额投资等业务，具体交易细则请参阅基金管理人网站。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2、代销机构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（1）名称：中国农业银行股份有限公司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住所：北京市东城区建国门内大街69号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办公地址：北京市西城区复兴门内大街28号凯晨世贸中心东座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法定代表人：周慕冰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联系电话：010-66060069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传真：010-68121816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联系人：贺倩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网址：www.abchina.com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（2）名称：交通银行股份有限公司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法定代表人：任德奇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电话：（021）58781234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传真：（021）58408483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联系人：范瑞波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网址：www.bankcomm.com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（3）名称：招商银行股份有限公司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法定代表人：缪建民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电话：（0755）83198888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传真：（0755）83195109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联系人：季平伟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网址：www.cmbchina.com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（4）名称：平安银行股份有限公司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注册地址：深圳市罗湖区深南东路5047号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办公地址：深圳市深南东路5047号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法定代表人：谢永林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电话：0755-22166574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传真：0755-82080406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客服电话：95511-3或95501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网址：bank.pingan.com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（5）名称：宁波银行股份有限公司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住所：宁波市江东区中山东路294号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法定代表人：陆华裕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电话：（021）63586210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传真：（021）63586215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联系人：胡技勋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客户服务电话：96528（上海地区962528）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网址：www.nbcb.com.cn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（6）名称：中国邮政储蓄银行股份有限公司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法定代表人：李国华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传真：（010）68858117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联系人：陈春林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网址：www.psbc.com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（7）名称：中信建投证券股份有限公司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住所：北京市朝阳区安立路66号4号楼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办公地址：北京市朝阳门内大街188号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电话：（010）56135784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网址：www.csc108.com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（8）名称：中信证券股份有限公司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住所：广东省深圳市福田区中心三路8号卓越时代广场（二期）北座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办公地址：北京市朝阳区亮马桥路48号中信证券大厦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法定代表人：张佑君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网址：www.cs.ecitic.com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（9）名称：中国银河证券股份有限公司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住所：北京市西城区金融大街35号国际企业大厦C座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办公地址：北京市西城区金融大街35号国际企业大厦C座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法定代表人：陈共炎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电话：010-83574507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联系人：辛国政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网址：www.chinastock.com.cn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（10）名称：申万宏源证券有限公司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住所：上海市徐汇区长乐路989号世纪商贸广场45层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办公地址：上海市徐汇区长乐路989号世纪商贸广场45层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法定代表人：杨玉成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电话：（021）33389888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联系人：李清怡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客户服务电话：95523或4008895523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网址：www.sywg.com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（11）名称：长江证券股份有限公司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住所：武汉市新华路特8号长江证券大厦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办公地址：武汉市新华路特8号长江证券大厦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法定代表人：胡运钊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电话：（027）65799999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传真：（027）85481900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客户服务电话：95579或4008-888-999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网址：www.95579.com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（12）名称：国投证券股份有限公司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住所：深圳市福田区福田街道福华一路119号安信金融大厦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办公地址：深圳市福田区福田街道福华一路119号安信金融大厦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法定代表人：王苏望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电话：（0755）81688000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传真：（0755）82558355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网址：https://www.sdicsc.com.cn/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（13）名称：渤海证券股份有限公司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住所：天津经济技术开发区第二大街42号写字楼101室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办公地址：天津市南开区宾水西道8号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法定代表人：安志勇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电话：（022）28451991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传真：（022）28451892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联系人：蔡霆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956066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网址：www.ewww.com.cn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（14）名称：华泰证券股份有限公司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住所：江苏省南京市江东中路228号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办公地址：江苏省南京市建邺区江东中路228号华泰证券广场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电话：（0755）82492193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传真：（0755）82492962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联系人：徐浩津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网址：www.htsc.com.cn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（15）名称：中信证券（山东）有限责任公司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住所：青岛市崂山区深圳路222号1号楼2001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办公地址：青岛市市南区东海西路28号龙翔广场东座5层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法定代表人：肖海峰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电话：0531-89606166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传真：0532-85022605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联系人：赵如意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网址：sd.citics.com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（16）名称：信达证券股份有限公司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住所：北京市西城区闹市口大街9号院1号楼信达金融中心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办公地址：北京市西城区闹市口大街9号院1号楼信达金融中心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法定代表人：张志刚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电话：（010）63081000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传真：（010）63081344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联系人：尹旭航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网址：www.cindasc.com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（17）名称：长城证券有限责任公司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住所：深圳市福田区深南大道6008号特区报业大厦14、16、17层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法定代表人：黄耀华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电话：（0755）83516289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传真：（0755）83516199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联系人：匡婷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客户服务电话：（0755）33680000，400-6666-888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网址：www.cc168.com.cn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（18）名称：中信证券华南股份有限公司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法定代表人：陈可可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电话：020-88836999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传真：020-88836984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联系人：郭杏燕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客服电话：（020）95396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网址：www.gzs.com.cn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（19）名称：大同证券有限责任公司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注册地址：山西省大同市城区迎宾街15号桐城中央21层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办公地址：太原市长治路 111 号山西世贸中心 A 座 F12、F13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邮政编码：030600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法定代表人：董祥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 话：（0351）4130322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 真：（0351）7219891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客服电话：4007121212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网址：www.dtsbc.com.cn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（20）名称：平安证券股份有限公司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住所：深圳市福田区金田路大中华国际交易广场裙楼8楼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办公地址：深圳市福田区金田路大中华国际交易广场裙楼8楼(518048)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法定代表人：杨宇翔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电话：（0755）22627802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传真：（0755）82400862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联系人：郑舒丽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网址：www.pingan.com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（21）名称：国都证券股份有限公司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住所：北京市东城区东直门南大街3号国华投资大厦9层10层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办公地址：北京市东城区东直门南大街3号国华投资大厦9层10层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法定代表人：王少华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客户服务电话：400-818-8118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网址：www.guodu.com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（22）名称：申万宏源西部证券有限公司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住所：新疆乌鲁木齐市建设路2号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办公地址：北京市西城区太平桥大街19号宏源证券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法定代表人：冯戎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电话：（010）88085858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传真：（010）88085195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客户服务电话：4008-000-562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网址：www.hysec.com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（23）名称：中泰证券股份有限公司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注册地址：济南市高新区经十路7000号汉峪金融商务中心五区3号楼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办公地址：济南市高新区经十路7000号汉峪金融商务中心五区3号楼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电话：（0531）68889155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传真：（0531）68889752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联系人：许曼华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网址：www.zts.com.cn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（24）名称：第一创业证券股份有限公司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住所：深圳市罗湖区笋岗路12号中民时代广场 B 座25、26层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办公地址：深圳市罗湖区笋岗路12号中民时代广场 B 座25、26层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法定代表人：刘学民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电话：（0755）25832852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传真：（0755）25831718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联系人：崔国良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网址：www.firstcapital.com.cn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（25）名称：华福证券股份有限公司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住所：福建省福州市鼓楼区鼓屏路27号1#楼3层、4层、5层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办公地址：福建省福州市鼓楼区鼓屏路27号1#楼3层、4层、5层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法定代表人：黄德良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电话：（0591）87383623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传真：（0591）87383610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客户服务电话：（0591）95547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网址：www.hfzq.com.cn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（26）名称：华龙证券股份有限公司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住所：兰州市城关区东岗西路638号财富中心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办公地址：兰州市城关区东岗西路638号财富中心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法定代表人：李晓安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电话：（0931）4890208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传真：（0931）4890628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联系人：李昕田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客户服务电话：4006898888、（0931）4890208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网址：www.hlzqgs.com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（27）名称：中国国际金融股份有限公司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住所：北京建国门外大街1号国贸大厦2座27层及28层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办公地址：北京建国门外大街1号国贸大厦2座27层及28层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法定代表人：毕明建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电话：（010）65051166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传真：（010）85679203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联系人：杨涵宇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网址：www.cicc.com.cn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（28）名称：上海华信证券有限责任公司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注册地址：上海浦东新区世纪大道100号环球金融中心9楼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办公地址：上海浦东新区世纪大道100号环球金融中心9楼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法定代表人：郭林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电话：021-38784818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传真：021-38784818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客服电话：400-820-5999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公司网址：www.shhxzq.com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（29）名称：东方财富证券股份有限公司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住所：西藏自治区拉萨市柳梧新区国际总部城10栋楼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法定代表人：戴彦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电话：（021）021-23586603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传真：（021）021-23586860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联系人：付佳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网址：http://www.18.cn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（30）名称：国金证券股份有限公司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住所：四川省成都市东城根上街95号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法定代表人：冉云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电话：（028）86690057，（028）86690058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传真：（028）86690126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联系人：刘婧漪 贾鹏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网址：www.gjzq.com.cn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（31）名称：爱建证券有限责任公司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住所：上海市南京西路758号24楼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办公地址：上海市浦东新区世纪大道1600号32楼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法定代表人：张建华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电话：（021）32229888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传真：（021）68728703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客户服务电话：（021）63340678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网址：www.ajzq.com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（32）名称：国新证券股份有限公司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法定代表人：宋德清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电话：（010）58568235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传真：（010）58568062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客户服务电话：（010）58568118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网址：www.crsec.com.cn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（33）名称：中国中金财富证券有限公司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住所：深圳市福田区益田路与福中路交界处荣超商务中心A栋第18层-21层及第04层01.02.03.05.11.12.13.15.16.18.19.20.21.22.23单元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办公地址：深圳市福田区益田路6003号荣超商务中心A栋第04、18层至21层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法定代表人：高涛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电话：（0755）88320851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联系人：胡芷境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客户服务电话：95532/400-600-8008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网址：www.ciccwm.com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（34）名称：兴业证券股份有限公司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住所：福州市湖东路268号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办公地址：上海市浦东新区长柳路36号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法定代表人：杨华辉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 021-38565547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联系人：乔琳雪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www.xyzq.com.cn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（35）名称：广发证券股份有限公司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住所：广州市黄埔区中新广州知识城腾飞一街2号618室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办公地址：广州市天河区马场路26号广发证券大厦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法定代表人：林传辉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电话：（020）66338888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传真：（020）87553600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联系人：任嘉鹏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网址：www.gf.com.cn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（36）名称：东方证券股份有限公司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住所：上海市中山南路318号2号楼22层-29层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法定代表人：王益民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电话：（021）63325888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传真：（021）63326173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联系人：吴宇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网址：www.dfzq.com.cn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（37）名称：华宝证券股份有限公司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住所：中国上海市陆家嘴环路166号未来资产大厦27楼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办公地址：中国上海市浦东新区世纪大道100号上海环球金融中心57楼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陈林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电话：（021）68777222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传真：（021）68777822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客户服务电话：400-820-9898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网址：www.cnhbstock.com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（38）名称：华西证券股份有限公司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住所：四川省成都市高新区天府二街198号华西证券大厦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办公地址：四川省成都市高新区天府二街198号华西证券大厦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法定代表人：杨炯洋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电话：（028）86135991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传真：（028）86150400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联系人：周志茹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网址：www.hx168.com.cn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（39）名称：国泰海通证券股份有限公司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注册地址：中国（上海）自由贸易试验区商城路618号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办公地址：上海市静安区南京西路768号国泰君安大厦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联系电话：021-38676666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传真：021-38670666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联系人：邵亚杰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服务热线 : 95521 / 4008888666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网址：www.gtht.com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（40）名称：方正证券股份有限公司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住所：湖南长沙芙蓉中路二段华侨国际大厦22-24层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办公地址：湖南长沙芙蓉中路二段华侨国际大厦22-24层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法定代表人：施华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电话：（010）68546765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传真：（010）68546792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网址：www.foundersc.com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（41）名称：天相投资顾问有限公司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住所：北京市西城区金融街19号富凯大厦B座701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办公地址：北京市西城区新街口外大街28号C座5层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法定代表人：林义相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电话：（010）66045529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传真：（010）66045518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联系人：尹伶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客户服务电话：（010）66045678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网址：http://www.txsec.com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（42）名称：深圳市新兰德证券投资咨询有限公司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住所：深圳市福田区华强北路赛格科技园4栋10层1006#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办公地址：北京市西城区金融大街35号国际企业大厦C座9层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电话：（010）58325395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传真：（010）58325282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联系人：刘宝文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客户服务电话：400-850-7771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网址：http://8.jrj.com.cn/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（43）名称：和讯信息科技有限公司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住所：北京市朝阳区朝外大街22号泛利大厦10层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办公地址：北京市朝阳区朝外大街22号泛利大厦10层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电话：（021）20835789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传真：（021）20835879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联系人：周轶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客户服务电话：4009200022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网址：http://licaike.hexun.com/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（44）名称：上海挖财基金销售有限公司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注册地址：中国(上海)自由贸易试验区杨高南路759号18层03单元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办公地址：中国(上海)自由贸易试验区杨高南路759号18层03单元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法定代表人：吕柳霞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电话：021-50810673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传真：021-50810687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邮编：200120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联系人：毛善波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客服电话：400-711-8718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网址：www.wacaijijin.com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（45）名称：北京度小满基金销售有限公司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注册地址：北京市海淀区西北旺东路10号院西区4号楼1层103室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法定代表人：葛新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办公地址：北京市海淀区西北旺东路10号院西区4号楼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机构联系人：王笑宇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联系人电话：010-59403028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联系人传真：010-59403027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客户服务电话：95055-4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公司网址：www.baiyingfund.com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（46）名称：诺亚正行基金销售有限公司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住所:上海市虹口区飞虹路360弄9号3724室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办公地址:上海市杨浦区长阳路1687号长阳谷2号楼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法定代表：汪静波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电话：（021）80358523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传真：（021）80358749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客户服务电话：4008215399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网址：www.noah-fund.com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（47）名称：深圳众禄基金销售股份有限公司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住所：深圳市罗湖区梨园路物资控股置地大厦8楼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办公地址：深圳市罗湖区梨园路物资控股置地大厦8楼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法定代表人：薛峰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电话：（0755）33227953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传真：（0755）33227951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联系人：汤素娅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客户服务电话：4006-788-887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网址：www.zlfund.cn，www.jjmmw.com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（48）名称：上海天天基金销售有限公司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住所：上海市徐汇区龙田路190号2号楼2层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办公地址：上海市徐汇区宛平南路88号金座东方财富大厦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法定代表人：其实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电话：（021）54509998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传真：（021）64385308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联系人：屠彦洋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客户服务电话：400-1818-188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网址：www.1234567.com.cn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（49）名称：上海好买基金销售有限公司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住所：上海市虹口区场中路685弄37号4号楼449室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办公地址：上海市浦东新区浦东南路1118号鄂尔多斯国际大厦903-906室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法定代表人：杨文斌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传真：（021）68596916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联系人：薛年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客户服务电话：400-700-9665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网址：www.howbuy.com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（50）名称：蚂蚁（杭州）基金销售有限公司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住所：浙江省杭州市余杭区五常街道文一西路969号3幢5层599室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办公地址：浙江省杭州市西湖区西溪路556号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电话：（0571）28829790，（021）60897869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传真：（0571）26698533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联系人：韩爱彬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网址：www.fund123.cn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（51）名称：上海长量基金销售有限公司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住所：上海市浦东新区高翔路526号2幢220室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办公地址：上海市浦东新区浦东大道555号裕景国际B座16层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法定代表人：张跃伟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电话：（021）20691832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传真：（021）20691861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联系人：单丙烨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客户服务电话：400-820-2899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网址：www.erichfund.com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（52）名称：浙江同花顺基金销售有限公司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住所：浙江省杭州市文二西路1号元茂大厦903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办公地址：浙江杭州余杭区五常街道同顺街18号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法定代表人：吴强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电话：（0571）88911818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传真：（0571）86800423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联系人：吴强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客户服务电话：952555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网址：https://fund.10jqka.com.cn/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（53）名称：北京展恒基金销售股份有限公司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住所：北京市顺义区后沙峪镇安富街6号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办公地址：北京市朝阳区安苑路15-1号邮电新闻大厦2层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法定代表人：闫振杰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电话：（010）59601366-7024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传真：（010）62020355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马林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客户服务电话：400-888-6661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网址：www.myfund.com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（54）名称：上海利得基金销售有限公司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上海浦东新区峨山路91弄61号陆家嘴软件园10号楼12楼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办公地址：上海市虹口区东大名路1098号浦江国际金融广场53层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法定代表人：李兴春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电话：021-50583533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传真：021-50583633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伍豪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客服电话：400-032-5885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网址：www.leadfund.com.cn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（55）名称：嘉实财富管理有限公司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住所：海南省三亚市天涯区三亚湾路国际客运港区国际养生度假中心酒店B座(2＃楼)27楼2714室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办公地址及其联系方式：北京市朝阳区建国门外大街21号北京国际俱乐部C座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张峰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 010-85097302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联系人：闫欢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客户服务电话：400-021-8850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公司网址：http://www.harvestwm.cn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（56）名称：北京创金启富基金销售有限公司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北京市西城区白纸坊东街2号院6号楼712室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北京市西城区白纸坊东街2号院6号楼712室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梁蓉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电话：010-66154828-8047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传真：010-63583991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魏素清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客户服务电话：010-66154828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https://www.5irich.com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（57）名称：宜信普泽（北京）基金销售有限公司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住所：北京市朝阳区建国路乙118号12层01D、02A—02F、03A—03C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办公地址：北京市朝阳区建国路乙118号12层01D、02A—02F、03A—03C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法定代表人：汤蕾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电话：010-5090-5707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联系人：蒋凯帆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客户服务电话：400-6099-200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网址：http://www.puzefund.com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（58）名称：南京苏宁基金销售有限公司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住所：南京市玄武区苏宁大道1-5号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办公地址：南京市玄武区苏宁大道1-5号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电话：025-66996699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传真：025-66996699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联系人：冯鹏鹏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客户服务电话：95177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网址：www.snjijin.com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（59）名称：格上富信投资顾问有限公司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住所：北京市朝阳区东三环北路19号楼701内09室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办公地址：北京市朝阳区东三环北路19号楼701内09室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法定代表人：李悦章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电话：（010）85594745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传真：（010）65983333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客户服务电话：400-066-8586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网址：www.igesafe.com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（60）名称：北京汇成基金销售有限公司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住所：北京市西城区宣武门外大街甲1号4层401-2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办公地址：北京市西城区宣武门外大街甲1号环球财讯中心D座4层401-2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法定代表人：王伟刚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电话：（010）56282140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传真：（010）62680827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客户服务电话：010-63158805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网址：www.hcfunds.co</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（61）名称：深圳市米粒基金销售有限公司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注册地址：深圳市前海深港合作区南山街道兴海大道3046号香江金融大厦2111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办公地址：深圳市前海深港合作区南山街道兴海大道3046号香江金融大厦2111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法定代表人：黎泰材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联系人：董宣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联系电话：0755-26695461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客户服务电话：400-001-1566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网址：www.yilucaifu.com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400-001-1566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www.yilucaifu.com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（62）名称：北京广源达信基金销售有限公司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注册地址：北京市西城区新街口外大街28号C座六层605室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办公地址：北京市顺义区天祥路6号院北京东航中心T1A-304B室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法定代表人：齐剑辉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电话：400-616-7531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联系人：赵明锦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客户服务电话：400-616-7531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网址：https://www.niuniufund.com/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（63）名称：上海大智慧基金销售有限公司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住所：上海市浦东新区杨高南路428号1号楼10-11层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办公地址：上海市浦东新区杨高南路428号1号楼10-11层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法定代表人：申健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电话：021-0219988-35374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传真：021-20219923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客户服务电话：021-20292031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网址：https://www.wg.com.cn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（64）名称：北京新浪仓石基金销售有限公司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注册地址：北京市海淀区东北旺西路中关村软件园二期（西扩）N-1、N-2地块新浪总部科研楼5层518室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办公地址：北京市海淀区东北旺西路中关村软件园二期（西扩）N-1、N-2地块新浪总部科研楼5层518室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法定代表人：穆飞虎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电话：010-58982465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联系人：穆飞虎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客服电话：010-6267 5369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网址：www.xincai.com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（65）名称：上海万得基金销售有限公司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住所：中国（上海）自由贸易试验区福山路33号11楼B座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办公地址：上海市浦东新区浦明路1500号万得大厦11楼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宋晓言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电话：021-50712782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传真：021-50710161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马烨莹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客户服务电话：400-799-1888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www.520fund.com.cn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（66）名称：上海联泰基金销售有限公司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住所：上海市普陀区兰溪路900弄15号526室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办公地址：上海市虹口区临潼路188号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法定代表人：尹彬彬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电话：021-52822063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传真：021-52975270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联系人：兰敏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客户服务电话：400-118-1188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网址：www.66liantai.com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（67）名称：上海基煜基金销售有限公司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住所：上海市崇明县长兴镇路潘园公路1800号2号楼6153室（上海泰和经济发展区）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办公地址：上海市杨浦区昆明路518号A1002室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传真：（021）55085991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联系人：俞申莉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网址：www.fofund.com.cn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（68）名称：北京虹点基金销售有限公司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注册地址：北京市朝阳区东三环北路38号院1号楼19层2201内11室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办公地址：北京市朝阳区东三环北路38号院1号楼19层2201内11室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法定代表人：邓伟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客户服务电话：400-035-5010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公司网址：www.hongdianfund.com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（69）名称：上海陆金所基金销售有限公司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住所：上海市浦东新区陆家嘴环路1333号14楼09单元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办公地址：上海市浦东新区陆家嘴环路1333号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法定代表人：王之光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电话：（021）20665952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传真：（021）22066653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联系人：宁博宇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客户服务电话：4008219031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网址：www.lufunds.com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（70）名称：珠海盈米基金销售有限公司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住所：珠海市横琴新区宝华路6号105室-3491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办公地址：广州市海珠区琶洲大道东1号保利国际广场南塔12楼B1201-1203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电话：（020）89629099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传真：（020）89629011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联系人：黄敏嫦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客户服务电话：（020）89629066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网址：www.yingmi.com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（71）名称：奕丰基金销售有限公司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住所：深圳市前海深港合作区前湾一路1号A栋201室（入住深圳市前海商务秘书有限公司）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办公地址：深圳市南山区海德三道航天科技广场A座17楼1704室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法定代表人：TEO WEE HOWE</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电话：（0755）89460500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传真：（0755）21674453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联系人：叶健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客户服务电话：400-684-0500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网址：www.ifastps.com.cn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（72）名称：京东肯特瑞基金销售有限公司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北京市海淀区西三旗建材城中路12号17号平房157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办公地址：北京市通州区亦庄经济技术开发区科创十一街18号院京东集团总部A座17层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法定代表人：王苏宁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传真：010-89189566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客服热线：95118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网址：kenterui.jd.com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（73）名称：上海证达通基金销售有限公司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上海市浦东新区金葵路118号3层B区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办公地址：上海市浦东新区金葵路118号3层B区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法定代表人：姚杨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电话：（021）20530186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传真：（021）20538999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潘梦茹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客户服务电话：021-20538880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网址：www.zdt.fund</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（74）名称：深圳市金斧子基金销售有限公司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住所：深圳市南山区粤海街道科苑路16号东方科技大厦18楼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办公地址：深圳市南山区粤海街道科苑路科兴科学园B3单元7楼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法定代表人：赖任军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电话：（0755）66892301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传真：（0755）66892399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客户服务电话：400-9500-888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网址：www.jfzinv.com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（75）名称：北京雪球基金销售有限公司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住所：北京市朝阳区创远路 34 号院6号楼15层1501室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办公地址：北京市朝阳区创远路 34 号院融新科技中心 C 座 17 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电话：（010）61840688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传真：（010）84997571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联系人：武安广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客户服务电话：400-1599-288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网址：danjuanfunds.com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（76）名称：万家财富基金销售（天津）有限公司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住所：天津自贸区（中心商务区）迎宾大道1988号滨海浙商大厦公寓2-2413室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办公地址：北京市西城区丰盛胡同28号太平洋保险大厦A座5层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电话：（010）59013825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传真：（010）59013828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联系人：王茜蕊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客户服务电话：010-59013895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网址：http://www.wanjiawealth.com/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（77）名称：上海华夏财富投资管理有限公司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住所：上海市虹口区东大名路687号1幢2楼268室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北京市西城区金融大街33号通泰大厦B座8层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毛淮平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电话：010-88066632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传真：010-63136184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张静怡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客户服务电话：400-817-5666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www.amcfortune.com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（78）名称：中信期货有限公司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电话：010-60833754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传真：021-60819988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联系人：刘宏莹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客服电话：400-990-8826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网站：www.citicsf.com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（79）名称：玄元保险代理有限公司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法定代表人：马永谙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客户服务电话：400-080-8208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网址：www.licaimofang.cn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（80）名称：阳光人寿保险股份有限公司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住所：海南省三亚市迎宾路360-1号三亚阳光金融广场16层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办公地址：北京市朝阳区朝阳门外大街乙12号院1号昆泰国际大厦12层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电话：（010）85632771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传真：（010）85632773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联系人：王超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网址：http://fund.sinosig.com/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（81）名称：中国人寿保险股份有限公司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住所：中国北京市西城区金融大街16号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办公地址：北京市西城区金融大街16号中国人寿广场A座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www.e-chinalife.com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（82）名称：腾安基金销售（深圳）有限公司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办公地址：深圳市南山区海天二路33号腾讯滨海大厦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法定代表人：刘明军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联系人：谭广峰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网址：http://www.tenganxinxi.com/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（83）名称：济安财富（北京）基金销售有限公司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住所：北京市朝阳区太阳宫中路16号院1号楼10层1005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办公地址：北京市朝阳区太阳宫中路16号院1号楼11层1105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电话：010-65309516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传真：010-65330699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联系人：宋静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客户服务电话：400-673-7010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网址：www.jianfortune.com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（84）名称：大连网金基金销售有限公司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辽宁省大连市沙河口区体坛路22号诺德大厦2层202室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辽宁省大连市沙河口区体坛路22号诺德大厦2层202室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樊怀东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电话：（0411-39027810）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传真：（0411-39027835）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于秀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4000-899-100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网址：http://www.yibaijin.com/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（85）名称：博时财富基金销售有限公司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法定代表人：王德英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电话：0755-83169999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传真：0755-83195220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联系人：崔丹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客户服务电话：400-610-5568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网址：www.boserawealth.com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（86）名称：深圳前海微众银行股份有限公司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办公地址：广东省深圳市南山区沙河西路1819号深圳湾科技生态园7栋A座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法定代表人：顾敏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电话：15112686889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联系人：白冰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（87）名称：泛华普益基金销售有限公司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住所：成都市成华区建设路9号高地中心1101室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办公地址：成都市金牛区花照壁西顺街399号1栋1单元龙湖西宸天街B座1201号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法定代表人：于海锋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电话：028-8661-6229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联系人：隋亚方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客户服务电话：400-080-3388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网址：https://www.puyifund.com/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（88）名称：和耕传承基金销售有限公司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住所：河南自贸试验区郑州片区（郑东）东风南路东康宁街北6号楼5楼503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办公地址：河南自贸试验区郑州片区（郑东）东风南路东康宁街北6号楼5楼503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法定代表人：温丽燕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电话：0371-85518395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传真：0371-85518397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联系人：胡静华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客户服务电话：4000555671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网址：www.hgccpb.com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（89）名称：上海中欧财富基金销售有限公司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住所：中国（上海）自由贸易试验区陆家嘴环路479号1008-1室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办公地址：上海市虹口区公平路18号嘉昱大厦6楼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法定代表人：许欣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电话：021-68609600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传真：021-33830351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刘弘义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客户服务电话：400-700-9700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公司网址：https://www.zocaifu.com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（90）名称：易方达财富管理基金销售（广州）有限公司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住所：广州市南沙区横沥镇期航二街2号101房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办公地址：广东省广州市天河区珠江东路30号广州银行大厦41楼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电话：020-85102688-7498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联系人：吕晋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客户服务电话：4001608888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网址：www.efundcf.com.cn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名称：中国证券登记结算有限责任公司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住所：北京市西城区太平桥大街17号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法定代表人：于文强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电话：（010）50938782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传真：（010）50938907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联系人：赵亦清</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名称：上海市通力律师事务所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住所：上海市银城中路68号时代金融中心19楼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办公地址：上海市银城中路68号时代金融中心19楼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负责人：陈臻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电话：（021）31358666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传真：（021）31358600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联系人：丁媛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经办律师：黎明、丁媛</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名称：安永华明会计师事务所（特殊普通合伙）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住所：北京市东城区东长安街1号东方广场安永大楼17层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办公地址：北京市东城区东长安街1号东方广场安永大楼17层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执行事务合伙人：毛鞍宁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电话：（010）58153000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传真：（010）85188298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联系人：蒋燕华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经办注册会计师：蒋燕华、费泽旭</w:t>
      </w:r>
    </w:p>
    <w:p>
      <w:pPr>
        <w:pStyle w:val="2"/>
        <w:snapToGrid w:val="0"/>
        <w:spacing w:before="240" w:beforeLines="0" w:after="0"/>
        <w:rPr>
          <w:rFonts w:ascii="宋体" w:hAnsi="宋体"/>
          <w:szCs w:val="30"/>
        </w:rPr>
      </w:pPr>
      <w:r>
        <w:br w:type="page"/>
      </w:r>
      <w:bookmarkStart w:id="14" w:name="_Toc256000006"/>
      <w:bookmarkStart w:id="15" w:name="_Toc256000033"/>
      <w:r>
        <w:rPr>
          <w:rFonts w:ascii="宋体" w:hAnsi="宋体"/>
          <w:sz w:val="30"/>
        </w:rPr>
        <w:t>六、基金的募集</w:t>
      </w:r>
      <w:bookmarkEnd w:id="14"/>
      <w:bookmarkEnd w:id="1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本基金由基金管理人依照《基金法》、《运作办法》、《销售办法》、基金合同及其他有关规定，并经中国证监会2017年7月10日证监许可[2017]1179号文准予募集注册。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本基金为契约型开放式混合型证券投资基金。基金存续期间为不定期。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本基金募集期间基金份额净值为人民币1.00元，按初始面值发售。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本基金自2017年8月14日至2017年9月8日进行发售，本基金设立募集期共募集426,824,248.14份基金份额，有效认购户数为6,929户。</w:t>
      </w:r>
    </w:p>
    <w:p>
      <w:pPr>
        <w:pStyle w:val="2"/>
        <w:snapToGrid w:val="0"/>
        <w:spacing w:before="240" w:beforeLines="0" w:after="0"/>
        <w:rPr>
          <w:rFonts w:ascii="宋体" w:hAnsi="宋体"/>
          <w:szCs w:val="30"/>
        </w:rPr>
      </w:pPr>
      <w:r>
        <w:br w:type="page"/>
      </w:r>
      <w:bookmarkStart w:id="16" w:name="_Toc256000007"/>
      <w:bookmarkStart w:id="17" w:name="_Toc256000034"/>
      <w:r>
        <w:rPr>
          <w:rFonts w:ascii="宋体" w:hAnsi="宋体"/>
          <w:sz w:val="30"/>
        </w:rPr>
        <w:t>七、基金合同的生效</w:t>
      </w:r>
      <w:bookmarkEnd w:id="16"/>
      <w:bookmarkEnd w:id="1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根据有关规定，本基金满足基金合同生效条件，基金合同已于2017年9月15日正式生效。自基金合同生效之日起，本基金管理人正式开始管理本基金。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连续20个工作日出现基金份额持有人数量不满200人或者基金资产净值低于5000万元情形的，基金管理人应当在定期报告中予以披露。连续60个工作日出现前述情形的，基金管理人应当向中国证监会报告并提出解决方案，如转换运作方式、与其他基金合并或者终止基金合同等，并召开基金份额持有人大会进行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法律法规另有规定时，从其规定。</w:t>
      </w:r>
    </w:p>
    <w:p>
      <w:pPr>
        <w:pStyle w:val="2"/>
        <w:snapToGrid w:val="0"/>
        <w:spacing w:before="240" w:beforeLines="0" w:after="0"/>
        <w:rPr>
          <w:rFonts w:ascii="宋体" w:hAnsi="宋体"/>
          <w:szCs w:val="30"/>
        </w:rPr>
      </w:pPr>
      <w:r>
        <w:br w:type="page"/>
      </w:r>
      <w:bookmarkStart w:id="18" w:name="_Toc256000008"/>
      <w:bookmarkStart w:id="19" w:name="_Toc256000035"/>
      <w:r>
        <w:rPr>
          <w:rFonts w:ascii="宋体" w:hAnsi="宋体"/>
          <w:sz w:val="30"/>
        </w:rPr>
        <w:t>八、基金份额的申购与赎回</w:t>
      </w:r>
      <w:bookmarkEnd w:id="18"/>
      <w:bookmarkEnd w:id="1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（一）申购和赎回的场所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投资人可通过下述场所按照规定的方式进行申购或赎回：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1、本基金管理人的直销机构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本基金直销机构为基金管理人以及基金管理人的网上直销交易平台。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个人投资者可以通过基金管理人网上直销交易平台办理开户、本基金A类基金份额和C类基金份额的申购、赎回、定期定额投资、转换等业务，具体交易细则请参阅基金管理人网站。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2、除基金管理人之外的其他销售机构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本基金除基金管理人之外的其他销售机构参见本招募说明书“五、相关服务机构”章节或拨打本公司客户服务电话进行咨询。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投资人应当通过上述销售机构办理基金申购、赎回业务的营业场所或按上述销售机构提供的其他方式进行申购或赎回。本基金管理人可根据情况变更或增减基金销售机构，并在管理人网站公示。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若基金管理人或其指定的销售机构开通电话、传真或网上等交易方式，投资人可以通过上述方式进行申购与赎回。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（二）申购和赎回的开放日及时间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1、开放日及开放时间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在开放日办理基金份额的申购及/或赎回，具体办理时间为上海证券交易所、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出现新的证券/期货交易市场、证券/期货交易所交易时间变更或其他特殊情况，基金管理人将视情况对前述开放日及开放时间进行相应的调整，但应在实施日前依照《信息披露办法》的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2、申购、赎回开始日及业务办理时间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本基金A类基金份额已于2017年10月27日起开放申购、赎回业务。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本基金C类基金份额已于2022年1月25日起开放申购、赎回业务。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基金份额申购、赎回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（三）申购与赎回的原则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1、“未知价”原则，即申购、赎回价格以申请当日收市后计算的基金份额净值为基准进行计算；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2、“金额申购、份额赎回”原则，即申购以金额申请，赎回以份额申请；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3、当日的申购与赎回申请可以在基金管理人规定的时间以内撤销，但申请经登记机构受理的不得撤销；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基金管理人可在法律法规允许的情况下，对上述原则进行调整。基金管理人必须在新规则开始实施前依照《信息披露办法》的有关规定在指定媒介上公告。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（四）申购和赎回的数额限定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1、申购金额的限制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直销机构首次申购的最低金额为单笔100万元，追加申购的最低金额为单笔10万元；已在直销机构有认购或申购过本基金管理人管理的任一基金（包括本基金）记录的投资人不受首次申购最低金额的限制。通过基金管理人网上直销交易平台办理基金申购业务的不受直销机构单笔申购最低金额的限制，申购最低金额为单笔1元。本基金直销机构单笔申购最低金额可由基金管理人酌情调整。其他销售机构接受申购申请的最低金额为单笔1元，如果销售机构业务规则规定的最低单笔申购金额高于1元，以该销售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2、赎回份额的限制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赎回的最低份额为1份基金份额，如果销售机构业务规则规定的最低单笔赎回份额高于1份，以该销售机构的规定为准。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3、最低保留余额的限制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个工作日投资人在单个交易账户保留的本基金份额余额少于1份时，若当日该账户同时有基金份额减少类业务（如赎回、转换出等）被确认，则基金管理人有权将投资人在该账户保留的本基金份额一次性全部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可在法律法规允许的情况下，调整上述规定的申购金额、赎回份额和最低基金份额保留余额的数量限制，基金管理人必须在调整实施前依照《信息披露办法》的有关规定在指定媒介上刊登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（五）申购和赎回的程序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1、申购和赎回的申请方式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不成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2、申购和赎回的款项支付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投资人申购基金份额时，必须全额交付申购款项，若申购资金在规定时间内未全额到账则申购不成立。投资人全额交付申购款项，申购成立；登记机构确认基金份额时，申购生效。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递交赎回申请，赎回成立；登记机构确认赎回时，赎回生效。投资人赎回申请成功后，基金管理人将在T＋7日（包括该日）内支付赎回款项。在发生巨额赎回或基金合同载明的其他暂停赎回或延缓支付赎回款项的情形时，款项的支付办法参照基金合同有关条款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3、申购和赎回申请的确认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或基金管理人委托的登记机构应以交易时间结束前受理有效申购和赎回申请的当天作为申购或赎回申请日（T日），在正常情况下，本基金登记机构在T+1日（包括该日）内对该交易的有效性进行确认。T日提交的有效申请，投资人应在T+2日后（包括该日）及时到销售网点柜台或以销售机构规定的其他方式查询申请的确认情况。若申购不成功，则申购款项本金退还给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基金管理人可在法律法规允许的范围内，依法对上述申购和赎回申请的确认时间进行调整，并必须在调整实施日前按照《信息披露办法》的有关规定在指定媒介上公告并报中国证监会备案。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销售机构对申购、赎回申请的受理并不代表该申请一定成功，而仅代表销售机构确实接收到申购、赎回申请。申购、赎回申请的确认以登记机构的确认结果为准。对于申请的确认情况，投资者应及时查询。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4、申购和赎回的登记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（1）投资人T日申购基金成功后，正常情况下，登记机构在T＋1日为投资人增加权益并办理登记手续，投资人自T＋2日起（包括该日）有权赎回该部分基金份额。投资人应及时查询有关申请的确认情况。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（2）投资人T日赎回基金成功后，正常情况下，登记机构在T＋1日为投资人扣除权益并办理相应的登记手续。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（3）基金管理人可在法律法规允许的范围内，对上述登记办理时间进行调整，并于开始实施前按照《信息披露办法》的有关规定在指定媒介上公告并报中国证监会备案。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（六）基金的申购费和赎回费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本基金基金份额分为A类基金份额和C类基金份额。投资人申购A类基金份额在申购时支付申购费用；申购C类基金份额不支付申购费用，并从该类别基金资产中计提销售服务费。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本基金A类基金份额的申购费用由申购A类基金份额的申购人承担，不列入基金财产，主要用于本基金的市场推广、销售、登记等各项费用。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投资人可以多次申购本基金，申购费用按每笔申购申请单独计算。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本基金A类基金份额（非养老金客户）的申购费率如下：</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A类基金份额的申购费率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A类基金份额申购费率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200万元以下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500万元以上（含500万元）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持有A类基金份额的投资人因红利自动再投资而产生的A类基金份额，不收取相应的申购费用。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本基金对通过基金管理人直销柜台申购本基金A类基金份额的养老金客户实施特定申购费率。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养老金客户指基本养老基金与依法成立的养老计划筹集的资金及其投资运营收益形成的补充养老基金等，具体包括全国社会保障基金、可以投资基金的地方社会保障基金、企业年金单一计划以及集合计划、企业年金理事会委托的特定客户资产管理计划、企业年金养老金产品。如将来出现经养老基金监管部门认可的新的养老基金类型，基金管理人可在招募说明书更新或发布临时公告将其纳入养老金客户范围，并按规定向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通过基金管理人直销柜台申购本基金A类基金份额的养老金客户特定申购费率如下表：</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A类基金份额的申购费率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A类基金份额特定申购费率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200万元以下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0.4%</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500万元以上（含500万元）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投资者通过直销机构交易享有的交易费率优惠情况请见本基金管理人的有关公告或本基金管理人网站。本基金管理人基金网上直销业务已开通的银行卡及各银行卡交易金额限额请参阅本基金管理人网站。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（1）本基金A类基金份额的赎回费率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的赎回费用由赎回A类基金份额的基金份额持有人承担，在基金份额持有人赎回A类基金份额时收取，对持续持有期少于7日的投资人收取1.5%的赎回费，对持续持有期大于等于7日但少于30日的投资人收取0.75%的赎回费，并将上述赎回费全额计入基金财产；对持续持有期大于等于30日但少于3个月的投资人收取0.5%的赎回费，并将赎回费总额的75%计入基金财产；对持续持有期大于等于3个月但少于6个月的投资人收取0.5%的赎回费，并将赎回费总额的50%计入基金财产；对持续持有期大于等于6个月的投资人，应当将赎回费总额的25%计入基金财产。上述“月”指的是30个自然日。未归入基金财产的部分用于支付登记费和其他必要的手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本基金A类基金份额的赎回费率如下：</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A类基金份额的赎回费率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A类基金份额赎回费率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7日（含）—30日</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0.75%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30日（含）—1年</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1年（含）—2年</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2年以上（含）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上表中的“年”指的是365个自然日。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（2）本基金C类基金份额的赎回费率如下：</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C类基金份额的赎回费率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C类基金份额赎回费率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7日（含）—30日</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30日以上（含）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本基金C类基金份额的赎回费用由赎回C类基金份额的基金份额持有人承担，在基金份额持有人赎回C类基金份额时收取，对C类基金份额持有人收取的赎回费全额计入基金财产。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3、基金管理人可以在基金合同约定的范围内调整费率或收费方式，并最迟应于新的费率或收费方式实施日前依照《信息披露办法》的有关规定在指定媒介上公告。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申购费率、赎回费率和转换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（七）申购和赎回的数额和价格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1、申购和赎回数额、余额的处理方式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A类基金份额或C类基金份额的有效份额为净申购金额除以当日该类基金份额的基金份额净值，有效份额单位为份，申购份额计算结果按四舍五入方法，保留到小数点后2位，由此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金额为按实际确认的A类基金份额或C类基金份额有效赎回份额乘以当日该类基金份额的基金份额净值并扣除相应的费用（如有），赎回金额单位为元。赎回金额计算结果按四舍五入方法，保留到小数点后2位，由此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2、申购份额的计算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（1）A类基金份额的申购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净申购金额=申购总金额/（1+申购费率）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（注：对于适用固定金额申购费用的申购，净申购金额＝申购总金额－固定申购费用金额）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申购费用=申购总金额-净申购金额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（注：对于适用固定金额申购费用的申购，申购费用＝固定申购费用金额）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申购份额=（申购总金额-申购费用）/ T日A类基金份额净值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例一：某投资者（非养老金客户）投资40,000元申购本基金A类基金份额，假设申购当日A类基金份额净值为1.0400元，申购费率为1.5%，则其可得到的申购份额为：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申购总金额＝40,000元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净申购金额=40,000/（1+1.5%）=39,408.87元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申购费用=40,000-39,408.87=591.13元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申购份额=（40,000-591.13）/1.0400=37,893.14份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即：某投资者（非养老金客户）投资40,000元申购本基金A类基金份额，假设申购当日A类基金份额净值为1.0400元，则其可得到37,893.14份A类基金份额。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例二：某养老金客户投资100,000元通过基金管理人的直销柜台申购本基金A类基金份额，假设申购当日A类基金份额净值为1.0400元，申购费率为0.6%，则其可得到的申购份额为：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净申购金额=100,000/（1+0.6%）=99,403.58元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申购费用=100,000-99,403.58=596.42元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申购份额=（100,000-596.42）/1.0400=95,580.37份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即：该养老金客户投资100,000元通过基金管理人的直销柜台申购本基金A类基金份额，假设申购当日A类基金份额净值为1.0400元，则其可得到95,580.37份A类基金份额。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（2）C类基金份额的申购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如果投资者选择申购C类基金份额，则申购份额的计算方法如下：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申购份额=申购总金额/T日C类基金份额净值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例三：某投资者投资100,000元申购本基金的C类基金份额，假设申购当日C类基金份额净值为1.0400元，则其可得到的申购份额为：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申购份额＝100,000/1.0400＝96,153.85份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即：投资者投资100,000元申购本基金的C类基金份额，假设申购当日C类基金份额净值为1.0400元，则其可得到96,153.85份C类基金份额。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3、赎回金额的计算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赎回金额为按实际确认的A类基金份额或C类基金份额有效赎回份额乘以当日该类基金份额的基金份额净值并扣除相应的费用（如有），赎回金额单位为元，计算结果保留到小数点后两位，第三位四舍五入。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（1）A类基金份额的赎回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投资者赎回A类基金份额，赎回金额的计算方法如下：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赎回费用=赎回份额×T日A类基金份额净值×赎回费率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赎回金额=赎回份额×T日A类基金份额净值-赎回费用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例四：某投资者赎回持有的10,000份A类基金份额，持有期限为30日，对应的赎回费率为0.5%，假设赎回当日A类基金份额净值是1.0160元，则其可得到的赎回金额为：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 = 10,000×1.0160×0.5% ＝ 50.80元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 = 10,000×1.0160-50.80 ＝ 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即：投资者赎回本基金10,000份A类基金份额，持有期限为30日，对应的赎回费率为0.5%，假设赎回当日A类基金份额净值是1.0160元，则其可得到的赎回金额为10,109.20元。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（2）C类基金份额的赎回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投资者赎回C类基金份额，赎回金额的计算方法如下：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赎回费用=赎回份额×T日C类基金份额净值×赎回费率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赎回金额=赎回份额×T日C类基金份额净值-赎回费用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例五：某投资者赎回10,000份C类基金份额，持有期限为20日，对应的赎回费率为0.5%，假设赎回当日C类基金份额净值是1.0160元，则其可得到的赎回金额为：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赎回费用=10,000×1.0160×0.5%＝50.80元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赎回金额=10,000×1.0160-50.80＝10,109.20元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即：投资者赎回10,000份C类基金份额，持有期限为20日，对应的赎回费率为0.5%，假设赎回当日C类基金份额净值是1.0160元，则其可得到的赎回金额为10,109.20元。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A类基金份额净值＝A类基金份额的基金资产净值总额/发行在外的A类基金份额总数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C类基金份额净值＝C类基金份额的基金资产净值总额/发行在外的C类基金份额总数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T日的基金份额净值在当天收市后计算，并在T＋1日（包括该日）内公告。遇特殊情况，经中国证监会同意，可以适当延迟计算或公告。本基金A类基金份额和C类基金份额的基金份额净值的计算，均保留到小数点后4位，小数点后第5位四舍五入，由此误差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（八）拒绝或暂停申购的情形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发生下列情况时，基金管理人可拒绝或暂停接受投资人的申购申请：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1、因不可抗力导致基金无法正常运作。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3、证券、期货交易所交易时间非正常停市，导致基金管理人无法计算当日基金资产净值。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4、接受某笔或某些申购申请可能会影响或损害现有基金份额持有人利益时。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5、基金资产规模过大，使基金管理人无法找到合适的投资品种，或其他可能对基金业绩产生负面影响，或发生其他损害现有基金份额持有人利益的情形。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6、基金管理人、基金托管人、基金销售机构、基金销售支付结算机构或登记机构的异常情况导致基金销售系统、基金销售支付结算系统、基金注册登记系统或基金会计系统无法正常运行。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8、基金管理人接受某笔或者某些申购申请有可能导致单一投资者持有基金份额的比例超过50%，或者变相规避50%集中度的情形时。出现上述情形时，基金管理人有权将上述申购申请全部或部分确认失败。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9、基金合同约定、法律法规规定或中国证监会认定的其他情形。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第1、2、3、5、6、7、9项暂停申购情形之一且基金管理人决定暂停接受投资人的申购申请时，基金管理人应当根据有关规定在指定媒介上刊登暂停申购公告。如果投资人的申购申请被拒绝，被拒绝的申购款项将退还给投资人。在暂停申购的情况消除时，基金管理人应及时恢复申购业务的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（九）暂停赎回或延缓支付赎回款项的情形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发生下列情形时，基金管理人可暂停接受投资人的赎回申请或延缓支付赎回款项：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1、因不可抗力导致基金管理人不能支付赎回款项。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3、证券、期货交易所交易时间非正常停市，导致基金管理人无法计算当日基金资产净值。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4、连续两个或两个以上开放日发生巨额赎回。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当前一估值日基金资产净值50%以上的资产出现无可参考的活跃市场价格且采用估值技术仍导致公允价值存在重大不确定性时，经与基金托管人协商确认后，基金管理人应当暂停接受基金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6、发生继续接受赎回申请将损害现有基金份额持有人利益的情形时，可暂停接受投资人的赎回申请。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7、基金合同约定、法律法规规定或中国证监会认定的其他情形。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情形之一且基金管理人决定暂停接受投资人的赎回申请或延缓支付赎回款项时，基金管理人应在当日报中国证监会备案，已确认的赎回申请，基金管理人应足额支付；如暂时不能足额支付，应将可支付部分按单个账户申请量占申请总量的比例分配给赎回申请人，未支付部分可延期确认并支付，并以后续开放日的基金份额净值为依据计算赎回金额。若出现上述第4项所述情形，按基金合同的相关条款处理。基金份额持有人在申请赎回时可事先选择将当日可能未获受理部分予以撤销。在暂停赎回的情况消除时，基金管理人应及时恢复赎回业务的办理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（十）巨额赎回的情形及处理方式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1、巨额赎回的认定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2、巨额赎回的处理方式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巨额赎回且单个基金份额持有人的赎回申请超过上一日基金总份额20%的情形下，基金管理人有权采取如下措施：对于基金份额持有人当日超过20%的赎回申请，可以对其赎回申请延期办理；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暂停赎回：连续2个开放日以上（含本数）发生巨额赎回，如基金管理人认为有必要，可暂停接受基金的赎回申请；已经接受的赎回申请可以延缓支付赎回款项，但不得超过20个工作日，并应当在指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当发生上述巨额赎回并延期办理时，基金管理人应当通过邮寄、传真、刊登公告或者通知销售机构代为告知等方式在3个交易日内通知基金份额持有人，说明有关处理方法，并在2日内在指定媒介上刊登公告。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（十一）暂停申购或赎回的公告和重新开放申购或赎回的公告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1、发生上述暂停申购或赎回情况的，基金管理人应在规定期限内在指定媒介上刊登暂停公告。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暂停结束，基金重新开放申购或赎回时，基金管理人应依照《信息披露办法》的有关规定，不迟于重新开放日，在指定媒介上刊登基金重新开放申购或赎回公告，并公布最近一个开放日各类基金份额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（十二）基金的非交易过户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（十三）基金的转托管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基金份额持有人可办理已持有基金份额在不同销售机构之间的转托管，基金销售机构可以按照规定的标准收取转托管费。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（十四）定期定额投资计划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2017年10月26日刊登公告自2017年10月27日起开通A类基金份额的定期定额投资计划业务，本基金2022年1月24日刊登公告自2022年1月25日起增设C类基金份额并开通C类基金份额的定期定额投资计划业务，具体开通销售机构名单和业务规则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（十五）基金份额的冻结和解冻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登记机构只受理国家有权机关依法要求的基金份额的冻结与解冻，以及登记机构认可、符合法律法规的其他情况下的冻结与解冻。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（十六）基金份额的转让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（十七）实施侧袋机制期间本基金的申购与赎回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本基金实施侧袋机制的，本基金的申购和赎回安排详见本招募说明书“侧袋机制”部分的规定或相关公告。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（十八）其他业务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pPr>
        <w:pStyle w:val="2"/>
        <w:snapToGrid w:val="0"/>
        <w:spacing w:before="240" w:beforeLines="0" w:after="0"/>
        <w:rPr>
          <w:rFonts w:ascii="宋体" w:hAnsi="宋体"/>
          <w:szCs w:val="30"/>
        </w:rPr>
      </w:pPr>
      <w:r>
        <w:br w:type="page"/>
      </w:r>
      <w:bookmarkStart w:id="20" w:name="_Toc256000009"/>
      <w:bookmarkStart w:id="21" w:name="_Toc256000036"/>
      <w:r>
        <w:rPr>
          <w:rFonts w:ascii="宋体" w:hAnsi="宋体"/>
          <w:sz w:val="30"/>
        </w:rPr>
        <w:t>九、基金的转换</w:t>
      </w:r>
      <w:bookmarkEnd w:id="20"/>
      <w:bookmarkEnd w:id="2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是指开放式基金份额持有人将其持有某只基金的部分或全部份额转换为同一基金管理人管理的另一只开放式基金份额。基金转换只能在同一销售机构进行。转换的两只基金必须都是该销售机构代理的同一基金管理人管理的、在同一注册登记机构处注册登记的、同一收费模式的开放式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（二）转换业务办理时间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本基金2022年2月23日刊登公告自2022年2月28日起开放日常转换业务。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办理基金间转换的时间为上海证券交易所、深圳证券交易所交易日。若出现新的证券交易市场或交易所交易时间更改或其它原因，基金管理人将视情况进行相应的调整并公告。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在基金开放日申请办理基金转换业务，具体办理时间与基金申购、赎回业务办理时间相同。由于各销售机构的系统差异以及业务安排等原因，开展该业务的时间可能有所不同，投资人应以各销售机构公告的时间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本基金转换业务具体开通销售机构名单参见相关公告。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（三）基金转换的程序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1、申请方式：书面申请或销售机构公布的其他方式。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2、基金转换申请的确认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正常情况下，T日规定时间受理的申请，注册登记机构在T＋1日内为投资人对该交易的有效性进行确认，在T＋2日后(包括该日)投资人可向销售机构查询转换的确认情况。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3、基金转换的注册登记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登记机构以收到有效转换申请的当天作为转换申请日（T日）。投资人转换基金成功的，注册登记机构将在T＋1日对投资人T日的基金转换业务申请进行有效性确认，办理转出基金的权益扣除以及转入基金的权益登记，在T＋2日后（包括该日）投资人可向销售机构查询基金转换的成交情况，并有权转换或赎回该部分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（四）基金转换的数额限制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基金转换以份额为单位进行申请，申请转换份额精确到小数点后两位，小数点后两位以后的部分四舍五入，误差部分归基金财产。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本基金遵循“份额转换”的原则，单笔转换份额不得低于1份。基金持有人可将其全部或部分基金份额转换成其它基金，单笔转换申请不受转入基金最低申购限额限制。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于各基金关于投资人在单个交易账户最低保留余额的规定，每个工作日投资人在单个交易账户保留的某基金基金份额余额少于该基金的最低保留余额时，若当日该账户同时有该基金的基金份额减少类业务（如赎回、转换出等）被确认，基金管理人有权将投资人在该账户保留的该基金基金份额一次性全部赎回。因此，如果某笔转换申请确认后转出基金的单个交易账户的基金份额余额少于转出基金的最低保留余额，则转出基金在该账户剩余的基金份额将被全部赎回。如果某笔转换申请确认后转入基金的单个交易账户的基金份额余额少于转入基金的最低保留余额且该账户当日有转入基金的基金份额减少类业务被确认，则转入基金在该账户剩余的基金份额（包括该部分转换入确认份额）将随即被强制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（五）基金转换费用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1、每笔基金转换视为一笔赎回和一笔申购，基金转换费用相应由转出基金的赎回费用及转出、转入基金的申购补差费用构成。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2、转出基金的赎回费用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用按照各基金最新的更新招募说明书及相关公告规定的赎回费率和计费方式收取，赎回费用按一定比例归入基金财产（收取标准遵循各基金最新的更新招募说明书相关规定），其余部分用于支付注册登记费等相关手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3、前端收费模式下转出与转入基金的申购补差费用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从不收取申购费用的基金或前端申购费用低的基金向前端申购费用高的基金转换，收取前端申购补差费用；从前端申购费用高的基金向前端申购费用低的基金或不收取申购费用的基金转换，不收取前端申购补差费用。申购补差费用原则上按照转出确认金额对应的转入基金前端申购费率减去转出基金前端申购费率差额进行计算补差，若遇固定费用，则按实际产生补差费用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4、后端收费模式下转出与转入基金的申购补差费用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从不收取申购费用的基金或后端申购费用低的基金向后端申购费用高的基金转换，不收取后端申购补差费用，但转入的基金份额赎回的时候需全额收取转入基金的后端申购费；从后端申购费用高的基金向后端申购费用低的基金或不收取申购费用的基金转换，收取后端申购补差费用，且转入的基金份额赎回的时候需全额收取转入基金的后端申购费。后端申购补差费用按照转出份额持有时间对应分档的转出基金后端申购费率减去转入基金后端申购费率差额进行补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5、网上直销的申购补差费率优惠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更好服务投资者，本基金管理人已开通基金网上直销业务，个人投资者可以通过“网上直销交易平台”办理基金转换业务，其中部分转换业务可享受转换费率优惠，优惠费率只适用于转出与转入基金申购补差费用，转出基金的赎回费用无优惠。可通过网上直销交易平台办理的转换业务范围及转换费率优惠的具体情况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6、本基金管理人可以根据法律法规及基金合同的规定对上述转换费用收费方式和费率进行调整，并应于调整后的收费方式和费率实施前依照《信息披露办法》的有关规定在中国证监会规定媒介上公告。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（六）基金转换份额的计算公式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1、前端收费模式下基金转换份额的计算公式及举例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转出确认金额=转出的基金份额×转换申请当日转出基金的基金份额净值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转出基金的赎回费=转出确认金额×对应的转出基金的赎回费率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转入确认金额=转出确认金额-转出基金的赎回费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转出与转入基金的申购补差费=转入确认金额×对应的转出与转入基金的申购补差费率/（1+对应的转出与转入基金的申购补差费率）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（注：若转出基金申购费率不低于转入基金申购费率，转出与转入基金的申购补差费为零）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对于涉及固定费用的，转出与转入基金的申购补差费＝MAX（0，转出基金和转入基金申购费用之差）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一：某投资者持有交银趋势前端收费模式的A类基金份额100,000份，持有期半年，转换申请当日交银趋势的A类基金份额净值为1.0100元，交银成长的基金份额净值为2.2700元。若该投资者将100,000份交银趋势前端A类基金份额转换为交银成长前端基金份额，则转入交银成长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转出确认金额=100,000×1.0100=101,000元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转出基金的赎回费=101,000×0.5%=505元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转入确认金额=101,000-505=100,495元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转出与转入基金的申购补差费=100,495×0/（1+0）=0元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转入基金确认份额=（100,495-0）/2.2700=44,270.93份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二：某投资者持有交银增利A类基金份额1,000,000份，持有期一年半，转换申请当日交银增利A类基金份额的基金份额净值为1.0200元，交银趋势的A类基金份额净值为1.0100元。若该投资者将1,000,000份交银增利A类基金份额转换为交银趋势前端A类基金份额，则转入交银趋势确认的A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转出确认金额=1,000,000×1.0200=1,020,000元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转出基金的赎回费=1,020,000×0.05%=510元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转入确认金额=1,020,000-510=1,019,490元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转出与转入基金的申购补差费=1,019,490×0.5%/（1+0.5%）=5,072.09元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转入基金确认份额=（1,019,490-5,072.09）/1.0100=1,004,374.17份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三：某投资者持有交银增利C类基金份额100,000份，持有期一年半，转换申请当日交银增利C类基金份额净值为1.2500元，交银精选的基金份额净值为2.2700元。若该投资者将100,000份交银增利C类基金份额转换为交银精选前端基金份额，则转入交银精选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转出与转入基金的申购补差费=125,000×1.5%/（1+1.5%）=1,847.29元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转入基金确认份额=（125,000-1,847.29）/2.2700=54,252.30份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某投资者持有交银货币A级基金份额100,000份，该100,000份基金份额未结转的待支付收益为61.52元，转换申请当日交银增利A类基金份额净值为1.2700元，交银货币的基金份额净值为1.00元。若该投资者将100,000份交银货币A级基金份额转换为交银增利A类基金份额，则转入确认的交银增利A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转入确认金额=100,000-0=100,000元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转出与转入基金的申购补差费=100,000×0.8%/（1+0.8%）=793.65元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转入基金确认份额=（100,000-793.65+61.52）/1.2700=78,163.68份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2、后端收费模式下基金转换份额的计算公式及举例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转出确认金额=转出的基金份额×转换申请当日转出基金的基金份额净值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转出基金的赎回费=转出确认金额×对应的转出基金的赎回费率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转入确认金额=转出确认金额-转出基金的赎回费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转出与转入基金的申购补差费=转入确认金额×对应的转出与转入基金的申购补差费率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五：某投资者持有交银主题后端收费模式的A类基金份额100,000份，持有期一年半，转换申请当日交银主题的A类基金份额净值为1.2500元，交银稳健的基金份额净值为2.2700元。若该投资者将100,000份交银主题后端A类基金份额转换为交银稳健后端基金份额，则转入交银稳健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转出基金的赎回费=125,000×0.2%=250元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转入确认金额=125,000-250=124,750元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转出与转入基金的申购补差费=124,750×0=0元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转入基金确认份额=（124,750-0）/2.2700=54,955.95份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六：某投资者持有交银先锋后端收费模式的A类基金份额100,000份，持有期一年半，转换申请当日交银先锋的A类基金份额净值为1.2500元，交银货币的基金份额净值为1.00元。若该投资者将100,000份交银先锋后端A类基金份额转换为交银货币，则转入交银货币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转出基金的赎回费=125,000×0.2%=250元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转入确认金额=125,000-250=124,750元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转出与转入基金的申购补差费=124,750×1.2%=1497元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转入基金确认份额=（124,750-1497）/1.00=123,253.00份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七：某投资者持有交银蓝筹后端收费模式的基金份额100,000份，持有期三年半，转换申请当日交银蓝筹的基金份额净值为0.8500元，交银增利B类基金份额的基金份额净值为1.0500。若该投资者将100,000份交银蓝筹后端基金份额转换为交银增利B类基金份额，则转入交银增利B类基金份额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转出确认金额=100,000×0.8500=85,000元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转出基金的赎回费=85,000×0=0元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转入确认金额=85,000-0=85,000元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转出与转入基金的申购补差费=85,000×0.2%=170元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转入基金确认份额=（85,000-170）/1.0500=80,790.48份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八：某投资者持有交银货币A级基金份额100,000份，该100,000份基金份额未结转的待支付收益为61.52元，转换申请当日交银增利B类基金份额净值为1.2700元，交银货币的基金份额净值为1.00元。若该投资者将100,000份交银货币A级基金份额转换为交银增利B类基金份额，则转入确认的交银增利B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转入确认金额=100,000-0=100,000元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转入基金确认份额=（100,000-0+61.52）/1.2700=78,788.60份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转换只能在同一销售机构进行。转换的两只基金必须都是该销售机构销售的同一基金管理人管理的、在同一注册登记机构处注册登记的基金。投资人办理基金转换业务时，转出方的基金必须处于可赎回状态，转入方的基金必须处于可申购状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人只能在相同收费模式下进行基金转换。前端收费模式的开放式基金只能转换到前端收费模式的其他基金，后端收费模式的基金只能转换到后端收费模式的其他基金。交银货币、债券基金C类基金份额与其他基金之间的转换不受上述收费模式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3、基金转换采取未知价法，即基金的转换价格以申请受理当日各转出、转入基金的基金份额净值为基础进行计算。（货币市场基金的基金份额净值为固定价1.00元）。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4、投资人申请转出其账户内货币市场基金的基金份额时，注册登记机构将自动结转该转出份额对应的待支付收益，该收益将一并计入转出金额并折算为转入基金的基金份额，但收益部分不收取转换费用。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5、转换后，转入基金份额的持有时间将重新计算，即转入基金份额的持有期将自转入基金份额被确认日起重新开始计算。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（八）暂停基金转换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视同为转出基金的赎回和转入基金的申购，因此有关转出基金和转入基金关于暂停或拒绝申购、暂停赎回的有关规定也一般适用于暂停基金转换。具体暂停或恢复基金转换的相关业务请详见届时本基金管理人发布的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单个开放日，基金净赎回申请份额（该基金赎回申请总份额加上基金转换中转出申请总份额扣除申购申请总份额及基金转换中转入申请总份额后的余额）超过上一日基金总份额的10%时，为巨额赎回。发生巨额赎回时，基金转出与基金赎回具有相同的优先级，本基金管理人可根据基金资产组合情况，决定全额转出或部分转出，并且对于基金转出和基金赎回，将采取相同的比例确认。在转出申请得到部分确认的情况下，未确认的转出申请将自动予以撤销，不再视为下一开放日的基金转换申请。</w:t>
      </w:r>
    </w:p>
    <w:p>
      <w:pPr>
        <w:pStyle w:val="2"/>
        <w:snapToGrid w:val="0"/>
        <w:spacing w:before="240" w:beforeLines="0" w:after="0"/>
        <w:rPr>
          <w:rFonts w:ascii="宋体" w:hAnsi="宋体"/>
          <w:szCs w:val="30"/>
        </w:rPr>
      </w:pPr>
      <w:r>
        <w:br w:type="page"/>
      </w:r>
      <w:bookmarkStart w:id="22" w:name="_Toc256000010"/>
      <w:bookmarkStart w:id="23" w:name="_Toc256000037"/>
      <w:r>
        <w:rPr>
          <w:rFonts w:ascii="宋体" w:hAnsi="宋体"/>
          <w:sz w:val="30"/>
        </w:rPr>
        <w:t>十、基金的投资</w:t>
      </w:r>
      <w:bookmarkEnd w:id="22"/>
      <w:bookmarkEnd w:id="2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本基金在有效控制投资风险的前提下，通过积极主动的投资管理，力争获取超越业绩比较基准的投资收益，追求基金资产的长期稳定增值。</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具有良好流动性的金融工具，包括国内依法发行上市的股票（含中小板、创业板及其他经中国证监会核准上市的股票、存托凭证）、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权证以及法律法规或中国证监会允许基金投资的其他金融工具（但须符合中国证监会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比例为：股票资产（含存托凭证）占基金资产的0%-95%；每个交易日日终在扣除股指期货合约需缴纳的交易保证金后，本基金保留的现金或者投资于到期日在一年以内的政府债券的比例合计不低于基金资产净值的5%，其中现金不包括结算备付金、存出保证金和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充分发挥基金管理人的研究优势，在分析和判断宏观经济周期和金融市场运行趋势的基础上，运用修正后的投资时钟分析框架，自上而下调整基金大类资产配置和股票行业配置策略，确定债券组合久期和债券类别配置；在严谨深入的股票和债券研究分析基础上，自下而上精选个券；在保持总体风险水平相对稳定的基础上，力争获取投资组合的较高回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1、大类资产配置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本基金以基金份额净值为标准，对股票资产投资比例控制如下：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（1）当基金份额净值小于1.0500元时，股票资产占基金资产的比例不应超过40%；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（2）当基金份额净值大于或等于1.0500元且小于1.1000元时，股票资产占基金资产的比例不应超过60%；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（3）当基金份额净值大于或等于1.1000元时，股票资产占基金资产的比例不应超过95%。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由于收益分配、市场波动等引起的基金份额净值变化或者申购赎回引起的基金规模变动、证券发行人合并等原因，导致本基金股票资产占比不符合上述规定投资比例的，基金管理人应当在20个交易日内进行调整。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遵守股票资产投资比例控制安排的前提下，本基金利用经交银施罗德研究团队修正后的投资时钟分析框架，通过“自上而下”的定性分析和定量分析相结合形成对不同资产市场表现的预测和判断，确定基金资产在股票、债券及货币市场工具等各类别资产间的分配比例，并随着各类证券风险收益特征的相对变化，在基金合同约定的范围内动态调整组合中各类资产的比例，以规避或控制市场风险，提高基金收益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2、股票投资策略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主要运用交银施罗德股票研究分析方法等投资分析工具，在把握宏观经济运行趋势和股票市场行业轮动的基础上，充分利用公司股票研究团队“自下而上”的主动选股能力，从有着良好增长前景的行业中精选具有投资潜力的股票构建投资组合。具体分以下两个层次进行股票挑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（1）行业选择和配置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采用多因素的定性与定量相结合的分析和预测方法，确定宏观及行业经济变量的变动对不同行业的潜在影响，得出各行业的相对投资价值与投资时机，据此挑选出预期具有良好增长前景的优势行业，把握行业景气轮换带来的投资机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（2）个股精选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本基金在前述行业优选的基础上，根据下述标准挑选出其中具有投资潜力的上市公司构建股票池并从中精选个股，且需满足以下要求：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1）主业清晰并在产品、技术、营销、营运、成本控制等某一方面具有较强竞争优势，销售收入或利润超过行业平均水平；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2）根据波特五要素分析，行业发展环境良好；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3）具有较强或可预期的盈利增长前景；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4）盈利质量较高，经营性现金流加投资收益应该超过净利润（特殊理由除外）；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5）较好的公司治理结构，财务报表和信息披露较为透明、规范；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6）股票估值具有吸引力，或符合一定时期内的投资主题。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对上述重点上市公司进行内在价值的评估和成长性跟踪研究，在明确的价值评估基础上精选优秀质地的投资标的构建股票组合。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本基金投资存托凭证的策略依照境内上市交易的股票投资策略执行。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3、债券投资策略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本基金的债券投资采取主动的投资管理方式，获得与风险相匹配的投资收益，以实现在一定程度上规避股票市场的系统性风险和保证基金资产的流动性。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将灵活运用久期控制策略、类属配置策略、收益率曲线配置策略、杠杆放大策略及信用债券、可转换债券投资等多种策略，获取债券市场的长期稳定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（1）久期管理策略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全球经济的框架下，本基金管理人对宏观经济运行趋势及其引致的财政货币政策变化做出判断，密切跟踪CPI、PPI、汇率、M2等利率敏感指标，运用数量化工具，对未来市场利率趋势进行分析与预测，并据此确定合理的债券组合目标久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（2）类属配置策略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定性和定量地分析不同类属债券类资产的信用风险、流动性风险及其经风险调整后的收益率水平或盈利能力，通过比较或合理预期不同类属债券类资产的风险与收益率变化，确定并动态地调整不同类属债券类资产间的配置比例。在控制信用风险和流动性风险为主的基金总体风险水平的前提下，谋求更高的经风险调整后的稳定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（3）收益率曲线配置策略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本基金将通过预期收益率曲线形态变化来调整投资组合的头寸。在考察收益率曲线的基础上，将确定采用子弹策略、哑铃策略或梯形策略等，以从收益率曲线的形变中获利。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（4）杠杆放大策略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当回购利率低于债券收益率时，本基金将通过正回购融入资金并投资于信用债券等可投资标的，从而获取收益率超出回购资金成本（即回购利率）的套利价值。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（5）信用债券投资策略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本基金通过交银施罗德的信用债券信用评级指标体系，对信用债券进行信用评级，并在信用评级的基础上，建立本基金的信用债券池。基金经理从信用债券池中精选债券构建信用债券投资组合。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（6）可转换债券投资策略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对于可转换债券股性的研究将完全依托于公司投研团队对标的股票的研究，在此基础上利用可转换债券定价模型，充分考虑转债发行后目标转债标的股票股价波动率可能出现的变化，对目标转债的股性进行合理定价。通过对标的转债股性与债性的合理定价，力求寻找出被市场低估的品种，构建本基金可转换债券的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4、权证投资策略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权证投资以权证的市场价值分析为基础，配以权证定价模型寻求其合理估值水平，以主动式的科学投资管理为手段，充分考虑权证资产的收益性、流动性及风险性特征，通过资产配置、品种与类属选择，追求基金资产稳定的当期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5、资产支持证券投资策略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将通过宏观经济、提前偿还率、资产池结构及资产池资产所在行业景气变化等因素的研究，预测资产池未来现金流变化；研究标的证券发行条款，预测提前偿还率变化对标的证券的久期与收益率的影响，同时密切关注流动性对标的证券收益率的影响。综合运用久期管理、收益率曲线、个券选择和把握市场交易机会等积极策略，在严格控制风险的情况下，通过信用研究和流动性管理，选择风险调整后的收益高的品种进行投资，以期获得长期稳定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6、股指期货投资策略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1、组合限制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基金的投资组合应遵循以下限制：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（1）股票资产（含存托凭证）占基金资产的0%-95%；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（2）每个交易日日终在扣除股指期货合约需缴纳的交易保证金后，保持不低于基金资产净值5%的现金或者到期日在一年以内的政府债券，其中现金不包括结算备付金、存出保证金和应收申购款等；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（3）本基金持有一家公司发行的证券，其市值不超过基金资产净值的10%；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（4）本基金管理人管理的全部基金持有一家公司发行的证券，不超过该证券的10%；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（5）本基金持有的全部权证，其市值不得超过基金资产净值的3%；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（6）本基金管理人管理的全部基金持有的同一权证，不得超过该权证的10%；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（7）本基金在任何交易日买入权证的总金额，不得超过上一交易日基金资产净值的0.5%；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（14）本基金进入全国银行间同业市场进行债券回购的资金余额不得超过基金资产净值的40%，本基金在全国银行间同业市场中的债券回购最长期限为1年，债券回购到期后不得展期；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（15）本基金参与股指期货交易，则：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1）本基金在任何交易日日终，持有的买入股指期货合约价值，不得超过基金资产净值的10%；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在任何交易日日终，持有的买入期货合约价值与有价证券市值之和，不得超过基金资产净值的95%。其中，有价证券指股票、债券（不含到期日在一年以内的政府债券）、权证、资产支持证券、买入返售金融资产（不含质押式回购）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3）本基金在任何交易日日终，持有的卖出股指期货合约价值不得超过基金持有的股票总市值的20%；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（16）本基金的基金资产总值不得超过基金资产净值的140%；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本基金投资流通受限证券，基金管理人应事先根据中国证监会相关规定，与基金托管人在基金托管协议中明确基金投资流通受限证券的比例，根据比例进行投资。基金管理人应制订严格的投资决策流程和风险控制制度，防范流动性风险、法律风险和操作风险等各种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（21）本基金投资存托凭证的比例限制依照境内上市交易的股票执行；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（22）法律法规及中国证监会规定的和《基金合同》约定的其他投资限制。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第（2）、（12）、（18）、（19）项以外，因证券、期货市场波动、证券发行人合并或基金规模变动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法律法规或监管部门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上述投资组合限制条款中，若属法律法规或监管部门的强制性规定，则当法律法规或监管部门取消或修改上述限制，如适用于本基金，基金管理人在履行适当程序后，本基金投资所受限制相应调整或取消。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2、禁止行为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为维护基金份额持有人的合法权益，基金财产不得用于下列投资或者活动：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（1）承销证券；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（2）违反规定向他人贷款或者提供担保；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（3）从事承担无限责任的投资；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（4）买卖其他基金份额，但是中国证监会另有规定的除外；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（5）向其基金管理人、基金托管人出资；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（6）从事内幕交易、操纵证券交易价格及其他不正当的证券交易活动；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（7）法律、行政法规和中国证监会规定禁止的其他活动。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如法律、行政法规或监管部门取消上述禁止性规定，如适用于本基金，基金管理人在履行适当程序后，本基金可不受上述规定的限制。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沪深300指数收益率×40%+中证综合债券指数收益率×60%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沪深300指数是沪深证券交易所第一次联合发布的反映A股市场整体走势的指数，由中证指数有限公司编制和维护，是在上海和深圳证券市场中选取300只A股作为样本编制而成。该指数样本对沪深市场的覆盖度高，具有良好的市场代表性，投资者可以方便地从报纸、互联网等财经媒体中获取。沪深300指数引进国际指数编制和管理的经验，编制方法清晰透明，具有独立性和良好的市场流动性；与市场整体表现具有较高的相关度，且指数历史表现强于市场平均收益水平，适合作为本基金股票类投资的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证综合债券指数是综合反映银行间债券市场和沪深交易所债券市场国债、金融债、企业债、央行票据及短期融资券整体走势的跨市场债券指数，该指数旨在更全面地反映我国债券市场的整体价格变动趋势，具有较强的市场代表性，适合作为本基金债券类投资的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该业绩比较基准能比较贴切体现和衡量本基金的投资目标、投资策略以及投资业绩。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今后法律法规发生变化，或者市场变化导致本业绩比较基准不再适用，又或者市场推出更具权威、且更能够表征本基金风险收益特征的业绩比较基准，则本基金管理人可以依据维护基金份额持有人合法权益的原则，在按照监管部门要求履行适当程序后根据实际情况对业绩比较基准进行相应调整。调整业绩比较基准应经基金托管人同意，并报中国证监会备案，而无需召开基金份额持有人大会。基金管理人应在调整实施前在指定媒介上予以公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是一只混合型基金，其风险和预期收益高于债券型基金和货币市场基金，低于股票型基金。属于承担较高风险、预期收益较高的证券投资基金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（七）基金管理人代表基金行使股东及债权人权利的处理原则及方法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1、基金管理人按照国家有关规定代表基金独立行使股东及债权人权利，保护基金份额持有人的利益；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2、不谋求对上市公司的控股，不参与所投资上市公司的经营管理；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3、有利于基金财产的安全与增值；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（八）侧袋机制的实施和投资运作安排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侧袋机制实施期间，本部分约定的投资组合比例、投资策略、组合限制、业绩比较基准、风险收益特征等约定仅适用于主袋账户。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侧袋账户的实施条件、实施程序、运作安排、投资安排、特定资产的处置变现和支付等对投资者权益有重大影响的事项详见本招募说明书“侧袋机制”部分的规定。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（九）基金投资组合报告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基金托管人中国农业银行股份有限公司根据本基金合同约定，于2026年07月17日复核了本报告中的财务指标、净值表现和投资组合报告等内容，保证复核内容不存在虚假记载、误导性陈述或者重大遗漏。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本报告期自2026年04月01日起至2026年06月30日止。本报告中财务资料未经审计。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1、报告期末基金资产组合情况</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98,764,894.65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28.40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98,764,894.65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28.40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167,677,531.55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48.22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167,677,531.55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48.22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67,000,000.00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19.27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4,874,882.02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9,386,411.67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347,703,719.89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2、报告期末按行业分类的股票投资组合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 报告期末按行业分类的境内股票投资组合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农、林、牧、渔业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1,216,146.00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0.35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采矿业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2,143,214.40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0.62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制造业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59,462,013.62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17.25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电力、热力、燃气及水生产和供应业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6,347,379.00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建筑业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3,227,336.00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0.94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批发和零售业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415,338.00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0.12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交通运输、仓储和邮政业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1,583.46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住宿和餐饮业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信息传输、软件和信息技术服务业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4,856,844.25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15,391,145.00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4.46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房地产业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租赁和商务服务业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科学研究和技术服务业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2,854,192.92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0.83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水利、环境和公共设施管理业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1,403,630.00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0.41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居民服务、修理和其他服务业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教育</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1,446,072.00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0.42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卫生和社会工作</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文化、体育和娱乐业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综合</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98,764,894.65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28.65</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 报告期末按行业分类的港股通投资股票投资组合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3、期末按公允价值占基金资产净值比例大小排序的股票投资明细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 报告期末按公允价值占基金资产净值比例大小排序的前十名股票投资明细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600919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江苏银行</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310,100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3,342,878.00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0.97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600941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中国移动</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33,300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2,868,129.00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0.83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603986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兆易创新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2,445,000.00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0.71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002371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北方华创</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2,122,944.00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0.62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601336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新华保险</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35,100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2,094,066.00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0.61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300037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新宙邦</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21,200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1,968,420.00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300308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中际旭创</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1,905,000.00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601211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国泰海通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104,300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1,898,260.00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600011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华能国际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236,500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1,795,035.00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688146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中船特气</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4,969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1,739,100.31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4、报告期末按债券品种分类的债券投资组合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债券品种</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国家债券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31,162,582.07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9.04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央行票据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38,264,293.37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其中：政策性金融债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14,803,489.04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4.29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20,775,052.06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6.03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企业短期融资券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中期票据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77,475,604.05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22.47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可转债（可交换债）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同业存单</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167,677,531.55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48.64</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5、报告期末按公允价值占基金资产净值比例大小排序的前五名债券投资明细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数量（张）</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241597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24豫港04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10,473,649.32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102484428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24豫交投MTN009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10,386,625.75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102480879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24格力MTN003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10,370,303.56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242074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24山能04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10,301,402.74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232580006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25民生银行二级资本债01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10,229,509.59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2.97</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8、报告期末按公允价值占基金资产净值比例大小排序的前五名权证投资明细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9、报告期末本基金投资的股指期货交易情况说明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9.1 报告期末本基金投资的股指期货持仓和损益明细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9.2 本基金投资股指期货的投资政策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10、报告期末本基金投资的国债期货交易情况说明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10.1 本期国债期货投资政策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10.2 报告期末本基金投资的国债期货持仓和损益明细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10.3 本期国债期货投资评价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11、投资组合报告附注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报告期内本基金投资的前十名证券的发行主体出现被监管部门立案调查，或在报告编制日前一年内受到公开谴责,处罚的情形披露如下：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2025年12月31日,国家金融监督管理总局宁波监管局公示行政处罚决定书,给予中国民生银行股份有限公司220万元人民币的行政处罚。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2025年10月31日,国家金融监督管理总局公示行政处罚决定书,给予中国民生银行股份有限公司5865万元人民币的行政处罚。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2025年09月30日,央行公示银罚决字[2025]66号行政处罚决定书,给予国家开发银行123万元人民币的行政处罚。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2025年09月12日,国家金融监督管理总局公示行政处罚决定书,给予中国民生银行股份有限公司590万元人民币的行政处罚。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2025年07月25日,国家外汇管理局北京市分局公示京汇罚[2025]30号行政处罚决定书,给予国家开发银行罚没共计1394.42万元人民币的行政处罚。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本基金管理人对证券投资决策程序的说明如下：本基金管理人对证券投资特别是重仓证券的投资有严格的投资决策流程控制，对上述主体发行证券的投资决策程序符合公司投资制度的规定。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除上述主体外，本基金投资的前十名证券的其他发行主体本期没有出现被监管部门立案调查，或在报告编制日前一年内受到公开谴责,处罚的情形。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11.2 基金投资的前十名股票是否超出基金合同约定的备选股票库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基金投资的前十名股票中，没有超出基金合同约定的备选股票库之外的股票。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11.3 其他资产构成</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81,346.76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8,580,625.75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724,439.16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9,386,411.67</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11.4 报告期末持有的处于转股期的可转换债券明细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11.5 报告期末前十名股票中存在流通受限情况的说明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11.6 投资组合报告附注的其他文字描述部分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由于四舍五入的原因，分项之和与合计项之间可能存在尾差。</w:t>
      </w:r>
    </w:p>
    <w:p>
      <w:pPr>
        <w:pStyle w:val="2"/>
        <w:snapToGrid w:val="0"/>
        <w:spacing w:before="240" w:beforeLines="0" w:after="0"/>
        <w:rPr>
          <w:rFonts w:ascii="宋体" w:hAnsi="宋体"/>
          <w:szCs w:val="30"/>
        </w:rPr>
      </w:pPr>
      <w:r>
        <w:br w:type="page"/>
      </w:r>
      <w:bookmarkStart w:id="24" w:name="_Toc256000011"/>
      <w:bookmarkStart w:id="25" w:name="_Toc256000038"/>
      <w:r>
        <w:rPr>
          <w:rFonts w:ascii="宋体" w:hAnsi="宋体"/>
          <w:sz w:val="30"/>
        </w:rPr>
        <w:t>十一、基金的业绩</w:t>
      </w:r>
      <w:bookmarkEnd w:id="24"/>
      <w:bookmarkEnd w:id="2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基金业绩截止日为2026年06月30日，所载财务数据未经审计。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1、基金份额净值增长率及其与同期业绩比较基准收益率的比较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（1）交银恒益灵活配置混合A</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2.45%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5.47%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-3.02%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-0.19%</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4.56%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4.38%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5.72%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7.49%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-0.11%</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2024年度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1.82%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11.16%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-9.34%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-0.43%</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2023年度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-0.20%</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2022年度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-2.37%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-7.04%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4.67%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2021年度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9.26%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7.93%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2020年度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15.29%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12.76%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2.53%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2019年度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16.38%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16.80%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2018年度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-6.69%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-6.24%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2017年度（自基金合同生效起至2017年12月31日）</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1.94%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（2）交银恒益灵活配置混合C</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2.42%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5.47%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-3.05%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4.54%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4.38%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5.62%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7.49%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-1.87%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2024年度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11.16%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-9.45%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2023年度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2022年度（自基金合同生效起至2022年12月31日）</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-5.54%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3.53%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-0.34%</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注：1、本基金的业绩比较基准为沪深300指数收益率×40%+中证综合债券指数收益率×60%，每日进行再平衡过程。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2、交银恒益灵活配置混合C上述“自基金合同生效”实际为“自基金份额类别首次确认”，下同。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交银施罗德恒益灵活配置混合型证券投资基金</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份额累计净值增长率与业绩比较基准收益率的历史走势对比图</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(2017年09月15日至2026年06月30日)</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（1）交银恒益灵活配置混合A</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5" o:spt="75" type="#_x0000_t75" style="height:268.25pt;width:439.5pt;" filled="f" o:preferrelative="t" stroked="f" coordsize="21600,21600">
            <v:path/>
            <v:fill on="f" focussize="0,0"/>
            <v:stroke on="f" joinstyle="miter"/>
            <v:imagedata r:id="rId15" o:title=""/>
            <o:lock v:ext="edit" aspectratio="t"/>
            <w10:wrap type="none"/>
            <w10:anchorlock/>
          </v:shape>
        </w:pic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（2）交银恒益灵活配置混合C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6" o:spt="75" type="#_x0000_t75" style="height:268.25pt;width:439.5pt;" filled="f" o:preferrelative="t" stroked="f" coordsize="21600,21600">
            <v:path/>
            <v:fill on="f" focussize="0,0"/>
            <v:stroke on="f" joinstyle="miter"/>
            <v:imagedata r:id="rId16"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注：1、本基金建仓期为自基金合同生效日起的6个月。截至建仓期结束，本基金各项资产配置比例符合基金合同及招募说明书有关投资比例的约定。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2、本基金自2022年1月25日起，开始销售C类份额，投资者提交的申购申请于2022年1月26日被确认并将有效份额登记在册。</w:t>
      </w:r>
    </w:p>
    <w:p>
      <w:pPr>
        <w:pStyle w:val="2"/>
        <w:snapToGrid w:val="0"/>
        <w:spacing w:before="240" w:beforeLines="0" w:after="0"/>
        <w:rPr>
          <w:rFonts w:ascii="宋体" w:hAnsi="宋体"/>
          <w:szCs w:val="30"/>
        </w:rPr>
      </w:pPr>
      <w:r>
        <w:br w:type="page"/>
      </w:r>
      <w:bookmarkStart w:id="26" w:name="_Toc256000039"/>
      <w:bookmarkStart w:id="27" w:name="_Toc256000012"/>
      <w:r>
        <w:rPr>
          <w:rFonts w:ascii="宋体" w:hAnsi="宋体"/>
          <w:sz w:val="30"/>
        </w:rPr>
        <w:t>十二、基金的财产</w:t>
      </w:r>
      <w:bookmarkEnd w:id="26"/>
      <w:bookmarkEnd w:id="2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（一）基金资产总值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基金资产总值是指基金拥有的各类有价证券、股指期货合约、银行存款本息、基金应收申购款及其他资产的价值总和。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（三）基金财产的账户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根据相关法律法规、规范性文件为本基金开立资金账户、证券账户以及投资所需的其他专用账户，协助开立股指期货业务相关账户及交易编码。开立的基金专用账户与基金管理人、基金托管人、基金销售机构和基金登记机构自有的财产账户以及其他基金财产账户相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（四）基金财产的保管和处分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pPr>
        <w:pStyle w:val="2"/>
        <w:snapToGrid w:val="0"/>
        <w:spacing w:before="240" w:beforeLines="0" w:after="0"/>
        <w:rPr>
          <w:rFonts w:ascii="宋体" w:hAnsi="宋体"/>
          <w:szCs w:val="30"/>
        </w:rPr>
      </w:pPr>
      <w:r>
        <w:br w:type="page"/>
      </w:r>
      <w:bookmarkStart w:id="28" w:name="_Toc256000013"/>
      <w:bookmarkStart w:id="29" w:name="_Toc256000040"/>
      <w:r>
        <w:rPr>
          <w:rFonts w:ascii="宋体" w:hAnsi="宋体"/>
          <w:sz w:val="30"/>
        </w:rPr>
        <w:t>十三、基金资产的估值</w:t>
      </w:r>
      <w:bookmarkEnd w:id="28"/>
      <w:bookmarkEnd w:id="2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（一）估值日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本基金的估值日为本基金相关的证券交易场所的交易日以及国家法律法规规定需要对外披露基金净值的非交易日。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（二）估值对象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基金所拥有的股票、债券、衍生工具和其它投资等持续以公允价值计量的金融资产及负债。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1、证券交易所上市的有价证券的估值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易所上市的有价证券（包括股票、权证等，另有规定的除外），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（3）交易所市场上市交易的可转换债券，按估值日收盘价减去可转换债券收盘价中所含债券应收利息后得到的净价进行估值；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（4）交易所市场挂牌转让的资产支持证券和私募债券，采用估值技术确定公允价值。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2、证券交易所发行未上市期间的有价证券应区分如下情况处理：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（1）送股、转增股、配股和公开增发的新股，按估值日在证券交易所挂牌的同一股票的估值方法估值；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（2）首次公开发行未上市的股票和权证，采用估值技术确定公允价值；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（3）首次公开发行有明确锁定期的股票，同一股票在交易所上市后，按交易所上市的同一股票的估值方法估值；非公开发行有明确锁定期的股票，按监管机构或行业协会有关规定确定公允价值；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（4）交易所市场发行未上市或未挂牌转让的债券，采用估值技术确定公允价值。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3、银行间市场上市交易的固定收益品种，选取第三方估值机构提供的相应品种当日的估值净价进行估值。银行间市场发行未上市的固定收益品种，采用估值技术确定公允价值。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4、本基金投资股指期货合约，一般以估值当日结算价进行估值，估值当日无结算价的，且最近交易日后经济环境未发生重大变化的，采用最近交易日结算价估值。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5、如有确凿证据表明按上述方法进行估值不能客观反映其公允价值的，基金管理人可根据具体情况与基金托管人商定后，按最能反映公允价值的方法估值。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6、本基金投资存托凭证的估值核算依照境内上市交易的股票执行。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7、相关法律法规以及监管部门有强制规定的，从其规定。如有新增事项，按法律法规以及监管部门最新规定估值。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（四）估值程序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1、各类基金份额的基金份额净值是按照每个工作日闭市后，该类基金份额的基金资产净值除以当日该类基金份额的余额数量计算，精确到0.0001元，小数点后第五位四舍五入。国家另有规定的，从其规定。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基金管理人于每个工作日计算各类基金份额的基金资产净值及基金份额净值，并按规定公告。如遇特殊情况，经中国证监会同意，可以适当延迟计算或公告。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应每个工作日对基金资产估值，但基金管理人根据法律法规或基金合同的规定暂停估值时除外。基金管理人每个工作日对基金资产估值后，将各类基金份额净值结果发送基金托管人，经基金托管人复核无误后，由基金管理人依据基金合同的约定和相关法律法规的规定对外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（五）估值错误的处理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基金管理人和基金托管人将采取必要、适当、合理的措施确保基金资产估值的准确性、及时性。当基金份额净值小数点后第4位以内（含第4位）发生估值错误时，视为基金份额净值错误。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一方当事人提供的信息错误，另一方当事人在采取了必要合理的措施后仍不能发现该错误，进而导致基金资产净值计算错误造成投资人或基金的损失，以及由此造成以后交易日基金资产净值计算顺延错误而引起的投资人或基金的损失，由提供错误信息的当事人一方负责赔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基金合同的当事人应按照以下约定处理：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1、估值错误类型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上述估值错误的主要类型包括但不限于：资料申报差错、数据传输差错、数据计算差错、系统故障差错、下达指令差错等。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对于因技术原因引起的差错，若系同行业现有技术水平无法预见、无法避免、无法抗拒，则属不可抗力。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2、估值错误处理原则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（2）估值错误的责任方对有关当事人的直接损失负责，不对间接损失负责，并且仅对估值错误的有关直接当事人负责，不对第三方负责。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（4）估值错误调整采用尽量恢复至假设未发生估值错误的正确情形的方式。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（5）按法律法规规定的其他原则处理估值错误。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3、估值错误处理程序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估值错误被发现后，有关的当事人应当及时进行处理，处理的程序如下：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（1）查明估值错误发生的原因，列明所有的当事人，并根据估值错误发生的原因确定估值错误的责任方；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（2）根据估值错误处理原则或当事人协商的方法对因估值错误造成的损失进行评估；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（3）根据估值错误处理原则或当事人协商的方法由估值错误的责任方进行更正和赔偿损失；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（4）根据估值错误处理的方法，需要修改基金登记机构交易数据的，由基金登记机构进行更正，并就估值错误的更正向有关当事人进行确认。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4、基金份额净值估值错误处理的方法如下：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（1）基金份额净值计算出现错误时，基金管理人应当立即予以纠正，通报基金托管人，并采取合理的措施防止损失进一步扩大。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（2）错误偏差达到基金份额净值的0.25%时，基金管理人应当通报基金托管人并报中国证监会备案；错误偏差达到基金份额净值的0.5%时，基金管理人应当公告并报中国证监会备案。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（3）前述内容如法律法规或监管机关另有规定的，从其规定处理。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（六）暂停估值的情形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1、基金投资所涉及的证券、期货交易市场遇法定节假日或因其他原因暂停营业时；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2、因不可抗力致使基金管理人、基金托管人无法准确评估基金资产价值时；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3、当特定资产占前一估值日基金资产净值50%以上的，经与基金托管人协商确认后，基金管理人应当暂停估值；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4、法律法规或中国证监会规定的和基金合同认定的其它情形。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（七）基金净值的确认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用于基金信息披露的各类基金份额的基金资产净值和基金份额净值由基金管理人负责计算，基金托管人负责进行复核。基金管理人应于每个开放日交易结束后计算当日各类基金份额的基金资产净值和基金份额净值并发送给基金托管人。基金托管人对净值计算结果复核确认后发送给基金管理人，由基金管理人依据基金合同和相关法律法规的规定对基金净值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（八）特殊情形的处理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1、基金管理人或基金托管人按估值方法的第5项进行估值时，所造成的误差不作为基金资产估值错误处理。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由于不可抗力原因，或由于证券、期货交易所、证券经纪机构、期货公司及登记结算公司发送的数据错误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（九）实施侧袋机制期间的基金资产估值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本基金实施侧袋机制的，应根据本部分的约定对主袋账户资产进行估值并披露主袋账户的基金净值信息，暂停披露侧袋账户份额净值。</w:t>
      </w:r>
    </w:p>
    <w:p>
      <w:pPr>
        <w:pStyle w:val="2"/>
        <w:snapToGrid w:val="0"/>
        <w:spacing w:before="240" w:beforeLines="0" w:after="0"/>
        <w:rPr>
          <w:rFonts w:ascii="宋体" w:hAnsi="宋体"/>
          <w:szCs w:val="30"/>
        </w:rPr>
      </w:pPr>
      <w:r>
        <w:br w:type="page"/>
      </w:r>
      <w:bookmarkStart w:id="30" w:name="_Toc256000041"/>
      <w:bookmarkStart w:id="31" w:name="_Toc256000014"/>
      <w:r>
        <w:rPr>
          <w:rFonts w:ascii="宋体" w:hAnsi="宋体"/>
          <w:sz w:val="30"/>
        </w:rPr>
        <w:t>十四、基金收益与分配</w:t>
      </w:r>
      <w:bookmarkEnd w:id="30"/>
      <w:bookmarkEnd w:id="3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（一）基金利润的构成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基金利润指基金利息收入、投资收益、公允价值变动收益和其他收入扣除相关费用后的余额，基金已实现收益指基金利润减去公允价值变动收益后的余额。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（二）基金可供分配利润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基金可供分配利润指截至收益分配基准日基金未分配利润与未分配利润中已实现收益的孰低数。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（三）基金收益分配原则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1、若《基金合同》生效不满3个月可不进行收益分配；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若某一类基金份额净值连续15个工作日超过1.2000元，且该类基金份额可供分配利润足额的情况下，本基金需对该类基金份额可供分配利润实施收益分配，且基金收益分配后的该类基金份额净值需低于1.1000元但不能低于面值；即基金收益分配基准日的该类基金份额净值减去每单位该类基金份额收益分配金额后需低于1.1000元且不能低于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收益分配方式分两种：现金分红与红利再投资，投资者可选择现金红利或将现金红利自动转为相应类别的基金份额进行再投资；若投资者不选择，本基金默认的收益分配方式是现金分红；基金份额持有人可对其持有的A类基金份额和C类基金份额分别选择不同的收益分配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4、由于本基金A类基金份额不收取销售服务费，C类基金份额收取销售服务费，各基金份额类别对应的可供分配利润将有所不同；本基金同一基金份额类别的每一基金份额享有同等分配权；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5、法律法规或监管机构另有规定的，从其规定。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（四）收益分配方案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基金收益分配方案中应载明截止收益分配基准日的可供分配利润、基金收益分配对象、分配时间、分配数额及比例、分配方式等内容。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（五）收益分配方案的确定、公告与实施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本基金收益分配方案由基金管理人拟定，并由基金托管人复核，依照《信息披露办法》的有关规定在指定媒介公告。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基金红利发放日距离收益分配基准日（即可供分配利润计算截止日）的时间不得超过15个工作日。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法律法规或监管机关另有规定的，从其规定。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（六）基金收益分配中发生的费用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时所发生的银行转账或其他手续费用由投资者自行承担。当投资者的现金红利小于一定金额，不足以支付银行转账或其他手续费用时，登记机构可将基金份额持有人的现金红利自动转为相应类别的基金份额。红利再投资的计算方法，依照《业务规则》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（七）收益分配方式的修改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投资人可至销售机构办理收益分配方式的修改，投资人对本基金不同的交易账户可设置不同的收益分配方式。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投资人同一日多次申报收益分配方式变更的，按照《业务规则》执行，最终确认的收益分配方式以登记机构记录为准。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（八）实施侧袋机制期间的收益分配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本基金实施侧袋机制的，侧袋账户不进行收益分配。</w:t>
      </w:r>
    </w:p>
    <w:p>
      <w:pPr>
        <w:pStyle w:val="2"/>
        <w:snapToGrid w:val="0"/>
        <w:spacing w:before="240" w:beforeLines="0" w:after="0"/>
        <w:rPr>
          <w:rFonts w:ascii="宋体" w:hAnsi="宋体"/>
          <w:szCs w:val="30"/>
        </w:rPr>
      </w:pPr>
      <w:r>
        <w:br w:type="page"/>
      </w:r>
      <w:bookmarkStart w:id="32" w:name="_Toc256000015"/>
      <w:bookmarkStart w:id="33" w:name="_Toc256000042"/>
      <w:r>
        <w:rPr>
          <w:rFonts w:ascii="宋体" w:hAnsi="宋体"/>
          <w:sz w:val="30"/>
        </w:rPr>
        <w:t>十五、基金的费用与税收</w:t>
      </w:r>
      <w:bookmarkEnd w:id="32"/>
      <w:bookmarkEnd w:id="3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（一）基金费用的种类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3、《基金合同》生效后与基金相关的信息披露费用；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4、《基金合同》生效后与基金相关的会计师费、律师费、仲裁费和诉讼费；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5、基金份额持有人大会费用；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6、基金的证券、期货交易费用；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7、基金的银行汇划费用；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8、基金的开户费用、账户维护费用；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9、本基金从C类基金份额的基金财产中计提的销售服务费；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10、按照国家有关规定和《基金合同》约定，可以在基金财产中列支的其他费用。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（二）基金费用计提方法、计提标准和支付方式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1、与基金运作有关的费用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本基金的管理费按前一日基金资产净值的0.6%年费率计提。管理费的计算方法如下：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H＝E×0.6%÷当年天数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基金管理费每日计提，按月支付。由基金管理人向基金托管人发送基金管理费划付指令，经基金托管人复核后于次月首日起3个工作日内从基金资产中一次性支付给基金管理人。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若遇法定节假日、休息日或不可抗力致使无法按时支付的，顺延至最近可支付日支付。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本基金的托管费按前一日基金资产净值的0.2%的年费率计提。托管费的计算方法如下：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H＝E×0.2%÷当年天数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基金托管费每日计提，按月支付。由基金管理人向基金托管人发送基金托管费划付指令，经基金托管人复核后于次月首日起3个工作日内从基金资产中一次性支付给基金托管人。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若遇法定节假日、休息日或不可抗力致使无法按时支付的，顺延至最近可支付日支付。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（3）C类基金份额的销售服务费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本基金A类基金份额不收取销售服务费，C类基金份额的销售服务费按前一日C类基金资产净值的0.1%年费率计提。计算方法如下：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H＝E×0.1%÷当年天数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H为C类基金份额每日应计提的销售服务费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E为C类基金份额前一日基金资产净值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销售服务费每日计提，按月支付。由基金管理人向基金托管人发送销售服务费划付指令，经基金托管人复核后于次月首日起5个工作日内从基金资产中一次性支付给基金管理人，由基金管理人代付给销售机构。若遇法定节假日、休息日或不可抗力致使无法按时支付的，顺延至最近可支付日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C类基金份额的销售服务费将专门用于本基金的推广、销售与基金份额持有人服务。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（4）上述“（一）基金费用的种类”中第3－8项、第10项费用，根据有关法规及相应协议规定，按费用实际支出金额列入当期费用，由基金托管人从基金财产中支付。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2、与基金销售有关的费用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（三）不列入基金费用的项目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下列费用不列入基金费用：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1、基金管理人和基金托管人因未履行或未完全履行义务导致的费用支出或基金财产的损失；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2、基金管理人和基金托管人处理与基金运作无关的事项发生的费用；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3、《基金合同》生效前的相关费用；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4、其他根据相关法律法规及中国证监会的有关规定不得列入基金费用的项目。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（四）实施侧袋机制期间的基金费用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本基金实施侧袋机制的，与侧袋账户有关的费用可以从侧袋账户中列支，但应待侧袋账户资产变现后方可列支，有关费用可酌情收取或减免，但不得收取管理费，详见招募说明书“侧袋机制”部分的规定。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（五）基金税收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本基金运作过程中涉及的各纳税主体，其纳税义务按国家税收法律、法规执行。</w:t>
      </w:r>
    </w:p>
    <w:p>
      <w:pPr>
        <w:pStyle w:val="2"/>
        <w:snapToGrid w:val="0"/>
        <w:spacing w:before="240" w:beforeLines="0" w:after="0"/>
        <w:rPr>
          <w:rFonts w:ascii="宋体" w:hAnsi="宋体"/>
          <w:szCs w:val="30"/>
        </w:rPr>
      </w:pPr>
      <w:r>
        <w:br w:type="page"/>
      </w:r>
      <w:bookmarkStart w:id="34" w:name="_Toc256000016"/>
      <w:bookmarkStart w:id="35" w:name="_Toc256000043"/>
      <w:r>
        <w:rPr>
          <w:rFonts w:ascii="宋体" w:hAnsi="宋体"/>
          <w:sz w:val="30"/>
        </w:rPr>
        <w:t>十六、基金的会计与审计</w:t>
      </w:r>
      <w:bookmarkEnd w:id="34"/>
      <w:bookmarkEnd w:id="3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（一）基金会计政策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1、基金管理人为本基金的基金会计责任方；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2、基金的会计年度为公历年度的1月1日至12月31日；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3、基金核算以人民币为记账本位币，以人民币元为记账单位；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4、会计制度执行国家有关会计制度；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5、本基金独立建账、独立核算；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6、基金管理人及基金托管人各自保留完整的会计账目、凭证并进行日常的会计核算，按照有关规定编制基金会计报表；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7、基金托管人每月与基金管理人就基金的会计核算、报表编制等进行核对并以书面方式确认。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（二）基金的年度审计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1、基金管理人聘请与基金管理人、基金托管人相互独立的具有证券、期货相关业务资格的会计师事务所及其注册会计师对本基金的年度财务报表进行审计。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2、会计师事务所更换经办注册会计师，应事先征得基金管理人同意。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3、基金管理人认为有充足理由更换会计师事务所，须通报基金托管人。更换会计师事务所需按照《信息披露办法》的有关规定在指定媒介公告。</w:t>
      </w:r>
    </w:p>
    <w:p>
      <w:pPr>
        <w:pStyle w:val="2"/>
        <w:snapToGrid w:val="0"/>
        <w:spacing w:before="240" w:beforeLines="0" w:after="0"/>
        <w:rPr>
          <w:rFonts w:ascii="宋体" w:hAnsi="宋体"/>
          <w:szCs w:val="30"/>
        </w:rPr>
      </w:pPr>
      <w:r>
        <w:br w:type="page"/>
      </w:r>
      <w:bookmarkStart w:id="36" w:name="_Toc256000017"/>
      <w:bookmarkStart w:id="37" w:name="_Toc256000044"/>
      <w:r>
        <w:rPr>
          <w:rFonts w:ascii="宋体" w:hAnsi="宋体"/>
          <w:sz w:val="30"/>
        </w:rPr>
        <w:t>十七、基金的信息披露</w:t>
      </w:r>
      <w:bookmarkEnd w:id="36"/>
      <w:bookmarkEnd w:id="3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（一）本基金的信息披露应符合《基金法》、《运作办法》、《信息披露办法》、《流动性规定》、《基金合同》及其他有关规定。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（二）信息披露义务人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本基金信息披露义务人包括基金管理人、基金托管人、召集基金份额持有人大会的基金份额持有人等法律法规和中国证监会规定的自然人、法人和非法人组织。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应当在中国证监会规定时间内，将应予披露的基金信息通过中国证监会指定的全国性报刊（以下简称“指定报刊”）及指定互联网网站（以下简称“指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（三）本基金信息披露义务人承诺公开披露的基金信息，不得有下列行为：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2、对证券投资业绩进行预测；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4、诋毁其他基金管理人、基金托管人或者基金销售机构；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5、登载任何自然人、法人和非法人组织的祝贺性、恭维性或推荐性的文字；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（四）本基金公开披露的信息应采用中文文本。如同时采用外文文本的，基金信息披露义务人应保证不同文本的内容一致。不同文本之间发生歧义的，以中文文本为准。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本基金公开披露的信息采用阿拉伯数字；除特别说明外，货币单位为人民币元。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（五）公开披露的基金信息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公开披露的基金信息包括：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1、基金招募说明书、《基金合同》、基金托管协议、基金产品资料概要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基金募集申请经中国证监会注册后，基金管理人在基金份额发售的3日前，将基金招募说明书、《基金合同》摘要登载在指定媒介上；基金管理人、基金托管人应当将《基金合同》、基金托管协议登载在网站上。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2、基金份额发售公告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基金管理人应当就基金份额发售的具体事宜编制基金份额发售公告，并在披露招募说明书的当日登载于指定媒介上。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基金管理人应当在收到中国证监会确认文件的次日在指定媒介上登载《基金合同》生效公告。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《基金合同》生效后，在开始办理基金份额申购或者赎回前，基金管理人应当至少每周在指定网站分别披露一次A类基金份额和C类基金份额所对应的基金份额净值和基金份额累计净值。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开始办理基金份额申购或者赎回后，基金管理人应当在不晚于每个开放日的次日，通过指定网站、销售机构网站或者营业网点分别披露开放日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基金管理人应当在不晚于半年度和年度最后一日的次日，在指定网站披露半年度和年度最后一日A类基金份额和C类基金份额所对应的基金份额净值和基金份额累计净值。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6、基金定期报告，包括基金年度报告、基金中期报告和基金季度报告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每年结束之日起三个月内，编制完成基金年度报告，将年度报告登载在指定网站上，并将年度报告提示性公告登载在指定报刊上。基金年度报告中的财务会计报告应当经过具有证券、期货相关业务资格的会计师事务所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基金管理人应当在上半年结束之日起两个月内，编制完成基金中期报告，将中期报告登载在指定网站上，并将中期报告提示性公告登载在指定报刊上。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基金管理人应当在季度结束之日起15个工作日内，编制完成基金季度报告，将季度报告登载在指定网站上，并将季度报告提示性公告登载在指定报刊上。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7、临时报告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本基金发生重大事件，有关信息披露义务人应当在2日内编制临时报告书，并登载在指定报刊和指定网站上。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（1）基金份额持有人大会的召开及决定的事项；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（2）《基金合同》终止、基金清算；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（3）转换基金运作方式、基金合并；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（4）更换基金管理人、基金托管人、基金份额登记机构，基金改聘会计师事务所；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（6）基金管理人、基金托管人的法定名称、住所发生变更；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（8）基金募集期延长或提前结束募集；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（11）涉及基金财产、基金管理业务、基金托管业务的诉讼或仲裁；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（14）基金收益分配事项；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（15）管理费、托管费、销售服务费、申购费、赎回费等费用计提标准、计提方式和费率发生变更；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（16）任一类基金份额净值计价错误达该类基金份额净值百分之零点五；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（17）本基金开始办理申购、赎回；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（18）本基金发生巨额赎回并延期办理；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（19）本基金连续发生巨额赎回并暂停接受赎回申请或延缓支付赎回款项；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（20）本基金暂停接受申购、赎回申请或重新接受申购、赎回申请；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（21）发生涉及基金申购、赎回事项调整或潜在影响投资者赎回等重大事项时；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（22）本基金增加或调整基金份额类别；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（23）基金信息披露义务人认为可能对基金份额持有人权益或者基金份额的价格产生重大影响的其他事项或中国证监会规定的其他事项。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8、澄清公告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9、基金份额持有人大会决议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基金份额持有人大会决定的事项，应当依法报中国证监会备案，并予以公告。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终止的，基金管理人应当依法组织清算组对基金财产进行清算并作出清算报告。清算报告应当经过具有证券、期货相关业务资格的会计师事务所审计，并由律师事务所出具法律意见书。清算组应当将清算报告登载在指定网站上，并将清算报告提示性公告登载在指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投资股指期货，基金管理人需按照法规要求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管理人应在本基金投资非公开发行股票后两个交易日内，在中国证监会指定媒介披露所投资非公开发行股票的名称、数量、总成本、账面价值，以及总成本和账面价值占基金资产净值的比例、锁定期等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14、实施侧袋机制期间的信息披露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本基金实施侧袋机制的，相关信息披露义务人应当根据法律法规、基金合同和招募说明书的规定进行信息披露，详见招募说明书“侧袋机制”部分的规定。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15、中国证监会规定的其他信息。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（六）信息披露事务管理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基金信息披露义务人公开披露基金信息，应当符合中国证监会相关基金信息披露内容与格式准则等法规规定。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应当按照相关法律法规、中国证监会的规定和《基金合同》的约定，对基金管理人编制的基金资产净值、各类基金份额净值、基金份额申购赎回价格、基金定期报告、更新的招募说明书、基金产品资料概要、基金清算报告等公开披露的相关基金信息进行复核、审查，并向基金管理人进行书面或电子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（七）信息披露文件的存放与查阅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依法必须披露的信息发布后，基金管理人、基金托管人应当按照相关法律法规规定将信息置备于各自住所，供社会公众查阅、复制。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（八）本基金信息披露事项以法律法规规定及本章节约定的内容为准。</w:t>
      </w:r>
    </w:p>
    <w:p>
      <w:pPr>
        <w:pStyle w:val="2"/>
        <w:snapToGrid w:val="0"/>
        <w:spacing w:before="240" w:beforeLines="0" w:after="0"/>
        <w:rPr>
          <w:rFonts w:ascii="宋体" w:hAnsi="宋体"/>
          <w:szCs w:val="30"/>
        </w:rPr>
      </w:pPr>
      <w:r>
        <w:br w:type="page"/>
      </w:r>
      <w:bookmarkStart w:id="38" w:name="_Toc256000045"/>
      <w:bookmarkStart w:id="39" w:name="_Toc256000018"/>
      <w:r>
        <w:rPr>
          <w:rFonts w:ascii="宋体" w:hAnsi="宋体"/>
          <w:sz w:val="30"/>
        </w:rPr>
        <w:t>十八、侧袋机制</w:t>
      </w:r>
      <w:bookmarkEnd w:id="38"/>
      <w:bookmarkEnd w:id="3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（一）侧袋机制的实施条件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基金管理人应当在启用侧袋机制后及时发布临时公告，并在五个工作日内聘请侧袋机制启用日发表意见且符合《中华人民共和国证券法》规定的会计师事务所进行审计并披露专项审计意见。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（二）实施侧袋机制期间基金份额的申购与赎回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2、实施侧袋机制期间，基金管理人不办理侧袋账户份额的申购、赎回和转换；同时，基金管理人按照基金合同和招募说明书的约定办理主袋账户份额的赎回，并根据主袋账户运作情况确定是否暂停申购。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除基金管理人应按照主袋账户的份额净值办理主袋账户份额的申购和赎回外，本招募说明书“基金份额的申购与赎回”部分的申购、赎回规定适用于主袋账户份额。巨额赎回按照单个开放日内主袋账户份额净赎回申请超过前一开放日主袋账户总份额的10%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（三）实施侧袋机制期间的基金投资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招募说明书“基金的投资”部分约定的投资组合比例、投资策略、组合限制、业绩比较基准、风险收益特征等约定仅适用于主袋账户。基金管理人计算各项投资运作指标和基金业绩指标时仅需考虑主袋账户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基金管理人原则上应当在侧袋机制启用后20个交易日内完成对主袋账户投资组合的调整，因资产流动性受限等中国证监会规定的情形除外。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基金管理人不得在侧袋账户中进行除特定资产处置变现以外的其他投资操作。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（四）实施侧袋机制期间的基金估值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本基金实施侧袋机制的，基金管理人和基金托管人应对主袋账户资产进行估值并披露主袋账户的基金净值信息，暂停披露侧袋账户份额净值。侧袋账户的会计核算应符合《企业会计准则》的相关要求。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（五）实施侧袋账户期间的基金费用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1、本基金实施侧袋机制的，管理费和托管费按主袋账户基金资产净值作为基数计提。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2、与侧袋账户有关的费用可从侧袋账户中列支，但应待侧袋账户资产变现后方可列支，有关费用可酌情收取或减免，但不得收取管理费。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（六）侧袋账户中特定资产的处置变现和支付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特定资产以可出售、可转让、恢复交易等方式恢复流动性后，基金管理人应当按照基金份额持有人利益最大化原则，采取将特定资产予以处置变现等方式，及时向侧袋账户份额持有人支付对应变现款项。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侧袋账户资产全部完成变现并终止侧袋机制后，基金管理人应及时聘请符合《中华人民共和国证券法》规定的会计师事务所进行审计并披露专项审计意见。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（七）侧袋机制的信息披露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在启用侧袋机制、处置特定资产、终止侧袋机制以及发生其他可能对投资者利益产生重大影响的事项后基金管理人应及时发布临时公告。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基金管理人应按照招募说明书“基金的信息披露”部分规定的基金净值信息披露方式和频率披露主袋账户份额的基金净值信息。实施侧袋机制期间本基金暂停披露侧袋账户份额净值和累计净值。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3、定期报告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基金管理人应当在基金定期报告中披露报告期内侧袋账户相关信息，基金定期报告中的基金会计报表仅需针对主袋账户进行编制。会计师事务所对基金年度报告进行审计时，应对报告期内基金侧袋机制运行相关的会计核算和年度报告披露等发表审计意见。</w:t>
      </w:r>
    </w:p>
    <w:p>
      <w:pPr>
        <w:pStyle w:val="2"/>
        <w:snapToGrid w:val="0"/>
        <w:spacing w:before="240" w:beforeLines="0" w:after="0"/>
        <w:rPr>
          <w:rFonts w:ascii="宋体" w:hAnsi="宋体"/>
          <w:szCs w:val="30"/>
        </w:rPr>
      </w:pPr>
      <w:r>
        <w:br w:type="page"/>
      </w:r>
      <w:bookmarkStart w:id="40" w:name="_Toc256000019"/>
      <w:bookmarkStart w:id="41" w:name="_Toc256000046"/>
      <w:r>
        <w:rPr>
          <w:rFonts w:ascii="宋体" w:hAnsi="宋体"/>
          <w:sz w:val="30"/>
        </w:rPr>
        <w:t>十九、风险揭示</w:t>
      </w:r>
      <w:bookmarkEnd w:id="40"/>
      <w:bookmarkEnd w:id="4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投资运作过程中可能面临各种风险，既包括市场风险，也包括基金自身的管理风险、技术风险和合规风险等。巨额赎回风险是开放式基金所特有的一种风险，即当单个开放日基金的净赎回申请（赎回申请份额总数加上基金转换中转出申请份额总数后扣除申购申请份额总数及基金转换中转入申请份额总数后的余额）超过前一开放日基金总份额的百分之十时，投资人将可能无法及时赎回持有的全部基金份额。基金分为股票型基金、混合型基金、债券型基金、货币市场基金等不同类型，投资人投资不同类型的基金将获得不同的收益预期，也将承担不同程度的风险。一般来说，基金的收益预期越高，投资人承担的风险也越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认真阅读《基金合同》、《招募说明书》、基金产品资料概要等基金法律文件，了解基金的风险收益特征，并根据自身的投资目的、投资期限、投资经验、资产状况等判断基金是否和投资人的风险承受能力相适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拆分、分红等行为导致基金份额净值变化，不会改变基金的风险收益特征，不会降低基金投资风险或提高基金投资收益。以1元初始面值开展基金募集或因拆分、封转开、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以诚实信用、勤勉尽责的原则管理和运用基金资产，但不保证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基金份额持有人须了解并承受以下风险：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2、经济周期风险。证券市场受宏观经济运行的影响，而经济运行具有周期性的特点，宏观经济运行状况将对证券市场的收益水平产生影响，从而对基金收益造成影响。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（二）管理风险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属于开放式基金，在基金的所有开放日，基金管理人都有义务接受投资人的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1、本基金的申购、赎回安排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开放方式运作，基金管理人在开放日办理基金份额的申购和赎回，具体办理时间为上海证券交易所、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2、投资市场、行业及资产的流动性风险评估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市场主要为证券交易所、全国银行间债券市场等流动性较好的规范型交易场所，主要投资对象为具有良好流动性的金融工具，同时本基金基于分散投资的原则在行业和个券方面未有高集中度的特征，综合评估在正常市场环境下本基金的流动性风险适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3、巨额赎回情形下的流动性风险管理措施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巨额赎回且单个基金份额持有人的赎回申请超过上一日基金总份额20%的情形下，基金管理人有权采取如下措施：对于基金份额持有人当日超过20%的赎回申请，可以对其赎回申请延期办理；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暂停赎回：连续2个开放日以上（含本数）发生巨额赎回，如基金管理人认为有必要，可暂停接受基金的赎回申请；已经接受的赎回申请可以延缓支付赎回款项，但不得超过20个工作日，并应当在指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4、实施备用的流动性风险管理工具的情形、程序及对投资者的潜在影响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本基金在面临大规模赎回的情况下有可能因为无法变现造成流动性风险。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暂停基金估值、实施侧袋机制等，作为特定情形下基金管理人流动性风险管理的辅助措施，同时基金管理人应时刻防范可能产生的流动性风险，对流动性风险进行日常监控，保护持有人的利益。当实施备用的流动性风险管理工具时，有可能无法按合同约定的时限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基金管理人将根据主袋账户运作情况合理确定申购政策, 因此实施侧袋机制后主袋账户份额存在暂停申购的可能。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启用侧袋机制后，基金管理人计算各项投资运作指标和基金业绩指标时仅需考虑主袋账户资产，基金业绩指标应当以主袋账户资产为基准，因此本基金披露的业绩指标不能反映特定资产的真实价值及变化情况。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（四）信用风险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基金在交易过程中发生交收违约，或者基金所投资债券之发行人出现违约、拒绝支付到期本息，都可能导致基金资产损失和收益变化，从而产生风险。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（五）本基金投资策略所特有的风险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（六）投资股指期货的特定风险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具体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（1）市场风险是指由于股指期货价格变动而给投资者带来的风险。市场风险是股指期货投资中最主要的风险。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（2）流动性风险是指由于股指期货合约无法及时变现所带来的风险。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（3）基差风险是指股指期货合约价格和指数价格之间的价格差的波动所造成的风险，以及不同股指期货合约价格之间价格差的波动所造成的期现价差风险。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（4）保证金风险是指由于无法及时筹措资金满足建立或者维持股指期货合约头寸所要求的保证金而带来的风险。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（5）信用风险是指期货经纪公司违约而产生损失的风险。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（6）操作风险是指由于内部流程的不完善，业务人员出现差错或者疏漏，或者系统出现故障等原因造成损失的风险。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此外，由于衍生品通常具有杠杆效应，价格波动比标的工具更为剧烈，并且其定价相当复杂，不适当的估值也有可能使基金资产面临损失风险。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（七）投资资产支持证券的特定风险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（八）投资流通受限证券的特定风险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（九）投资科创板股票的特定风险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科创板个股上市后的前五个交易日无涨跌停限制，其后涨跌幅限制为20%，科创板股票上市首日即可作为融资融券标的，可能导致较大的股票价格波动。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科创板整体投资门槛较高，二级市场上个人投资者参与度相对较低，机构持有个股大量流通盘导致个股流动性较差，基金组合存在无法及时变现及其他相关流动性风险。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（3）退市风险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科创板退市制度较主板更为严格，且不再设置暂停上市、恢复上市和重新上市环节，上市公司退市风险更大。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（4）系统性风险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科创板企业均为市场认可度较高的科技创新企业，在企业经营及盈利模式上存在趋同，所以科创板个股相关性较高，市场表现不佳时，系统性风险将更为显著。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（5）政策风险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国家对高新技术产业扶持力度及重视程度的变化会对科创板企业带来较大影响，国际经济形势变化对战略新兴产业及科创板个股也会带来政策影响。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（十）投资存托凭证的特定风险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（十一）本基金法律文件风险收益特征表述与销售机构基金风险评价可能不一致的风险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（十二）其他风险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1、因技术因素而产生的风险，如电脑系统不可靠产生的风险；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3、因人为因素而产生的风险、如内幕交易、欺诈行为等产生的风险；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4、对主要业务人员如基金经理的依赖而可能产生的风险；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5、因业务竞争压力可能产生的风险；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7、其他意外导致的风险。</w:t>
      </w:r>
    </w:p>
    <w:p>
      <w:pPr>
        <w:pStyle w:val="2"/>
        <w:snapToGrid w:val="0"/>
        <w:spacing w:before="240" w:beforeLines="0" w:after="0"/>
        <w:rPr>
          <w:rFonts w:ascii="宋体" w:hAnsi="宋体"/>
          <w:szCs w:val="30"/>
        </w:rPr>
      </w:pPr>
      <w:r>
        <w:br w:type="page"/>
      </w:r>
      <w:bookmarkStart w:id="42" w:name="_Toc256000047"/>
      <w:bookmarkStart w:id="43" w:name="_Toc256000020"/>
      <w:r>
        <w:rPr>
          <w:rFonts w:ascii="宋体" w:hAnsi="宋体"/>
          <w:sz w:val="30"/>
        </w:rPr>
        <w:t>二十、基金合同的变更、终止与基金财产的清算</w:t>
      </w:r>
      <w:bookmarkEnd w:id="42"/>
      <w:bookmarkEnd w:id="4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变更基金合同涉及法律法规规定或基金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2、关于《基金合同》变更的基金份额持有人大会决议生效后方可执行，并自表决通过之日起生效，生效后依照《信息披露办法》的规定在指定媒介公告。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3、本基金作为被合并方与其他基金进行合并的；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会计师事务所审计并由律师事务所出具法律意见书后报中国证监会备案并公告。基金财产清算公告于基金财产清算报告报中国证监会备案后5个工作日内由基金财产清算小组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基金财产清算账册及有关文件由基金托管人保存15年以上。</w:t>
      </w:r>
    </w:p>
    <w:p>
      <w:pPr>
        <w:pStyle w:val="2"/>
        <w:snapToGrid w:val="0"/>
        <w:spacing w:before="240" w:beforeLines="0" w:after="0"/>
        <w:rPr>
          <w:rFonts w:ascii="宋体" w:hAnsi="宋体"/>
          <w:szCs w:val="30"/>
        </w:rPr>
      </w:pPr>
      <w:r>
        <w:br w:type="page"/>
      </w:r>
      <w:bookmarkStart w:id="44" w:name="_Toc256000021"/>
      <w:bookmarkStart w:id="45" w:name="_Toc256000048"/>
      <w:r>
        <w:rPr>
          <w:rFonts w:ascii="宋体" w:hAnsi="宋体"/>
          <w:sz w:val="30"/>
        </w:rPr>
        <w:t>二十一、基金合同内容摘要</w:t>
      </w:r>
      <w:bookmarkEnd w:id="44"/>
      <w:bookmarkEnd w:id="4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（一）基金份额持有人、基金管理人和基金托管人的权利与义务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根据《基金法》、《运作办法》及其他有关规定，基金管理人的权利包括但不限于：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（2）自《基金合同》生效之日起，根据法律法规和《基金合同》独立运用并管理基金财产；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（3）依照《基金合同》收取基金管理费以及法律法规规定或中国证监会批准的其他费用；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（4）销售基金份额；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（5）按照规定召集基金份额持有人大会；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（6）依据《基金合同》及有关法律规定监督基金托管人，如认为基金托管人违反了《基金合同》及国家有关法律规定，应呈报中国证监会和其他监管部门，并采取必要措施保护基金投资者的利益；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（7）在基金托管人更换时，提名新的基金托管人；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（8）选择、更换基金销售机构，对基金销售机构的相关行为进行监督和处理；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（9）担任或委托其他符合条件的机构担任基金登记机构办理基金登记业务并获得《基金合同》规定的费用；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（10）依据《基金合同》及有关法律规定决定基金收益的分配方案；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（11）在《基金合同》约定的范围内，拒绝或暂停受理申购、赎回或转换申请；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（12）依照法律法规为基金的利益对被投资公司行使股东权利，为基金的利益行使因基金财产投资于证券所产生的权利；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（13）在法律法规允许的前提下，为基金的利益依法为基金进行融资；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（14）以基金管理人的名义，代表基金份额持有人的利益行使诉讼权利或者实施其他法律行为；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（15）选择、更换律师事务所、会计师事务所、证券经纪商、期货经纪机构或其他为基金提供服务的外部机构；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（16）在符合有关法律、法规的前提下，制定和调整有关基金认购、申购、赎回、转换等的业务规则；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根据《基金法》、《运作办法》及其他有关规定，基金管理人的义务包括但不限于：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（3）自《基金合同》生效之日起，以诚实信用、谨慎勤勉的原则管理和运用基金财产；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（5）建立健全内部风险控制、监察与稽核、财务管理及人事管理等制度，保证所管理的基金财产和基金管理人的财产相互独立，对所管理的不同基金分别管理，分别记账，进行证券投资；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（6）除依据《基金法》、《基金合同》及其他有关规定外，不得利用基金财产为自己及任何第三人谋取利益，不得委托第三人运作基金财产；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（7）依法接受基金托管人的监督；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（8）采取适当合理的措施使计算基金份额认购、申购、赎回和注销价格的方法符合《基金合同》等法律文件的规定，按有关规定计算并公告基金净值信息，确定基金份额申购、赎回的价格；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（11）严格按照《基金法》、《基金合同》及其他有关规定，履行信息披露及报告义务；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（12）保守基金商业秘密，不泄露基金投资计划、投资意向等。除《基金法》、《基金合同》及其他有关规定另有规定外，在基金信息公开披露前应予保密，不向他人泄露；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（13）按《基金合同》的约定确定基金收益分配方案，及时向基金份额持有人分配基金收益；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（14）按规定受理申购与赎回申请，及时、足额支付赎回款项；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（16）按规定保存基金财产管理业务活动的会计账册、报表、记录和其他相关资料15年以上；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（18）组织并参加基金财产清算小组，参与基金财产的保管、清理、估价、变现和分配；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（19）面临解散、依法被撤销或者被依法宣告破产时，及时报告中国证监会并通知基金托管人；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（20）因违反《基金合同》导致基金财产的损失或损害基金份额持有人合法权益时，应当承担赔偿责任，其赔偿责任不因其退任而免除；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（21）监督基金托管人按法律法规和《基金合同》规定履行自己的义务，基金托管人违反《基金合同》造成基金财产损失时，基金管理人应为基金份额持有人利益向基金托管人追偿；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（22）当基金管理人将其义务委托第三方处理时，应当对第三方处理有关基金事务的行为承担责任；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（23）以基金管理人名义，代表基金份额持有人利益行使诉讼权利或实施其他法律行为；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基金管理人在募集期间未能达到基金的备案条件，《基金合同》不能生效，基金管理人承担因募集行为而产生的债务和费用，将已募集资金并加计银行同期活期存款利息在基金募集期结束后30日内退还基金认购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（26）建立并保存基金份额持有人名册；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根据《基金法》、《运作办法》及其他有关规定，基金托管人的权利包括但不限于：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（1）自《基金合同》生效之日起，依法律法规和《基金合同》的规定安全保管基金财产；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（2）依《基金合同》约定获得基金托管费以及法律法规规定或监管部门批准的其他费用；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（4）根据相关市场规则，为基金开设资金账户、证券账户等投资所需账户、协助开立股指期货业务相关账户及交易编码、为基金办理证券、期货交易资金清算；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（5）提议召开或召集基金份额持有人大会；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（6）在基金管理人更换时，提名新的基金管理人；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根据《基金法》、《运作办法》及其他有关规定，基金托管人的义务包括但不限于：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（1）以诚实信用、勤勉尽责的原则持有并安全保管基金财产；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（2）设立专门的基金托管部门，具有符合要求的营业场所，配备足够的、合格的熟悉基金托管业务的专职人员，负责基金财产托管事宜；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（4）除依据《基金法》、《基金合同》及其他有关规定外，不得利用基金财产为自己及任何第三人谋取利益，不得委托第三人托管基金财产；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（5）保管由基金管理人代表基金签订的与基金有关的重大合同及有关凭证；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（6）按规定开设基金财产的资金账户和证券账户等投资所需账户，协助开立股指期货业务相关账户及交易编码，按照《基金合同》的约定，根据基金管理人的投资指令，及时办理清算、交割事宜；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（7）保守基金商业秘密，除《基金法》、《基金合同》及其他有关规定另有规定外，在基金信息公开披露前予以保密，不得向他人泄露；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（8）复核、审查基金管理人计算的基金资产净值、各类基金份额净值、基金份额申购、赎回价格；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（9）办理与基金托管业务活动有关的信息披露事项；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（11）保存基金托管业务活动的记录、账册、报表和其他相关资料15年以上；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（12）从基金管理人或其委托的登记机构处接收并保存基金份额持有人名册；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（13）按规定制作相关账册并与基金管理人核对；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（14）依据基金管理人的指令或有关规定向基金份额持有人支付基金收益和赎回款项；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（15）依据《基金法》、《基金合同》及其他有关规定，召集基金份额持有人大会或配合基金管理人、基金份额持有人依法召集基金份额持有人大会；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（16）按照法律法规和《基金合同》的规定监督基金管理人的投资运作；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（18）面临解散、依法被撤销或者被依法宣告破产时，及时报告中国证监会和银行业监督管理机构，并通知基金管理人；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（19）因违反《基金合同》导致基金财产损失时，应承担赔偿责任，其赔偿责任不因其退任而免除；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（20）按规定监督基金管理人按法律法规和《基金合同》规定履行自己的义务，基金管理人因违反《基金合同》造成基金财产损失时，应为基金份额持有人利益向基金管理人追偿；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3、基金份额持有人的权利与义务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者持有本基金基金份额的行为即视为对《基金合同》的承认和接受，基金投资者自依据《基金合同》取得本基金的基金份额，即成为本基金份额持有人和《基金合同》的当事人，直至其不再持有本基金的基金份额。基金份额持有人作为《基金合同》当事人并不以在《基金合同》上书面签章或签字为必要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同一类别的每份基金份额具有同等的合法权益。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根据《基金法》、《运作办法》及其他有关规定，基金份额持有人的权利包括但不限于：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（1）分享基金财产收益；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（2）参与分配清算后的剩余基金财产；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（3）依法并按照基金合同和招募说明书的规定申请赎回或转让其持有的基金份额；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（4）按照规定要求召开基金份额持有人大会或者召集基金份额持有人大会；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（6）查阅或者复制公开披露的基金信息资料；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（8）对基金管理人、基金托管人、基金服务机构损害其合法权益的行为依法提起诉讼或仲裁；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根据《基金法》、《运作办法》及其他有关规定，基金份额持有人的义务包括但不限于：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（1）认真阅读并遵守《基金合同》、招募说明书等信息披露文件；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（2）了解所投资基金产品，了解自身风险承受能力，自主判断基金的投资价值，自主做出投资决策，自行承担投资风险；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（3）关注基金信息披露，及时行使权利和履行义务；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（4）缴纳基金认购、申购款项及法律法规和《基金合同》所规定的费用；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（5）在其持有的基金份额范围内，承担基金亏损或者《基金合同》终止的有限责任；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（6）不从事任何有损基金及其他《基金合同》当事人合法权益的活动；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（8）返还在基金交易过程中因任何原因获得的不当得利；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（9）遵守基金管理人、基金托管人、销售机构和登记机构的相关交易及业务规则；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（10）提供基金管理人和监管机构依法要求提供的信息，以及不时的更新和补充，并保证其真实性；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（二）基金份额持有人大会召集、议事及表决的程序和规则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基金份额持有人大会由基金份额持有人组成，基金份额持有人的合法授权代表有权代表基金份额持有人出席会议并表决。基金份额持有人持有的每一基金份额拥有平等的投票权。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本基金份额持有人大会不设日常机构。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（1）当出现或需要决定下列事由之一的，应当召开基金份额持有人大会，法律法规和中国证监会另有规定的除外：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1）终止《基金合同》；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2）更换基金管理人；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3）更换基金托管人；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4）转换基金运作方式；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5）调整基金管理人、基金托管人的报酬标准或提高销售服务费率；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6）变更基金类别；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7）本基金与其他基金的合并；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8）变更基金投资目标、范围或策略；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9）变更基金份额持有人大会程序；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10）基金管理人或基金托管人要求召开基金份额持有人大会；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11）单独或合计持有本基金总份额10%以上（含10%）基金份额的基金份额持有人（以基金管理人收到提议当日的基金份额计算，下同）就同一事项书面要求召开基金份额持有人大会；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12）对基金合同当事人权利和义务产生重大影响的其他事项；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13）法律法规、《基金合同》或中国证监会规定的其他应当召开基金份额持有人大会的事项。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（2）在符合法律法规和《基金合同》规定的范围内、并且对基金份额持有人利益无实质不利影响的前提下，以下情况可由基金管理人和基金托管人协商后修改，不需召开基金份额持有人大会：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1）调低除基金管理费、基金托管费之外的其他应由本基金或基金份额持有人承担的费用；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2）法律法规要求增加的基金费用的收取；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3）调整本基金的申购费率、调低赎回费率及销售服务费率、变更或增加收费方式；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4）因相应的法律法规、登记机构的相关业务规则发生变动而应当对《基金合同》进行修改；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5）对《基金合同》的修改对基金份额持有人利益无实质性不利影响或修改不涉及《基金合同》当事人权利义务关系发生重大变化；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6）在法律法规允许的情况下，且在对现有基金份额持有人利益无实质性不利影响的前提下，基金推出新业务或服务；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7）在符合法律法规及本基金合同规定、并且对基金份额持有人利益无实质不利影响的前提下，调整本基金份额类别的设置；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8）在不违反法律法规及对基金份额持有人利益无实质性不利影响的前提下，基金管理人、登记机构、销售机构调整有关基金认购、申购、赎回、转换、非交易过户、转托管等业务的规则；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9）按照法律法规和《基金合同》规定不需召开基金份额持有人大会的其他情形。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2、会议召集人及召集方式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（1）除法律法规规定或《基金合同》另有约定外，基金份额持有人大会由基金管理人召集；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（2）基金管理人未按规定召集或不能召集时，由基金托管人召集；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（6）基金份额持有人会议的召集人负责选择确定开会时间、地点、方式和权益登记日。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3、召开基金份额持有人大会的通知时间、通知内容、通知方式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（1）召开基金份额持有人大会，召集人应于会议召开前30日，在指定媒介公告。基金份额持有人大会通知应至少载明以下内容：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1）会议召开的时间、地点和会议形式；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2）会议拟审议的事项、议事程序和表决方式；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3）有权出席基金份额持有人大会的基金份额持有人的权益登记日；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4）授权委托证明的内容要求（包括但不限于代理人身份，代理权限和代理有效期限等）、送达时间和地点；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5）会务常设联系人姓名及联系电话；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6）出席会议者必须准备的文件和必须履行的手续；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7）召集人需要通知的其他事项。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4、基金份额持有人出席会议的方式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基金份额持有人大会可通过现场开会方式、通讯开会方式或法律法规和监管机关允许的其他方式召开，会议的召开方式由会议召集人确定。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基金份额应不少于在权益登记日基金总份额的三分之一（含三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（2）通讯开会。通讯开会系指基金份额持有人将其对表决事项的投票以会议通知载明的形式在表决截止日以前送达至召集人指定的地址或系统。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在同时符合以下条件时，通讯开会的方式视为有效：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1）会议召集人按《基金合同》约定公布会议通知后，在2个工作日内连续公布相关提示性公告；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表决意见或授权他人代表出具表决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5、议事内容与程序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（1）议事内容及提案权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基金份额持有人大会的召集人发出召集会议的通知后，对原有提案的修改应当在基金份额持有人大会召开前及时公告。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基金份额持有人大会不得对未事先公告的议事内容进行表决。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（2）议事程序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现场开会的方式下，首先由大会主持人按照下列第7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或代理人作为该次基金份额持有人大会的主持人。基金管理人和基金托管人拒不出席或主持基金份额持有人大会，不影响基金份额持有人大会作出的决议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会议召集人应当制作出席会议人员的签名册。签名册载明参加会议人员姓名（或单位名称）、身份证明文件号码、持有或代表有表决权的基金份额、委托人姓名（或单位名称）和联系方式等事项。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在通讯开会的情况下，首先由召集人提前30日公布提案，在所通知的表决截止日期后2个工作日内在公证机关监督下由召集人统计全部有效表决，在公证机关监督下形成决议。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基金份额持有人所持每份基金份额有一票表决权。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基金份额持有人大会决议分为一般决议和特别决议：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就上述情形，法律法规、《基金合同》和中国证监会另有规定的除外）以特别决议通过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基金份额持有人大会采取记名方式进行投票表决。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基金份额持有人大会的各项提案或同一项提案内并列的各项议题应当分开审议、逐项表决。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2）监票人应当在基金份额持有人表决后立即进行清点并由大会主持人当场公布计票结果。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4）计票过程应由公证机关予以公证，基金管理人或基金托管人拒不出席大会的，不影响计票的效力。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8、生效与公告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基金份额持有人大会的决议，召集人应当自通过之日起5日内报中国证监会备案。基金份额持有人大会的决议自表决通过之日起生效。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基金份额持有人大会决议自生效之日起2日内在指定媒介上公告。如果采用通讯方式进行表决，在公告基金份额持有人大会决议时，必须将公证书全文、公证机构、公证员姓名等一同公告。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基金管理人、基金托管人和基金份额持有人应当执行生效的基金份额持有人大会的决议。生效的基金份额持有人大会决议对全体基金份额持有人、基金管理人、基金托管人均有约束力。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9、实施侧袋机制期间基金份额持有人大会的特殊约定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（1）基金份额持有人行使提议权、召集权、提名权所需单独或合计代表相关基金份额10%以上（含10%）；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（2）现场开会的到会者在权益登记日代表的基金份额不少于本基金在权益登记日相关基金份额的二分之一（含二分之一）；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（3）通讯开会的直接出具表决意见或授权他人代表出具表决意见的基金份额持有人所持有的基金份额不小于在权益登记日相关基金份额的二分之一（含二分之一）；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（5）现场开会由出席大会的基金份额持有人和代理人所持表决权的50%以上（含50%）选举产生一名基金份额持有人或代理人作为该次基金份额持有人大会的主持人；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（6）一般决议须经参加大会的基金份额持有人或其代理人所持表决权的二分之一以上（含二分之一）通过；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（7）特别决议应当经参加大会的基金份额持有人或其代理人所持表决权的三分之二以上（含三分之二）通过。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同一主侧袋账户内的每份基金份额具有平等的表决权。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部分对基金份额持有人大会召开事由、召开条件、议事程序、表决条件等规定，凡是直接引用法律法规或监管规则的部分，如将来法律法规或监管规则修改导致相关内容被取消或变更的，基金管理人经与基金托管人协商一致并提前公告后，可直接对本部分内容进行修改和调整，无需召开基金份额持有人大会审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（三）基金合同解除和终止的事由、程序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变更基金合同涉及法律法规规定或本基金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（2）关于《基金合同》变更的基金份额持有人大会决议生效后方可执行，并自表决通过之日起生效，生效后依照《信息披露办法》的规定在指定媒介公告。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（3）本基金作为被合并方与其他基金进行合并的；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会计师事务所审计并由律师事务所出具法律意见书后报中国证监会备案并公告。基金财产清算公告于基金财产清算报告报中国证监会备案后5个工作日内由基金财产清算小组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基金财产清算账册及有关文件由基金托管人保存15年以上。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（四）争议解决方式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各方当事人同意，因《基金合同》而产生的或与《基金合同》有关的一切争议，如经友好协商未能解决的，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争议处理期间，双方当事人应恪守基金管理人和基金托管人职责，各自继续忠实、勤勉、尽责地履行基金合同规定的义务，维护基金份额持有人的合法权益。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《基金合同》受中国法律管辖。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（五）基金合同存放地和投资者取得基金合同的方式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《基金合同》正本一式六份，除上报有关监管机构一式二份外，基金管理人、基金托管人各持有二份，每份具有同等的法律效力。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《基金合同》可印制成册，供投资者在基金管理人、基金托管人、销售机构的办公场所和营业场所查阅，但应以《基金合同》正本为准。</w:t>
      </w:r>
    </w:p>
    <w:p>
      <w:pPr>
        <w:pStyle w:val="2"/>
        <w:snapToGrid w:val="0"/>
        <w:spacing w:before="240" w:beforeLines="0" w:after="0"/>
        <w:rPr>
          <w:rFonts w:ascii="宋体" w:hAnsi="宋体"/>
          <w:szCs w:val="30"/>
        </w:rPr>
      </w:pPr>
      <w:r>
        <w:br w:type="page"/>
      </w:r>
      <w:bookmarkStart w:id="46" w:name="_Toc256000049"/>
      <w:bookmarkStart w:id="47" w:name="_Toc256000022"/>
      <w:r>
        <w:rPr>
          <w:rFonts w:ascii="宋体" w:hAnsi="宋体"/>
          <w:sz w:val="30"/>
        </w:rPr>
        <w:t>二十二、托管协议的内容摘要</w:t>
      </w:r>
      <w:bookmarkEnd w:id="46"/>
      <w:bookmarkEnd w:id="4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（一）托管协议当事人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成立日期：2005年8月4日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批准设立机关及批准设立文号：中国证监会证监基金字[2005]128号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经营范围：基金募集、基金销售、资产管理和中国证监会许可的其它业务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名称：中国农业银行股份有限公司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注册地址：北京市东城区建国门内大街69号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办公地址：北京市西城区复兴门内大街28号凯晨世贸中心东座九层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邮政编码：100031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法定代表人：谷澎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成立时间：2009年1月15日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基金托管资格批准文号：中国证监会证监基字[1998]23号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注册资本：34,998,303.4万元人民币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吸收公众存款；发放短期、中期、长期贷款；办理国内外结算；办理票据承兑与贴现；发行金融债券；代理发行、代理兑付、承销政府债券；买卖政府债券、金融债券；从事同业拆借；买卖、代理买卖外汇；结汇、售汇；从事银行卡业务；提供信用证服务及担保；代理收付款项及代理保险业务；提供保管箱服务；代理资金清算；各类汇兑业务；代理政策性银行、外国政府和国际金融机构贷款业务；贷款承诺；组织或参加银团贷款；外汇存款；外汇贷款；外汇汇款；外汇借款；发行、代理发行、买卖或代理买卖股票以外的外币有价证券；外汇票据承兑和贴现；自营、代客外汇买卖；外币兑换；外汇担保；资信调查、咨询、见证业务；企业、个人财务顾问服务；证券公司客户交易结算资金存管业务；证券投资基金托管业务；企业年金托管业务；产业投资基金托管业务；合格境外机构投资者境内证券投资托管业务；代理开放式基金业务；电话银行、手机银行、网上银行业务；金融衍生产品交易业务；经国务院银行业监督管理机构等监管部门批准的其他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（二）基金托管人对基金管理人的业务监督和核查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根据有关法律法规的规定及基金合同的约定，对基金投资范围、投资对象进行监督。基金合同明确约定基金投资风格或证券选择标准的，基金管理人应按照基金托管人要求的格式提供投资品种池和交易对手库，以便基金托管人运用相关技术系统，对基金实际投资是否符合基金合同关于证券选择标准的约定进行监督，对存在疑义的事项进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具有良好流动性的金融工具，包括国内依法发行上市的股票（含中小板、创业板及其他经中国证监会核准上市的股票、存托凭证）、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权证以及法律法规或中国证监会允许基金投资的其他金融工具（但须符合中国证监会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比例为：股票资产（含存托凭证）占基金资产的0%-95%；每个交易日日终在扣除股指期货合约需缴纳的交易保证金后，本基金保留的现金或者投资于到期日在一年以内的政府债券的比例合计不低于基金资产净值的5%，其中现金不包括结算备付金、存出保证金和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2、基金托管人根据有关法律法规的规定及基金合同的约定，对基金投资、融资比例进行监督。基金托管人按下述比例和调整期限进行监督：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（1）股票资产（含存托凭证）占基金资产的0%-95%；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（2）每个交易日日终在扣除股指期货合约需缴纳的交易保证金后，保持不低于基金资产净值5%的现金或者到期日在一年以内的政府债券，其中现金不包括结算备付金、存出保证金和应收申购款等；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（3）本基金持有一家公司发行的证券，其市值不超过基金资产净值的10%；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（4）本基金管理人管理的、且由本基金托管人托管的全部基金持有一家公司发行的证券，不超过该证券的10%；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（5）本基金持有的全部权证，其市值不得超过基金资产净值的3%；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（6）本基金管理人管理的、且由本基金托管人托管的全部基金持有的同一权证，不得超过该权证的10%；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（7）本基金在任何交易日买入权证的总金额，不得超过上一交易日基金资产净值的0.5%；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（11）本基金管理人管理的、且由本基金托管人托管的全部基金投资于同一原始权益人的各类资产支持证券，不得超过其各类资产支持证券合计规模的10%；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（14）本基金进入全国银行间同业市场进行债券回购的资金余额不得超过基金资产净值的40%，本基金在全国银行间同业市场中的债券回购最长期限为1年，债券回购到期后不得展期；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（15）本基金参与股指期货交易，则：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1）本基金在任何交易日日终，持有的买入股指期货合约价值，不得超过基金资产净值的10%；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在任何交易日日终，持有的买入期货合约价值与有价证券市值之和，不得超过基金资产净值的95%。其中，有价证券指股票、债券（不含到期日在一年以内的政府债券）、权证、资产支持证券、买入返售金融资产（不含质押式回购）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3）本基金在任何交易日日终，持有的卖出股指期货合约价值不得超过基金持有的股票总市值的20%；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（16）本基金的基金资产总值不得超过基金资产净值的140%；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（17）本基金持有的同一流通受限证券，其公允价值不得超过基金资产净值的10%；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本基金管理人管理的、且由本基金托管人托管的全部开放式基金（包括开放式基金以及处于开放期的定期开放基金）持有一家上市公司发行的可流通股票，不得超过该上市公司可流通股票的15%；本基金管理人管理的、且由本基金托管人托管的全部投资组合持有一家上市公司发行的可流通股票，不得超过该上市公司可流通股票的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（21）本基金投资存托凭证的比例限制依照境内上市交易的股票执行；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（22）法律法规及中国证监会规定的和《基金合同》约定的其他投资限制。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第（2）、（12）、（19）、（20）项以外，因证券、期货市场波动、证券发行人合并或基金规模变动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法律法规或监管部门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上述投资组合限制条款中，若属法律法规或监管部门的强制性规定，则当法律法规或监管部门取消或修改上述限制，如适用于本基金，基金管理人在履行适当程序后，本基金投资所受限制相应调整或取消。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3、基金托管人根据有关法律法规的规定及基金合同的约定，对本协议第十五条第（十一）项基金投资禁止行为进行监督。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法律法规有关基金从事的关联交易的规定，基金管理人和基金托管人应事先相互提供与本机构有控股关系的股东或与本机构有其他重大利害关系的公司名单及其更新，并以双方约定的方式提交，确保所提供的关联交易名单的真实性、完整性、全面性。基金管理人有责任保管真实、完整、全面的关联交易名单，并负责及时更新该名单。名单变更后基金管理人应及时发送基金托管人，基金托管人应及时确认已知名单的变更。如果基金托管人在运作中严格遵循了监督流程，基金管理人仍违规进行关联交易，并造成基金资产损失的，由基金管理人承担责任，基金托管人并有权向中国证监会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根据有关法律法规的规定及基金合同的约定，对基金管理人参与银行间债券市场进行监督。基金管理人应在基金投资运作之前向基金托管人提供经慎重选择的、本基金适用的银行间债券市场交易对手名单。基金托管人监督基金管理人是否按事前提供的银行间债券市场交易对手名单进行交易。基金管理人可以每半年对银行间债券市场交易对手名单进行更新，如基金管理人根据市场情况需要临时调整银行间债券市场交易对手名单，应向基金托管人说明理由，在与交易对手发生交易前2个工作日内与基金托管人协商解决。基金管理人与基金托管人完成确认后，被确认调整的名单开始生效，新名单生效前已与本次剔除的交易对手所进行但尚未结算的交易，仍应按照协议进行结算。基金管理人负责对交易对手的资信控制，按银行间债券市场的交易规则进行交易，基金托管人则根据银行间债券市场成交单对合同履行情况进行监督，但不承担交易对手不履行合同造成的损失。如基金托管人事后发现基金管理人没有按照事先约定的交易对手进行交易时，基金托管人应及时提醒基金管理人，基金托管人不承担由此造成的任何损失和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5、基金托管人根据有关法律法规的规定及基金合同的约定，对基金管理人投资银行存款进行监督。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基金投资银行存款的，基金管理人应根据法律法规的规定及基金合同的约定，建立投资制度、审慎选择存款银行，做好风险控制；并按照基金托管人的要求配合基金托管人完成相关业务办理。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托管人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如果基金管理人未经基金托管人的审核擅自将不实的业绩表现数据印制在宣传推介材料上，则基金托管人对此不承担任何责任，并将在发现后立即报告中国证监会。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7、基金托管人根据有关法律法规的规定及基金合同的约定，对基金投资流通受限证券进行监督。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（1）基金投资流通受限证券，应遵守《关于基金投资非公开发行股票等流通受限证券有关问题的通知》等有关法律法规规定。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首次投资流通受限证券之前，基金管理人应当制定相关投资决策流程、风险控制制度、流动性风险控制预案等规章制度。基金管理人应当根据基金流动性的需要合理安排流通受限证券的投资比例，并在风险控制制度中明确具体比例，避免基金出现流动性风险。上述规章制度须经基金管理人董事会批准。上述规章制度经董事会通过之后，基金管理人应当将上述规章制度以及董事会批准上述规章制度的决议提交给基金托管人。基金托管人据此监督基金管理人的流通受限证券投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（4）在投资流通受限证券之前，基金管理人应至少提前一个交易日向基金托管人提供有关流通受限证券的相关信息，具体应当包括但不限于如下文件（如有）：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拟发行数量、定价依据、监管机构的批准证明文件复印件、基金管理人与承销商签订的销售协议复印件、缴款通知书、基金拟认购的数量、价格、总成本、划款账号、划款金额、划款时间文件等。基金管理人应保证上述信息的真实、完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在监督基金管理人投资流通受限证券的过程中，如认为因市场出现剧烈变化导致基金管理人的具体投资行为可能对基金财产造成较大风险，基金托管人有权要求基金管理人对该风险的消除或防范措施进行补充和整改，并做出书面说明。否则，基金托管人经事先书面告知基金管理人，有权拒绝执行其有关指令。因拒绝执行该指令造成基金财产损失的，基金托管人不承担任何责任，并有权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应保证基金投资的流通受限证券登记存管在本基金名下，并保证基金托管人能够正常查询。因基金管理人原因产生的流通受限证券登记存管问题，造成基金财产的损失或基金托管人无法安全保管基金财产的责任与损失，由基金管理人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如果基金管理人未按照本协议的约定向基金托管人报送相关数据或者报送了虚假的数据，导致基金托管人不能履行托管人职责的，基金管理人应依法承担相应法律后果。除基金托管人未能依据法律法规、基金合同及本协议履行职责外，因投资流通受限证券产生的损失，基金托管人按照本协议履行监督职责后不承担上述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托管人发现基金管理人的上述事项及投资指令或实际投资运作中违反法律法规和基金合同的规定，应及时以书面形式通知基金管理人限期纠正。基金管理人应积极配合和协助基金托管人的监督和核查。基金管理人收到通知后应在下一工作日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基金托管人发现基金管理人依据交易程序已经生效的投资指令违反法律、行政法规和其他有关规定，或者违反基金合同约定的，应当立即通知基金管理人，并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规要求需向中国证监会报送基金监督报告的事项，基金管理人应积极配合提供相关数据资料和制度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托管人发现基金管理人有重大违规行为，应及时报告中国证监会，同时通知基金管理人限期纠正，并将纠正结果报告中国证监会。基金管理人无正当理由，拒绝、阻挠对方根据本协议规定行使监督权，或采取拖延、欺诈等手段妨碍对方进行有效监督，情节严重或经基金托管人提出警告仍不改正的，基金托管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（三）基金管理人对基金托管人的业务核查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对基金托管人履行托管职责情况进行核查，核查事项包括基金托管人安全保管基金财产、开设基金财产的资金账户、证券账户等投资所需账户、协助开立股指期货业务相关账户及交易编码、复核基金管理人计算的基金资产净值和各类基金份额净值、根据基金管理人指令办理清算交收、相关信息披露和监督基金投资运作等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在下一工作日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发现基金托管人有重大违规行为，应及时报告中国证监会，同时通知基金托管人限期纠正，并将纠正结果报告中国证监会。基金托管人无正当理由，拒绝、阻挠对方根据本协议规定行使监督权，或采取拖延、欺诈等手段妨碍对方进行有效监督，情节严重或经基金管理人提出警告仍不改正的，基金管理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（四）基金财产保管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1、基金财产保管的原则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（1）基金财产应独立于基金管理人、基金托管人的固有财产。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（2）基金托管人应安全保管基金财产。未经基金管理人依据合法程序作出的合法合规指令，基金托管人不得自行运用、处分、分配基金的任何财产。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（3）基金托管人按照规定开设基金财产的资金账户、证券账户等投资所需账户、协助开立股指期货业务相关账户及交易编码。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（4）基金托管人对所托管的不同基金财产分别设置账户，与基金托管人的其他业务和其他基金的托管业务实行严格的分账管理，确保基金财产的完整与独立。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（5）基金托管人根据基金管理人的指令，按照基金合同和本协议的约定保管基金财产，如有特殊情况双方可另行协商解决。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对于因为基金申购、投资产生的应收资产，应由基金管理人负责与有关当事人确定到账日期并通知基金托管人，到账日基金财产没有到达基金账户的，基金托管人应及时通知基金管理人采取措施进行催收。由此给基金财产造成损失的，基金托管人对此不承担任何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（7）除依据法律法规和基金合同的规定外，基金托管人不得委托第三人托管基金财产。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2、基金募集期间及募集资金的验资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（1）基金募集期间的认购款项应存于专用账户。该账户由基金管理人或基金管理人委托的登记机构开立并管理。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募集期满或基金停止募集时，募集的基金份额总额、基金募集金额、基金份额持有人人数符合《基金法》、《运作办法》等有关规定后，基金管理人应将募集到的属于基金财产的全部资金划入基金托管人为本基金开立的基金托管资金账户，同时在规定时间内，聘请具有从事证券相关业务资格的会计师事务所进行验资，出具验资报告。出具的验资报告由参加验资的2名或2名以上中国注册会计师签字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（3）若基金募集期限届满，未能达到基金备案的条件，由基金管理人按规定办理退款等事宜，基金托管人应提供充分协助。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3、基金资金账户的开立和管理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（1）基金托管人应负责本基金的资金账户的开设和管理。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应以本基金的名义在其营业机构开设本基金的资金账户，并根据基金管理人合法合规的指令办理资金收付。本基金的银行预留印鉴由基金托管人保管和使用。本基金的一切货币收支活动，包括但不限于投资、支付赎回金额、支付基金收益、收取申购款，均需通过本基金的资金账户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（3）基金托管资金账户的开立和使用，限于满足开展本基金业务的需要。基金托管人和基金管理人不得假借本基金的名义开立任何其他银行账户；亦不得使用基金的任何账户进行本基金业务以外的活动。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（4）基金托管资金账户的开立和管理应符合相关法律法规的有关规定。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（5）在符合法律法规规定的条件下，基金托管人可以通过基金托管人专用账户办理基金资产的支付。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4、基金证券账户和结算备付金账户的开立和管理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（1）基金托管人在中国证券登记结算有限责任公司上海分公司、深圳分公司为本基金开立基金托管人与基金联名的证券账户。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（2）基金证券账户的开立和使用，限于满足开展本基金业务的需要。基金托管人和基金管理人不得出借或未经对方同意擅自转让基金的任何证券账户，亦不得使用基金的任何账户进行本基金业务以外的活动。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以自身法人名义在中国证券登记结算有限责任公司开立结算备付金账户，并代表所托管的基金完成与中国证券登记结算有限责任公司的一级法人清算工作，基金管理人应予以积极协助。结算备付金的收取按照中国证券登记结算有限责任公司的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（4）基金证券账户的开立和证券账户卡的保管由基金托管人负责，账户资产的管理和运用由基金管理人负责。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本托管协议生效日之后，本基金被允许从事其他投资品种的投资业务，涉及相关账户的开设、使用的，按有关规定开设、使用并管理；若无相关规定，则基金托管人应当比照并遵守上述关于账户开设、使用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5、债券托管专户的开设和管理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基金托管人根据中国人民银行、中央国债登记结算有限责任公司的有关规定，以本基金的名义在中央国债登记结算有限责任公司、银行间市场清算所股份有限公司开立债券托管与结算账户，并代表基金进行银行间市场债券的结算。基金管理人和基金托管人同时代表基金签订全国银行间债券市场债券回购主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6、其他账户的开立和管理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（1）因业务发展需要而开立的其他账户，可以根据法律法规和基金合同的规定，在基金管理人和基金托管人商议后开立。新账户按有关规则使用并管理。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（2）法律法规等有关规定对相关账户的开立和管理另有规定的，从其规定办理。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7、基金财产投资的有关有价凭证等的保管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投资的有关实物证券、银行定期存款存单等有价凭证由基金托管人负责妥善保管，保管凭证由基金托管人持有。实物证券的购买和转让，由基金托管人根据基金管理人的指令办理。属于基金托管人实际有效控制下的实物证券在基金托管人保管期间的损坏、灭失，由此产生的责任应由基金托管人承担。基金托管人对基金托管人以外机构实际有效控制的证券不承担保管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8、与基金财产有关的重大合同的保管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基金管理人代表基金签署的、与基金有关的重大合同的原件分别由基金管理人、基金托管人保管。除协议另有规定外，基金管理人在代表基金签署与基金有关的重大合同时应保证基金一方持有两份以上的正本，以便基金管理人和基金托管人至少各持有一份正本的原件。重大合同的保管期限为基金合同终止后15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（五）基金资产净值计算与复核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各类基金份额的基金份额净值是指计算日该类基金份额的基金资产净值除以计算日该类基金份额总数后得到的数值。各类基金份额的基金份额净值的计算，均精确到0.0001元，小数点后第五位四舍五入，由此产生的误差计入基金财产。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基金管理人于每工作日计算各类基金份额的基金资产净值及基金份额净值，并按规定公告，如遇特殊情况，经中国证监会同意，可以适当延迟计算或公告。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2、复核程序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每工作日对基金资产进行估值后，将各类基金份额净值结果发送基金托管人，经基金托管人复核无误后，由基金管理人依据基金合同和相关法律法规的规定对外公布。月末、年中和年末估值复核与基金会计账目的核对同时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（六）基金份额持有人名册的登记与保管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基金管理人和基金托管人须分别妥善保管的基金份额持有人名册，包括基金合同生效日、基金合同终止日、基金权益登记日、基金份额持有人大会权益登记日、每年6月30日、12月31日的基金份额持有人名册。基金份额持有人名册的内容至少应包括持有人的名称和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名册由登记机构编制，由基金管理人审核并提交基金托管人保管。基金托管人有权要求基金管理人提供任意一个交易日或全部交易日的基金份额持有人名册，基金管理人应及时提供，不得拖延或拒绝提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及时向基金托管人提交基金份额持有人名册。每年6月30日和12月31日的基金份额持有人名册应于下月前十个工作日内提交；基金合同生效日、基金合同终止日等涉及到基金重要事项日期的基金份额持有人名册应于发生日后十个工作日内提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应妥善保管基金份额持有人名册，保存期限为15年。基金托管人不得将所保管的基金份额持有人名册用于基金托管业务以外的其他用途，并应遵守保密义务。若基金管理人或基金托管人由于自身原因无法妥善保管基金份额持有人名册，应按有关法规规定各自承担相应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（七）争议解决方式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本协议产生或与之相关的争议，双方当事人应通过协商、调解解决，协商、调解不能解决的，任何一方均有权将争议提交中国国际经济贸易仲裁委员会，仲裁地点为北京市，按照中国国际经济贸易仲裁委员会届时有效的仲裁规则进行仲裁。仲裁裁决是终局的，对当事人均有约束力，除非仲裁裁决另有规定，仲裁费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争议处理期间，双方当事人应恪守基金管理人和基金托管人职责，各自继续忠实、勤勉、尽责地履行基金合同和本托管协议规定的义务，维护基金份额持有人的合法权益。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本协议适用中华人民共和国法律并从其解释。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（八）托管协议的变更与终止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1、托管协议的变更程序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本协议双方当事人经协商一致，可以对协议进行修改。修改后的新协议，其内容不得与基金合同的规定有任何冲突。基金托管协议的变更应报中国证监会备案。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2、基金托管协议终止的情形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（2）基金托管人解散、依法被撤销、破产或由其他基金托管人接管基金资产；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（3）基金管理人解散、依法被撤销、破产或由其他基金管理人接管基金管理权；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（4）发生法律法规、中国证监会或基金合同规定的其他终止事项。</w:t>
      </w:r>
    </w:p>
    <w:p>
      <w:pPr>
        <w:pStyle w:val="2"/>
        <w:snapToGrid w:val="0"/>
        <w:spacing w:before="240" w:beforeLines="0" w:after="0"/>
        <w:rPr>
          <w:rFonts w:ascii="宋体" w:hAnsi="宋体"/>
          <w:szCs w:val="30"/>
        </w:rPr>
      </w:pPr>
      <w:r>
        <w:br w:type="page"/>
      </w:r>
      <w:bookmarkStart w:id="48" w:name="_Toc256000050"/>
      <w:bookmarkStart w:id="49" w:name="_Toc256000023"/>
      <w:r>
        <w:rPr>
          <w:rFonts w:ascii="宋体" w:hAnsi="宋体"/>
          <w:sz w:val="30"/>
        </w:rPr>
        <w:t>二十三、对基金份额持有人的服务</w:t>
      </w:r>
      <w:bookmarkEnd w:id="48"/>
      <w:bookmarkEnd w:id="4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基金管理人承诺为基金份额持有人提供一系列的服务。基金管理人根据基金份额持有人的需要和市场的变化，有权增加或变更服务项目。主要服务内容如下：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（一）持有人交易资料的寄送服务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1、基金合同生效后的每次交易结束后，投资人可在T+2个工作日后通过销售机构的网点查询和打印确认单；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（二）网上直销服务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已开通基金网上直销服务，个人投资者可以直接通过本基金管理人的网上直销交易平台办理开户和本基金的申购、赎回、转换、定期定额投资等业务。通过网上直销交易平台办理本基金申购和定期定额投资业务的个人投资者将享受申购费率的优惠，其他费率标准不变。具体优惠费率请参见公司网站列示的网上直销交易平台申购、定期定额投资费率表或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基金网上直销交易平台已开通的银行卡及各银行卡交易金额限额请参阅本基金管理人网站。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在条件成熟的时候，本基金管理人将根据基金网上直销业务的发展状况，适时调整可用于网上直销交易平台的银行卡种类，敬请投资人留意相关公告。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（三）信息咨询、查询服务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如果想查询申购和赎回等交易情况、分红方式状态、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为投资人预设基金查询密码，预设的基金查询密码为投资人开户证件号码的后6位数字，不足6位数字的，前面加“0”补足。基金查询密码用于投资人通过客户服务电话查询基金账户下的账户和交易信息。投资人请在其知晓基金账号后，及时拨打本基金管理人客户服务电话修改基金查询密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投资人可以拨打本基金管理人客户服务电话投诉直销机构的人员和服务。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（四）基金转换业务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本基金已开通转换业务，具体实施方法请参见相关公告。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本基金已开通定期定额投资计划，具体实施方法请参见相关公告。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服务联系方式：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本基金管理人的互联网地址及电子信箱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电子信箱：services@jysld.com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投资者也可登录本基金管理人网站，直接提出有关本基金的问题和建议。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（六）如本招募说明书存在任何您/贵机构无法理解的内容，请通过上述方式联系基金管理人。请确保投资前，您/贵机构已经全面理解了本招募说明书。</w:t>
      </w:r>
    </w:p>
    <w:p>
      <w:pPr>
        <w:pStyle w:val="2"/>
        <w:snapToGrid w:val="0"/>
        <w:spacing w:before="240" w:beforeLines="0" w:after="0"/>
        <w:rPr>
          <w:rFonts w:ascii="宋体" w:hAnsi="宋体"/>
          <w:szCs w:val="30"/>
        </w:rPr>
      </w:pPr>
      <w:r>
        <w:br w:type="page"/>
      </w:r>
      <w:bookmarkStart w:id="50" w:name="_Toc256000051"/>
      <w:bookmarkStart w:id="51" w:name="_Toc256000024"/>
      <w:r>
        <w:rPr>
          <w:rFonts w:ascii="宋体" w:hAnsi="宋体"/>
          <w:sz w:val="30"/>
        </w:rPr>
        <w:t>二十四、其他应披露事项</w:t>
      </w:r>
      <w:bookmarkEnd w:id="50"/>
      <w:bookmarkEnd w:id="5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基金合同如有未尽事宜，由基金合同当事人各方按有关法律法规协商解决。</w:t>
      </w:r>
    </w:p>
    <w:tbl>
      <w:tblPr>
        <w:tblStyle w:val="14"/>
        <w:tblW w:w="5000" w:type="pct"/>
        <w:tblInd w:w="0" w:type="dxa"/>
        <w:tblLayout w:type="fixed"/>
        <w:tblCellMar>
          <w:top w:w="0" w:type="dxa"/>
          <w:left w:w="0" w:type="dxa"/>
          <w:bottom w:w="0" w:type="dxa"/>
          <w:right w:w="0" w:type="dxa"/>
        </w:tblCellMar>
      </w:tblPr>
      <w:tblGrid>
        <w:gridCol w:w="605"/>
        <w:gridCol w:w="3629"/>
        <w:gridCol w:w="2823"/>
        <w:gridCol w:w="1613"/>
      </w:tblGrid>
      <w:tr>
        <w:tblPrEx>
          <w:tblCellMar>
            <w:top w:w="0" w:type="dxa"/>
            <w:left w:w="0" w:type="dxa"/>
            <w:bottom w:w="0" w:type="dxa"/>
            <w:right w:w="0" w:type="dxa"/>
          </w:tblCellMar>
        </w:tblPrEx>
        <w:trPr>
          <w:cantSplit/>
          <w:trHeight w:val="375" w:hRule="atLeast"/>
        </w:trPr>
        <w:tc>
          <w:tcPr>
            <w:tcW w:w="30"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披露日期</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交银施罗德恒益灵活配置混合型证券投资基金（C类份额）基金产品资料概要更新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交银施罗德恒益灵活配置混合型证券投资基金招募说明书更新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交银施罗德恒益灵活配置混合型证券投资基金（A类份额）基金产品资料概要更新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交银施罗德恒益灵活配置混合型证券投资基金2025年第3季度报告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交银施罗德基金管理有限公司关于暂停旗下基金在中国农业银行股份有限公司办理定期定额赎回业务的公告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2025-12-15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交银施罗德恒益灵活配置混合型证券投资基金2025年第4季度报告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2026-01-21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交银施罗德基金管理有限公司关于交银施罗德恒益灵活配置混合型证券投资基金暂停及恢复大额申购（转换转入、定期定额投资）业务的公告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2026-02-02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交银施罗德基金管理有限公司关于交银施罗德恒益灵活配置混合型证券投资基金分红公告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2026-02-04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交银施罗德恒益灵活配置混合型证券投资基金2025年年度报告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交银施罗德恒益灵活配置混合型证券投资基金2026年第1季度报告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2026-04-21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交银施罗德基金管理有限公司关于终止中证金牛（北京）基金销售有限公司办理相关销售业务的公告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2026-06-06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交银施罗德基金管理有限公司关于终止中证金牛（北京）基金销售有限公司办理相关销售业务的公告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2026-06-06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2026-06-13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交银施罗德恒益灵活配置混合型证券投资基金2026年第2季度报告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2026-07-20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交银施罗德恒益灵活配置混合型证券投资基金2026年中期报告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2026-08-31</w:t>
            </w:r>
          </w:p>
        </w:tc>
      </w:tr>
    </w:tbl>
    <w:p>
      <w:pPr>
        <w:pStyle w:val="2"/>
        <w:snapToGrid w:val="0"/>
        <w:spacing w:before="240" w:beforeLines="0" w:after="0"/>
        <w:rPr>
          <w:rFonts w:ascii="宋体" w:hAnsi="宋体"/>
          <w:szCs w:val="30"/>
        </w:rPr>
      </w:pPr>
      <w:r>
        <w:br w:type="page"/>
      </w:r>
      <w:bookmarkStart w:id="52" w:name="_Toc256000052"/>
      <w:bookmarkStart w:id="53" w:name="_Toc256000025"/>
      <w:r>
        <w:rPr>
          <w:rFonts w:ascii="宋体" w:hAnsi="宋体"/>
          <w:sz w:val="30"/>
        </w:rPr>
        <w:t>二十五、招募说明书的存放及查阅方式</w:t>
      </w:r>
      <w:bookmarkEnd w:id="52"/>
      <w:bookmarkEnd w:id="5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募说明书存放在基金管理人、基金托管人和基金销售机构的办公场所，投资人可在办公时间查阅；投资人在支付工本费后，可在合理时间内取得上述文件复制件或复印件。对投资人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投资人还可以直接登录基金管理人的网站（www.fund001.com）查阅和下载招募说明书。</w:t>
      </w:r>
    </w:p>
    <w:p>
      <w:pPr>
        <w:pStyle w:val="2"/>
        <w:snapToGrid w:val="0"/>
        <w:spacing w:before="240" w:beforeLines="0" w:after="0"/>
        <w:rPr>
          <w:rFonts w:ascii="宋体" w:hAnsi="宋体"/>
          <w:szCs w:val="30"/>
        </w:rPr>
      </w:pPr>
      <w:r>
        <w:br w:type="page"/>
      </w:r>
      <w:bookmarkStart w:id="54" w:name="_Toc256000053"/>
      <w:bookmarkStart w:id="55" w:name="_Toc256000026"/>
      <w:r>
        <w:rPr>
          <w:rFonts w:ascii="宋体" w:hAnsi="宋体"/>
          <w:sz w:val="30"/>
        </w:rPr>
        <w:t>二十六、备查文件</w:t>
      </w:r>
      <w:bookmarkEnd w:id="54"/>
      <w:bookmarkEnd w:id="5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以下备查文件存放在基金管理人的办公场所，在办公时间可供免费查阅。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（一）中国证监会准予交银施罗德恒益灵活配置混合型证券投资基金募集注册的文件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（二）《交银施罗德恒益灵活配置混合型证券投资基金基金合同》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（三）《交银施罗德恒益灵活配置混合型证券投资基金托管协议》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（四）基金管理人业务资格批件、营业执照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（五）基金托管人业务资格批件、营业执照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（六）关于申请募集注册交银施罗德恒益灵活配置混合型证券投资基金的法律意见书</w:t>
      </w:r>
    </w:p>
    <w:sectPr>
      <w:footerReference r:id="rId13" w:type="default"/>
      <w:pgSz w:w="11920" w:h="16840"/>
      <w:pgMar w:top="1360" w:right="1580" w:bottom="280" w:left="1680" w:header="0" w:footer="118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49" o:spid="_x0000_s2049" o:spt="202" type="#_x0000_t202" style="position:absolute;left:0pt;margin-left:293.4pt;margin-top:782.6pt;height:11pt;width:21.6pt;mso-position-horizontal-relative:page;mso-position-vertical-relative:page;z-index:-251657216;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2</w:t>
                </w:r>
                <w:r>
                  <w:rPr>
                    <w:rFonts w:ascii="Times New Roman" w:hAnsi="Times New Roman"/>
                    <w:kern w:val="0"/>
                    <w:sz w:val="18"/>
                    <w:szCs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0" o:spid="_x0000_s2050" o:spt="202" type="#_x0000_t202" style="position:absolute;left:0pt;margin-left:291.25pt;margin-top:773.85pt;height:11pt;width:33.5pt;mso-position-horizontal-relative:page;mso-position-vertical-relative:page;z-index:-251656192;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3</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1" o:spid="_x0000_s2051" o:spt="202" type="#_x0000_t202" style="position:absolute;left:0pt;margin-left:291.25pt;margin-top:773.85pt;height:11pt;width:33.5pt;mso-position-horizontal-relative:page;mso-position-vertical-relative:page;z-index:-251655168;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156</w:t>
                </w:r>
                <w:r>
                  <w:rPr>
                    <w:rFonts w:ascii="Times New Roman" w:hAnsi="Times New Roman"/>
                    <w:kern w:val="0"/>
                    <w:sz w:val="18"/>
                    <w:szCs w:val="18"/>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napToGrid w:val="0"/>
      <w:spacing w:before="0" w:after="0"/>
      <w:ind w:left="0" w:right="0" w:firstLine="0"/>
      <w:jc w:val="right"/>
      <w:rPr>
        <w:rFonts w:hint="eastAsia" w:ascii="宋体" w:hAnsi="宋体"/>
      </w:rPr>
    </w:pPr>
    <w:r>
      <w:rPr>
        <w:rFonts w:hint="eastAsia" w:ascii="宋体" w:hAnsi="宋体"/>
      </w:rPr>
      <w:t>交银施罗德恒益灵活配置混合型证券投资基金招募说明书（更新）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hint="eastAsia"/>
      </w:rPr>
    </w:pPr>
  </w:p>
  <w:p>
    <w:pPr>
      <w:pStyle w:val="9"/>
      <w:jc w:val="right"/>
      <w:rPr>
        <w:rFonts w:hint="eastAsia"/>
      </w:rPr>
    </w:pPr>
  </w:p>
  <w:p>
    <w:pPr>
      <w:pStyle w:val="9"/>
      <w:snapToGrid w:val="0"/>
      <w:spacing w:before="0" w:after="0"/>
      <w:ind w:left="0" w:right="0" w:firstLine="0"/>
      <w:jc w:val="right"/>
      <w:rPr>
        <w:rFonts w:hint="eastAsia" w:ascii="宋体" w:hAnsi="宋体"/>
      </w:rPr>
    </w:pPr>
    <w:r>
      <w:rPr>
        <w:rFonts w:hint="eastAsia" w:ascii="宋体" w:hAnsi="宋体"/>
      </w:rPr>
      <w:t>交银施罗德恒益灵活配置混合型证券投资基金招募说明书（更新）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7D73EE"/>
    <w:multiLevelType w:val="multilevel"/>
    <w:tmpl w:val="547D73EE"/>
    <w:lvl w:ilvl="0" w:tentative="0">
      <w:start w:val="1"/>
      <w:numFmt w:val="decimal"/>
      <w:pStyle w:val="25"/>
      <w:suff w:val="space"/>
      <w:lvlText w:val="§%1"/>
      <w:lvlJc w:val="left"/>
      <w:pPr>
        <w:ind w:left="425" w:hanging="425"/>
      </w:pPr>
      <w:rPr>
        <w:rFonts w:hint="eastAsia"/>
      </w:rPr>
    </w:lvl>
    <w:lvl w:ilvl="1" w:tentative="0">
      <w:start w:val="1"/>
      <w:numFmt w:val="decimal"/>
      <w:pStyle w:val="26"/>
      <w:suff w:val="space"/>
      <w:lvlText w:val="%1.%2"/>
      <w:lvlJc w:val="left"/>
      <w:pPr>
        <w:ind w:left="738" w:hanging="454"/>
      </w:pPr>
      <w:rPr>
        <w:rFonts w:hint="eastAsia"/>
      </w:rPr>
    </w:lvl>
    <w:lvl w:ilvl="2" w:tentative="0">
      <w:start w:val="1"/>
      <w:numFmt w:val="decimal"/>
      <w:pStyle w:val="27"/>
      <w:suff w:val="space"/>
      <w:lvlText w:val="%1.%2.%3"/>
      <w:lvlJc w:val="left"/>
      <w:pPr>
        <w:ind w:left="624" w:hanging="624"/>
      </w:pPr>
    </w:lvl>
    <w:lvl w:ilvl="3" w:tentative="0">
      <w:start w:val="1"/>
      <w:numFmt w:val="decimal"/>
      <w:pStyle w:val="29"/>
      <w:suff w:val="space"/>
      <w:lvlText w:val="%1.%2.%3.%4"/>
      <w:lvlJc w:val="left"/>
      <w:pPr>
        <w:ind w:left="794" w:hanging="794"/>
      </w:pPr>
      <w:rPr>
        <w:rFonts w:hint="eastAsia"/>
      </w:rPr>
    </w:lvl>
    <w:lvl w:ilvl="4" w:tentative="0">
      <w:start w:val="1"/>
      <w:numFmt w:val="decimal"/>
      <w:pStyle w:val="28"/>
      <w:suff w:val="space"/>
      <w:lvlText w:val="%1.%2.%3.%4.%5"/>
      <w:lvlJc w:val="left"/>
      <w:pPr>
        <w:ind w:left="1021" w:hanging="1021"/>
      </w:pPr>
      <w:rPr>
        <w:rFonts w:hint="eastAsia"/>
      </w:rPr>
    </w:lvl>
    <w:lvl w:ilvl="5" w:tentative="0">
      <w:start w:val="1"/>
      <w:numFmt w:val="decimal"/>
      <w:pStyle w:val="21"/>
      <w:suff w:val="space"/>
      <w:lvlText w:val="%1.%2.%3.%4.%5.%6"/>
      <w:lvlJc w:val="left"/>
      <w:pPr>
        <w:ind w:left="1021" w:hanging="1021"/>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drawingGridHorizontalSpacing w:val="105"/>
  <w:drawingGridVerticalSpacing w:val="120"/>
  <w:displayHorizontalDrawingGridEvery w:val="0"/>
  <w:displayVerticalDrawingGridEvery w:val="3"/>
  <w:doNotShadeFormData w:val="1"/>
  <w:characterSpacingControl w:val="doNotCompress"/>
  <w:doNotValidateAgainstSchema/>
  <w:doNotDemarcateInvalidXml/>
  <w:hdrShapeDefaults>
    <o:shapelayout v:ext="edit">
      <o:idmap v:ext="edit" data="2"/>
    </o:shapelayout>
  </w:hdrShapeDefault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FFA39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styleId="2">
    <w:name w:val="heading 1"/>
    <w:basedOn w:val="1"/>
    <w:next w:val="1"/>
    <w:link w:val="40"/>
    <w:qFormat/>
    <w:uiPriority w:val="9"/>
    <w:pPr>
      <w:keepNext/>
      <w:keepLines/>
      <w:spacing w:before="100" w:beforeLines="100" w:after="100" w:afterLines="100" w:line="360" w:lineRule="auto"/>
      <w:jc w:val="center"/>
      <w:outlineLvl w:val="0"/>
    </w:pPr>
    <w:rPr>
      <w:b/>
      <w:bCs/>
      <w:kern w:val="44"/>
      <w:sz w:val="28"/>
      <w:szCs w:val="44"/>
    </w:rPr>
  </w:style>
  <w:style w:type="paragraph" w:styleId="3">
    <w:name w:val="heading 2"/>
    <w:basedOn w:val="1"/>
    <w:next w:val="1"/>
    <w:link w:val="38"/>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link w:val="39"/>
    <w:unhideWhenUsed/>
    <w:qFormat/>
    <w:uiPriority w:val="9"/>
    <w:pPr>
      <w:keepNext/>
      <w:keepLines/>
      <w:spacing w:before="280" w:after="290" w:line="376" w:lineRule="auto"/>
      <w:outlineLvl w:val="3"/>
    </w:pPr>
    <w:rPr>
      <w:rFonts w:ascii="Cambria" w:hAnsi="Cambria"/>
      <w:b/>
      <w:bCs/>
      <w:sz w:val="28"/>
      <w:szCs w:val="28"/>
    </w:rPr>
  </w:style>
  <w:style w:type="character" w:default="1" w:styleId="17">
    <w:name w:val="Default Paragraph Font"/>
    <w:unhideWhenUsed/>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5">
    <w:name w:val="Document Map"/>
    <w:basedOn w:val="1"/>
    <w:link w:val="36"/>
    <w:unhideWhenUsed/>
    <w:qFormat/>
    <w:uiPriority w:val="99"/>
    <w:rPr>
      <w:rFonts w:ascii="宋体"/>
      <w:sz w:val="18"/>
      <w:szCs w:val="18"/>
    </w:rPr>
  </w:style>
  <w:style w:type="paragraph" w:styleId="6">
    <w:name w:val="annotation text"/>
    <w:basedOn w:val="1"/>
    <w:link w:val="32"/>
    <w:unhideWhenUsed/>
    <w:uiPriority w:val="0"/>
    <w:pPr>
      <w:jc w:val="left"/>
    </w:pPr>
  </w:style>
  <w:style w:type="paragraph" w:styleId="7">
    <w:name w:val="Balloon Text"/>
    <w:basedOn w:val="1"/>
    <w:semiHidden/>
    <w:qFormat/>
    <w:uiPriority w:val="0"/>
    <w:rPr>
      <w:sz w:val="18"/>
      <w:szCs w:val="18"/>
    </w:rPr>
  </w:style>
  <w:style w:type="paragraph" w:styleId="8">
    <w:name w:val="footer"/>
    <w:basedOn w:val="1"/>
    <w:link w:val="37"/>
    <w:unhideWhenUsed/>
    <w:qFormat/>
    <w:uiPriority w:val="99"/>
    <w:pPr>
      <w:tabs>
        <w:tab w:val="center" w:pos="4153"/>
        <w:tab w:val="right" w:pos="8306"/>
      </w:tabs>
      <w:snapToGrid w:val="0"/>
      <w:jc w:val="left"/>
    </w:pPr>
    <w:rPr>
      <w:kern w:val="0"/>
      <w:sz w:val="18"/>
      <w:szCs w:val="18"/>
    </w:rPr>
  </w:style>
  <w:style w:type="paragraph" w:styleId="9">
    <w:name w:val="header"/>
    <w:basedOn w:val="1"/>
    <w:link w:val="34"/>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unhideWhenUsed/>
    <w:uiPriority w:val="39"/>
    <w:pPr>
      <w:spacing w:after="0" w:line="320" w:lineRule="auto"/>
    </w:pPr>
    <w:rPr>
      <w:rFonts w:eastAsia="宋体"/>
      <w:sz w:val="24"/>
    </w:rPr>
  </w:style>
  <w:style w:type="paragraph" w:styleId="11">
    <w:name w:val="Subtitle"/>
    <w:basedOn w:val="1"/>
    <w:next w:val="1"/>
    <w:link w:val="35"/>
    <w:qFormat/>
    <w:uiPriority w:val="0"/>
    <w:pPr>
      <w:spacing w:before="240" w:after="60" w:line="312" w:lineRule="auto"/>
      <w:jc w:val="center"/>
      <w:outlineLvl w:val="1"/>
    </w:pPr>
    <w:rPr>
      <w:rFonts w:ascii="Cambria" w:hAnsi="Cambria"/>
      <w:b/>
      <w:bCs/>
      <w:kern w:val="28"/>
      <w:sz w:val="32"/>
      <w:szCs w:val="32"/>
    </w:rPr>
  </w:style>
  <w:style w:type="paragraph" w:styleId="12">
    <w:name w:val="toc 2"/>
    <w:basedOn w:val="1"/>
    <w:next w:val="1"/>
    <w:unhideWhenUsed/>
    <w:qFormat/>
    <w:uiPriority w:val="39"/>
    <w:pPr>
      <w:ind w:left="480" w:leftChars="200"/>
    </w:pPr>
  </w:style>
  <w:style w:type="paragraph" w:styleId="13">
    <w:name w:val="annotation subject"/>
    <w:basedOn w:val="6"/>
    <w:next w:val="6"/>
    <w:link w:val="33"/>
    <w:unhideWhenUsed/>
    <w:qFormat/>
    <w:uiPriority w:val="99"/>
    <w:rPr>
      <w:b/>
      <w:bCs/>
    </w:rPr>
  </w:style>
  <w:style w:type="table" w:styleId="15">
    <w:name w:val="Table Grid"/>
    <w:basedOn w:val="1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
    <w:name w:val="Light Shading Accent 5"/>
    <w:basedOn w:val="14"/>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character" w:styleId="18">
    <w:name w:val="Hyperlink"/>
    <w:unhideWhenUsed/>
    <w:uiPriority w:val="99"/>
    <w:rPr>
      <w:color w:val="0000FF"/>
      <w:u w:val="single"/>
    </w:rPr>
  </w:style>
  <w:style w:type="character" w:styleId="19">
    <w:name w:val="annotation reference"/>
    <w:unhideWhenUsed/>
    <w:qFormat/>
    <w:uiPriority w:val="0"/>
    <w:rPr>
      <w:sz w:val="21"/>
      <w:szCs w:val="21"/>
    </w:rPr>
  </w:style>
  <w:style w:type="paragraph" w:customStyle="1" w:styleId="20">
    <w:name w:val="20"/>
    <w:basedOn w:val="2"/>
    <w:next w:val="1"/>
    <w:qFormat/>
    <w:uiPriority w:val="39"/>
    <w:pPr>
      <w:widowControl/>
      <w:spacing w:before="480" w:beforeLines="0" w:line="276" w:lineRule="auto"/>
      <w:jc w:val="left"/>
      <w:outlineLvl w:val="9"/>
    </w:pPr>
    <w:rPr>
      <w:rFonts w:ascii="Cambria" w:hAnsi="Cambria" w:eastAsia="宋体" w:cs="Times New Roman"/>
      <w:color w:val="365F91"/>
      <w:kern w:val="0"/>
      <w:szCs w:val="28"/>
    </w:rPr>
  </w:style>
  <w:style w:type="paragraph" w:customStyle="1" w:styleId="21">
    <w:name w:val="XBRLTitle6"/>
    <w:basedOn w:val="11"/>
    <w:next w:val="4"/>
    <w:qFormat/>
    <w:uiPriority w:val="0"/>
    <w:pPr>
      <w:keepNext/>
      <w:keepLines/>
      <w:numPr>
        <w:ilvl w:val="5"/>
        <w:numId w:val="1"/>
      </w:numPr>
      <w:ind w:left="0" w:firstLine="0"/>
      <w:jc w:val="left"/>
    </w:pPr>
    <w:rPr>
      <w:bCs w:val="0"/>
      <w:sz w:val="24"/>
    </w:rPr>
  </w:style>
  <w:style w:type="paragraph" w:customStyle="1" w:styleId="22">
    <w:name w:val="22"/>
    <w:semiHidden/>
    <w:qFormat/>
    <w:uiPriority w:val="99"/>
    <w:pPr>
      <w:spacing w:after="200" w:line="276" w:lineRule="auto"/>
    </w:pPr>
    <w:rPr>
      <w:rFonts w:ascii="Calibri" w:hAnsi="Calibri" w:eastAsia="宋体" w:cs="Times New Roman"/>
      <w:kern w:val="2"/>
      <w:sz w:val="21"/>
      <w:szCs w:val="22"/>
      <w:lang w:val="en-US" w:eastAsia="zh-CN" w:bidi="ar-SA"/>
    </w:rPr>
  </w:style>
  <w:style w:type="paragraph" w:customStyle="1" w:styleId="23">
    <w:name w:val="Default"/>
    <w:qFormat/>
    <w:uiPriority w:val="0"/>
    <w:pPr>
      <w:widowControl w:val="0"/>
      <w:autoSpaceDE w:val="0"/>
      <w:autoSpaceDN w:val="0"/>
      <w:adjustRightInd w:val="0"/>
      <w:spacing w:after="200" w:line="276" w:lineRule="auto"/>
    </w:pPr>
    <w:rPr>
      <w:rFonts w:ascii="宋体" w:hAnsi="Calibri" w:eastAsia="宋体" w:cs="宋体"/>
      <w:color w:val="000000"/>
      <w:sz w:val="24"/>
      <w:szCs w:val="24"/>
      <w:lang w:val="en-US" w:eastAsia="zh-CN" w:bidi="ar-SA"/>
    </w:rPr>
  </w:style>
  <w:style w:type="paragraph" w:customStyle="1" w:styleId="24">
    <w:name w:val="Header_0"/>
    <w:unhideWhenUsed/>
    <w:qFormat/>
    <w:uiPriority w:val="99"/>
    <w:pPr>
      <w:pBdr>
        <w:bottom w:val="single" w:color="auto" w:sz="6" w:space="1"/>
      </w:pBdr>
      <w:tabs>
        <w:tab w:val="center" w:pos="4153"/>
        <w:tab w:val="right" w:pos="8306"/>
      </w:tabs>
      <w:snapToGrid w:val="0"/>
      <w:spacing w:after="200" w:line="276" w:lineRule="auto"/>
      <w:jc w:val="left"/>
    </w:pPr>
    <w:rPr>
      <w:rFonts w:ascii="Calibri" w:hAnsi="Calibri" w:eastAsia="宋体" w:cs="Times New Roman"/>
      <w:sz w:val="18"/>
      <w:szCs w:val="18"/>
    </w:rPr>
  </w:style>
  <w:style w:type="paragraph" w:customStyle="1" w:styleId="25">
    <w:name w:val="XBRLTitle1"/>
    <w:basedOn w:val="2"/>
    <w:next w:val="3"/>
    <w:qFormat/>
    <w:uiPriority w:val="0"/>
    <w:pPr>
      <w:numPr>
        <w:ilvl w:val="0"/>
        <w:numId w:val="1"/>
      </w:numPr>
      <w:spacing w:before="340" w:beforeLines="50" w:after="330" w:afterLines="50" w:line="240" w:lineRule="auto"/>
    </w:pPr>
    <w:rPr>
      <w:rFonts w:ascii="Cambria" w:hAnsi="Cambria"/>
    </w:rPr>
  </w:style>
  <w:style w:type="paragraph" w:customStyle="1" w:styleId="26">
    <w:name w:val="XBRLTitle2"/>
    <w:basedOn w:val="11"/>
    <w:next w:val="4"/>
    <w:qFormat/>
    <w:uiPriority w:val="0"/>
    <w:pPr>
      <w:keepNext/>
      <w:keepLines/>
      <w:numPr>
        <w:ilvl w:val="1"/>
        <w:numId w:val="1"/>
      </w:numPr>
      <w:jc w:val="left"/>
    </w:pPr>
    <w:rPr>
      <w:bCs w:val="0"/>
      <w:sz w:val="24"/>
    </w:rPr>
  </w:style>
  <w:style w:type="paragraph" w:customStyle="1" w:styleId="27">
    <w:name w:val="XBRLTitle3"/>
    <w:basedOn w:val="11"/>
    <w:next w:val="4"/>
    <w:qFormat/>
    <w:uiPriority w:val="0"/>
    <w:pPr>
      <w:keepNext/>
      <w:keepLines/>
      <w:numPr>
        <w:ilvl w:val="2"/>
        <w:numId w:val="1"/>
      </w:numPr>
      <w:ind w:left="0" w:firstLine="0"/>
      <w:jc w:val="left"/>
    </w:pPr>
    <w:rPr>
      <w:bCs w:val="0"/>
      <w:sz w:val="24"/>
    </w:rPr>
  </w:style>
  <w:style w:type="paragraph" w:customStyle="1" w:styleId="28">
    <w:name w:val="XBRLTitle5"/>
    <w:basedOn w:val="11"/>
    <w:next w:val="4"/>
    <w:qFormat/>
    <w:uiPriority w:val="0"/>
    <w:pPr>
      <w:keepNext/>
      <w:keepLines/>
      <w:numPr>
        <w:ilvl w:val="4"/>
        <w:numId w:val="1"/>
      </w:numPr>
      <w:ind w:left="0" w:firstLine="0"/>
      <w:jc w:val="left"/>
    </w:pPr>
    <w:rPr>
      <w:bCs w:val="0"/>
      <w:sz w:val="24"/>
    </w:rPr>
  </w:style>
  <w:style w:type="paragraph" w:customStyle="1" w:styleId="29">
    <w:name w:val="XBRLTitle4"/>
    <w:basedOn w:val="11"/>
    <w:next w:val="4"/>
    <w:qFormat/>
    <w:uiPriority w:val="0"/>
    <w:pPr>
      <w:keepNext/>
      <w:keepLines/>
      <w:numPr>
        <w:ilvl w:val="3"/>
        <w:numId w:val="1"/>
      </w:numPr>
      <w:ind w:left="0" w:firstLine="0"/>
      <w:jc w:val="left"/>
    </w:pPr>
    <w:rPr>
      <w:bCs w:val="0"/>
      <w:sz w:val="24"/>
    </w:rPr>
  </w:style>
  <w:style w:type="character" w:customStyle="1" w:styleId="30">
    <w:name w:val="副标题 Char1"/>
    <w:qFormat/>
    <w:uiPriority w:val="0"/>
    <w:rPr>
      <w:rFonts w:ascii="Cambria" w:hAnsi="Cambria"/>
      <w:b/>
      <w:kern w:val="28"/>
      <w:sz w:val="24"/>
      <w:szCs w:val="32"/>
    </w:rPr>
  </w:style>
  <w:style w:type="character" w:customStyle="1" w:styleId="31">
    <w:name w:val="txtcontent11"/>
    <w:qFormat/>
    <w:uiPriority w:val="0"/>
    <w:rPr>
      <w:rFonts w:hint="default" w:ascii="ˎ̥" w:hAnsi="ˎ̥"/>
      <w:color w:val="000000"/>
      <w:sz w:val="21"/>
      <w:szCs w:val="21"/>
    </w:rPr>
  </w:style>
  <w:style w:type="character" w:customStyle="1" w:styleId="32">
    <w:name w:val="批注文字 Char"/>
    <w:link w:val="6"/>
    <w:qFormat/>
    <w:uiPriority w:val="0"/>
    <w:rPr>
      <w:kern w:val="2"/>
      <w:sz w:val="21"/>
      <w:szCs w:val="22"/>
    </w:rPr>
  </w:style>
  <w:style w:type="character" w:customStyle="1" w:styleId="33">
    <w:name w:val="批注主题 Char"/>
    <w:link w:val="13"/>
    <w:semiHidden/>
    <w:qFormat/>
    <w:uiPriority w:val="99"/>
    <w:rPr>
      <w:b/>
      <w:bCs/>
      <w:kern w:val="2"/>
      <w:sz w:val="21"/>
      <w:szCs w:val="22"/>
    </w:rPr>
  </w:style>
  <w:style w:type="character" w:customStyle="1" w:styleId="34">
    <w:name w:val="页眉 Char"/>
    <w:link w:val="9"/>
    <w:qFormat/>
    <w:uiPriority w:val="99"/>
    <w:rPr>
      <w:sz w:val="18"/>
      <w:szCs w:val="18"/>
    </w:rPr>
  </w:style>
  <w:style w:type="character" w:customStyle="1" w:styleId="35">
    <w:name w:val="副标题 Char"/>
    <w:link w:val="11"/>
    <w:qFormat/>
    <w:uiPriority w:val="0"/>
    <w:rPr>
      <w:rFonts w:ascii="Cambria" w:hAnsi="Cambria" w:cs="Times New Roman"/>
      <w:b/>
      <w:bCs/>
      <w:kern w:val="28"/>
      <w:sz w:val="32"/>
      <w:szCs w:val="32"/>
    </w:rPr>
  </w:style>
  <w:style w:type="character" w:customStyle="1" w:styleId="36">
    <w:name w:val="文档结构图 Char"/>
    <w:link w:val="5"/>
    <w:semiHidden/>
    <w:qFormat/>
    <w:uiPriority w:val="99"/>
    <w:rPr>
      <w:rFonts w:ascii="宋体"/>
      <w:kern w:val="2"/>
      <w:sz w:val="18"/>
      <w:szCs w:val="18"/>
    </w:rPr>
  </w:style>
  <w:style w:type="character" w:customStyle="1" w:styleId="37">
    <w:name w:val="页脚 Char"/>
    <w:link w:val="8"/>
    <w:qFormat/>
    <w:uiPriority w:val="99"/>
    <w:rPr>
      <w:sz w:val="18"/>
      <w:szCs w:val="18"/>
    </w:rPr>
  </w:style>
  <w:style w:type="character" w:customStyle="1" w:styleId="38">
    <w:name w:val="标题 2 Char"/>
    <w:link w:val="3"/>
    <w:semiHidden/>
    <w:qFormat/>
    <w:uiPriority w:val="9"/>
    <w:rPr>
      <w:rFonts w:ascii="Cambria" w:hAnsi="Cambria" w:eastAsia="宋体" w:cs="Times New Roman"/>
      <w:b/>
      <w:bCs/>
      <w:kern w:val="2"/>
      <w:sz w:val="32"/>
      <w:szCs w:val="32"/>
    </w:rPr>
  </w:style>
  <w:style w:type="character" w:customStyle="1" w:styleId="39">
    <w:name w:val="标题 4 Char"/>
    <w:link w:val="4"/>
    <w:semiHidden/>
    <w:qFormat/>
    <w:uiPriority w:val="9"/>
    <w:rPr>
      <w:rFonts w:ascii="Cambria" w:hAnsi="Cambria" w:eastAsia="宋体" w:cs="Times New Roman"/>
      <w:b/>
      <w:bCs/>
      <w:kern w:val="2"/>
      <w:sz w:val="28"/>
      <w:szCs w:val="28"/>
    </w:rPr>
  </w:style>
  <w:style w:type="character" w:customStyle="1" w:styleId="40">
    <w:name w:val="标题 1 Char"/>
    <w:link w:val="2"/>
    <w:qFormat/>
    <w:uiPriority w:val="9"/>
    <w:rPr>
      <w:b/>
      <w:bCs/>
      <w:kern w:val="44"/>
      <w:sz w:val="28"/>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50"/>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157</Pages>
  <Words>13948</Words>
  <Characters>79510</Characters>
  <Lines>662</Lines>
  <Paragraphs>186</Paragraphs>
  <TotalTime>0</TotalTime>
  <ScaleCrop>false</ScaleCrop>
  <LinksUpToDate>false</LinksUpToDate>
  <CharactersWithSpaces>93272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2017-10-27T08:43:00Z</dcterms:created>
  <dc:creator>系统用户</dc:creator>
  <cp:lastModifiedBy>haotingting</cp:lastModifiedBy>
  <cp:lastPrinted>2013-02-18T03:10:00Z</cp:lastPrinted>
  <dcterms:modified xsi:type="dcterms:W3CDTF">2026-09-28T03:45:16Z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3CF64CEB45C84E38B9C5ADE1129F1B1A</vt:lpwstr>
  </property>
</Properties>
</file>