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54468">
      <w:pPr>
        <w:rPr>
          <w:sz w:val="32"/>
        </w:rPr>
      </w:pPr>
    </w:p>
    <w:p w:rsidR="00C92FC0" w:rsidRPr="00EB07BC" w:rsidRDefault="00C54468">
      <w:pPr>
        <w:rPr>
          <w:sz w:val="32"/>
        </w:rPr>
      </w:pPr>
    </w:p>
    <w:p w:rsidR="00C92FC0" w:rsidRPr="00EB07BC" w:rsidRDefault="00C54468">
      <w:pPr>
        <w:rPr>
          <w:sz w:val="32"/>
        </w:rPr>
      </w:pPr>
    </w:p>
    <w:p w:rsidR="009D6FA6" w:rsidRDefault="009D6FA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D6FA6" w:rsidRDefault="009D6FA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D6FA6" w:rsidRDefault="009D6FA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D6FA6" w:rsidRDefault="002B61B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交银施罗德裕隆纯债债券型证券投资基金</w:t>
      </w:r>
    </w:p>
    <w:p w:rsidR="009D6FA6" w:rsidRDefault="002B61B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D6FA6" w:rsidRDefault="009D6FA6">
      <w:pPr>
        <w:snapToGrid w:val="0"/>
        <w:spacing w:line="360" w:lineRule="auto"/>
        <w:jc w:val="center"/>
        <w:rPr>
          <w:rFonts w:ascii="宋体" w:hAnsi="宋体"/>
          <w:b/>
          <w:sz w:val="30"/>
          <w:szCs w:val="30"/>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2B61B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D6FA6" w:rsidRDefault="002B61B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基金托管人：中国邮政储蓄银行股份有限公司</w:t>
      </w: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9D6FA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D6FA6" w:rsidRDefault="002B61B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9D6FA6" w:rsidRDefault="009D6FA6">
      <w:pPr>
        <w:autoSpaceDE w:val="0"/>
        <w:autoSpaceDN w:val="0"/>
        <w:adjustRightInd w:val="0"/>
        <w:snapToGrid w:val="0"/>
        <w:spacing w:line="360" w:lineRule="auto"/>
        <w:ind w:left="1347" w:rightChars="6" w:right="13"/>
        <w:rPr>
          <w:rFonts w:ascii="宋体" w:hAnsi="宋体"/>
          <w:kern w:val="0"/>
          <w:sz w:val="32"/>
          <w:szCs w:val="32"/>
        </w:rPr>
        <w:sectPr w:rsidR="009D6FA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D6FA6" w:rsidRDefault="002B61BA">
      <w:pPr>
        <w:pStyle w:val="1"/>
        <w:snapToGrid w:val="0"/>
        <w:spacing w:beforeLines="0" w:before="240" w:after="240"/>
        <w:rPr>
          <w:rFonts w:ascii="宋体" w:hAnsi="宋体"/>
          <w:kern w:val="0"/>
        </w:rPr>
      </w:pPr>
      <w:bookmarkStart w:id="0" w:name="_Toc324920538"/>
      <w:bookmarkStart w:id="1" w:name="_Toc496884613"/>
      <w:bookmarkStart w:id="2" w:name="_Toc241672102"/>
      <w:r>
        <w:rPr>
          <w:rFonts w:ascii="Times New Roman" w:hAnsi="Times New Roman"/>
          <w:kern w:val="0"/>
        </w:rPr>
        <w:lastRenderedPageBreak/>
        <w:t>重要提示</w:t>
      </w:r>
      <w:bookmarkEnd w:id="0"/>
      <w:bookmarkEnd w:id="1"/>
      <w:bookmarkEnd w:id="2"/>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交银施罗德裕隆纯债债券型证券投资基金（以下简称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1814</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中小企业私募债的特有风险；投资资产支持证券的特有风险；投资本基金特有的其他风险等等。</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本基金是一只债券型基金，其风险与预期收益高于货币市场基金，低于混合型基金和股票型基金，属于证券投资基金中中等风险的品种。</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w:t>
      </w:r>
      <w:r>
        <w:rPr>
          <w:rFonts w:ascii="Times New Roman" w:hAnsi="Times New Roman"/>
          <w:kern w:val="0"/>
          <w:sz w:val="24"/>
        </w:rPr>
        <w:lastRenderedPageBreak/>
        <w:t>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9D6FA6" w:rsidRDefault="002B61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9D6FA6" w:rsidRDefault="009D6FA6">
      <w:pPr>
        <w:autoSpaceDE w:val="0"/>
        <w:autoSpaceDN w:val="0"/>
        <w:adjustRightInd w:val="0"/>
        <w:snapToGrid w:val="0"/>
        <w:spacing w:before="51" w:line="360" w:lineRule="auto"/>
        <w:ind w:left="120" w:rightChars="6" w:right="13" w:firstLine="480"/>
        <w:rPr>
          <w:rFonts w:ascii="宋体" w:hAnsi="宋体"/>
          <w:kern w:val="0"/>
          <w:szCs w:val="24"/>
        </w:rPr>
        <w:sectPr w:rsidR="009D6FA6">
          <w:headerReference w:type="default" r:id="rId14"/>
          <w:pgSz w:w="11920" w:h="16840"/>
          <w:pgMar w:top="1440" w:right="1680" w:bottom="280" w:left="1680" w:header="0" w:footer="1073" w:gutter="0"/>
          <w:pgNumType w:start="1"/>
          <w:cols w:space="720"/>
        </w:sectPr>
      </w:pPr>
    </w:p>
    <w:p w:rsidR="00C54468" w:rsidRPr="00C54468" w:rsidRDefault="002B61BA" w:rsidP="00C54468">
      <w:pPr>
        <w:pStyle w:val="ad"/>
        <w:snapToGrid w:val="0"/>
        <w:spacing w:after="240" w:line="360" w:lineRule="auto"/>
        <w:jc w:val="center"/>
        <w:rPr>
          <w:rFonts w:ascii="宋体" w:hAnsi="宋体"/>
          <w:noProof/>
          <w:sz w:val="24"/>
        </w:rPr>
      </w:pPr>
      <w:r w:rsidRPr="00C54468">
        <w:rPr>
          <w:rFonts w:ascii="宋体" w:hAnsi="宋体"/>
          <w:color w:val="000000"/>
          <w:position w:val="-4"/>
          <w:sz w:val="24"/>
          <w:szCs w:val="30"/>
        </w:rPr>
        <w:lastRenderedPageBreak/>
        <w:t>目</w:t>
      </w:r>
      <w:r w:rsidRPr="00C54468">
        <w:rPr>
          <w:rFonts w:ascii="宋体" w:hAnsi="宋体"/>
          <w:color w:val="000000"/>
          <w:position w:val="-4"/>
          <w:sz w:val="24"/>
          <w:szCs w:val="30"/>
        </w:rPr>
        <w:tab/>
        <w:t>录</w:t>
      </w:r>
      <w:r w:rsidR="00C54468" w:rsidRPr="00C54468">
        <w:rPr>
          <w:rFonts w:ascii="宋体" w:hAnsi="宋体"/>
          <w:color w:val="000000"/>
          <w:position w:val="-4"/>
          <w:sz w:val="24"/>
          <w:szCs w:val="30"/>
        </w:rPr>
        <w:fldChar w:fldCharType="begin"/>
      </w:r>
      <w:r w:rsidR="00C54468" w:rsidRPr="00C54468">
        <w:rPr>
          <w:rFonts w:ascii="宋体" w:hAnsi="宋体"/>
          <w:color w:val="000000"/>
          <w:position w:val="-4"/>
          <w:sz w:val="24"/>
          <w:szCs w:val="30"/>
        </w:rPr>
        <w:instrText xml:space="preserve"> TOC \o "1-3" \f - \h \t "-1" </w:instrText>
      </w:r>
      <w:r w:rsidR="00C54468" w:rsidRPr="00C54468">
        <w:rPr>
          <w:rFonts w:ascii="宋体" w:hAnsi="宋体"/>
          <w:color w:val="000000"/>
          <w:position w:val="-4"/>
          <w:sz w:val="24"/>
          <w:szCs w:val="30"/>
        </w:rPr>
        <w:fldChar w:fldCharType="separate"/>
      </w:r>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2" w:history="1">
        <w:r w:rsidRPr="00C54468">
          <w:rPr>
            <w:rStyle w:val="aa"/>
            <w:rFonts w:ascii="宋体" w:hAnsi="宋体" w:hint="eastAsia"/>
            <w:noProof/>
            <w:kern w:val="0"/>
            <w:sz w:val="24"/>
          </w:rPr>
          <w:t>重要提示</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_Toc241672102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3" w:history="1">
        <w:r w:rsidRPr="00C54468">
          <w:rPr>
            <w:rStyle w:val="aa"/>
            <w:rFonts w:ascii="宋体" w:hAnsi="宋体" w:hint="eastAsia"/>
            <w:noProof/>
            <w:sz w:val="24"/>
          </w:rPr>
          <w:t>一、绪言</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_Toc241672103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4</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4" w:history="1">
        <w:r w:rsidRPr="00C54468">
          <w:rPr>
            <w:rStyle w:val="aa"/>
            <w:rFonts w:ascii="宋体" w:hAnsi="宋体" w:hint="eastAsia"/>
            <w:noProof/>
            <w:sz w:val="24"/>
          </w:rPr>
          <w:t>二、释义</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_Toc241672104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5</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5" w:history="1">
        <w:r w:rsidRPr="00C54468">
          <w:rPr>
            <w:rStyle w:val="aa"/>
            <w:rFonts w:ascii="宋体" w:hAnsi="宋体" w:hint="eastAsia"/>
            <w:noProof/>
            <w:sz w:val="24"/>
          </w:rPr>
          <w:t>三、基金管理人</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_Toc241672105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10</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6" w:history="1">
        <w:r w:rsidRPr="00C54468">
          <w:rPr>
            <w:rStyle w:val="aa"/>
            <w:rFonts w:ascii="宋体" w:hAnsi="宋体" w:hint="eastAsia"/>
            <w:noProof/>
            <w:sz w:val="24"/>
          </w:rPr>
          <w:t>四、基金托管人</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_Toc241672106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18</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7" w:history="1">
        <w:r w:rsidRPr="00C54468">
          <w:rPr>
            <w:rStyle w:val="aa"/>
            <w:rFonts w:ascii="宋体" w:hAnsi="宋体" w:hint="eastAsia"/>
            <w:noProof/>
            <w:sz w:val="24"/>
          </w:rPr>
          <w:t>五、相关服务机构</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_Toc241672107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21</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8" w:history="1">
        <w:r w:rsidRPr="00C54468">
          <w:rPr>
            <w:rStyle w:val="aa"/>
            <w:rFonts w:ascii="宋体" w:hAnsi="宋体" w:hint="eastAsia"/>
            <w:noProof/>
            <w:sz w:val="24"/>
          </w:rPr>
          <w:t>六、基金的募集</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_Toc241672108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50</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09" w:history="1">
        <w:r w:rsidRPr="00C54468">
          <w:rPr>
            <w:rStyle w:val="aa"/>
            <w:rFonts w:ascii="宋体" w:hAnsi="宋体" w:hint="eastAsia"/>
            <w:noProof/>
            <w:sz w:val="24"/>
          </w:rPr>
          <w:t>七、基金合同的生效</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_Toc241672109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51</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0" w:history="1">
        <w:r w:rsidRPr="00C54468">
          <w:rPr>
            <w:rStyle w:val="aa"/>
            <w:rFonts w:ascii="宋体" w:hAnsi="宋体" w:hint="eastAsia"/>
            <w:noProof/>
            <w:sz w:val="24"/>
          </w:rPr>
          <w:t>八、基金份额的申购与赎回</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_Toc241672110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52</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1" w:history="1">
        <w:r w:rsidRPr="00C54468">
          <w:rPr>
            <w:rStyle w:val="aa"/>
            <w:rFonts w:ascii="宋体" w:hAnsi="宋体" w:hint="eastAsia"/>
            <w:noProof/>
            <w:sz w:val="24"/>
          </w:rPr>
          <w:t>九、基金的转换</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_Toc241672111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67</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2" w:history="1">
        <w:r w:rsidRPr="00C54468">
          <w:rPr>
            <w:rStyle w:val="aa"/>
            <w:rFonts w:ascii="宋体" w:hAnsi="宋体" w:hint="eastAsia"/>
            <w:noProof/>
            <w:sz w:val="24"/>
          </w:rPr>
          <w:t>十、基金的投资</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_Toc241672112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74</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3" w:history="1">
        <w:r w:rsidRPr="00C54468">
          <w:rPr>
            <w:rStyle w:val="aa"/>
            <w:rFonts w:ascii="宋体" w:hAnsi="宋体" w:hint="eastAsia"/>
            <w:noProof/>
            <w:sz w:val="24"/>
          </w:rPr>
          <w:t>十一、基金的业绩</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_Toc241672113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85</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4" w:history="1">
        <w:r w:rsidRPr="00C54468">
          <w:rPr>
            <w:rStyle w:val="aa"/>
            <w:rFonts w:ascii="宋体" w:hAnsi="宋体" w:hint="eastAsia"/>
            <w:noProof/>
            <w:sz w:val="24"/>
          </w:rPr>
          <w:t>十二、基金的财产</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_Toc241672114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89</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5" w:history="1">
        <w:r w:rsidRPr="00C54468">
          <w:rPr>
            <w:rStyle w:val="aa"/>
            <w:rFonts w:ascii="宋体" w:hAnsi="宋体" w:hint="eastAsia"/>
            <w:noProof/>
            <w:sz w:val="24"/>
          </w:rPr>
          <w:t>十三、基金资产的估值</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_Toc241672115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90</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6" w:history="1">
        <w:r w:rsidRPr="00C54468">
          <w:rPr>
            <w:rStyle w:val="aa"/>
            <w:rFonts w:ascii="宋体" w:hAnsi="宋体" w:hint="eastAsia"/>
            <w:noProof/>
            <w:sz w:val="24"/>
          </w:rPr>
          <w:t>十四、基金收益与分配</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_Toc241672116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95</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7" w:history="1">
        <w:r w:rsidRPr="00C54468">
          <w:rPr>
            <w:rStyle w:val="aa"/>
            <w:rFonts w:ascii="宋体" w:hAnsi="宋体" w:hint="eastAsia"/>
            <w:noProof/>
            <w:sz w:val="24"/>
          </w:rPr>
          <w:t>十五、基金的费用与税收</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_Toc241672117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97</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8" w:history="1">
        <w:r w:rsidRPr="00C54468">
          <w:rPr>
            <w:rStyle w:val="aa"/>
            <w:rFonts w:ascii="宋体" w:hAnsi="宋体" w:hint="eastAsia"/>
            <w:noProof/>
            <w:sz w:val="24"/>
          </w:rPr>
          <w:t>十六、基金的会计与审计</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_Toc241672118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100</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19" w:history="1">
        <w:r w:rsidRPr="00C54468">
          <w:rPr>
            <w:rStyle w:val="aa"/>
            <w:rFonts w:ascii="宋体" w:hAnsi="宋体" w:hint="eastAsia"/>
            <w:noProof/>
            <w:sz w:val="24"/>
          </w:rPr>
          <w:t>十七、基金的信息披露</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_Toc241672119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101</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0" w:history="1">
        <w:r w:rsidRPr="00C54468">
          <w:rPr>
            <w:rStyle w:val="aa"/>
            <w:rFonts w:ascii="宋体" w:hAnsi="宋体" w:hint="eastAsia"/>
            <w:noProof/>
            <w:sz w:val="24"/>
          </w:rPr>
          <w:t>十八、侧袋机制</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_Toc241672120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108</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1" w:history="1">
        <w:r w:rsidRPr="00C54468">
          <w:rPr>
            <w:rStyle w:val="aa"/>
            <w:rFonts w:ascii="宋体" w:hAnsi="宋体" w:hint="eastAsia"/>
            <w:noProof/>
            <w:sz w:val="24"/>
          </w:rPr>
          <w:t>十九、风险揭示</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_Toc241672121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111</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2" w:history="1">
        <w:r w:rsidRPr="00C54468">
          <w:rPr>
            <w:rStyle w:val="aa"/>
            <w:rFonts w:ascii="宋体" w:hAnsi="宋体" w:hint="eastAsia"/>
            <w:noProof/>
            <w:sz w:val="24"/>
          </w:rPr>
          <w:t>二十、基金合同的变更、终止与基金财产的清算</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_Toc241672122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118</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3" w:history="1">
        <w:r w:rsidRPr="00C54468">
          <w:rPr>
            <w:rStyle w:val="aa"/>
            <w:rFonts w:ascii="宋体" w:hAnsi="宋体" w:hint="eastAsia"/>
            <w:noProof/>
            <w:sz w:val="24"/>
          </w:rPr>
          <w:t>二十一、基金合同内容摘要</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_Toc241672123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120</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4" w:history="1">
        <w:r w:rsidRPr="00C54468">
          <w:rPr>
            <w:rStyle w:val="aa"/>
            <w:rFonts w:ascii="宋体" w:hAnsi="宋体" w:hint="eastAsia"/>
            <w:noProof/>
            <w:sz w:val="24"/>
          </w:rPr>
          <w:t>二十二、托管协议的内容摘要</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_Toc241672124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136</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5" w:history="1">
        <w:r w:rsidRPr="00C54468">
          <w:rPr>
            <w:rStyle w:val="aa"/>
            <w:rFonts w:ascii="宋体" w:hAnsi="宋体" w:hint="eastAsia"/>
            <w:noProof/>
            <w:sz w:val="24"/>
          </w:rPr>
          <w:t>二十三、对基金份额持有人的服务</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_Toc241672125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154</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6" w:history="1">
        <w:r w:rsidRPr="00C54468">
          <w:rPr>
            <w:rStyle w:val="aa"/>
            <w:rFonts w:ascii="宋体" w:hAnsi="宋体" w:hint="eastAsia"/>
            <w:noProof/>
            <w:sz w:val="24"/>
          </w:rPr>
          <w:t>二十四、其他应披露事项</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_Toc241672126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156</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7" w:history="1">
        <w:r w:rsidRPr="00C54468">
          <w:rPr>
            <w:rStyle w:val="aa"/>
            <w:rFonts w:ascii="宋体" w:hAnsi="宋体" w:hint="eastAsia"/>
            <w:noProof/>
            <w:sz w:val="24"/>
          </w:rPr>
          <w:t>二十五、招募说明书的存放及查阅方式</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_Toc241672127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159</w:t>
        </w:r>
        <w:r w:rsidRPr="00C54468">
          <w:rPr>
            <w:rFonts w:ascii="宋体" w:hAnsi="宋体"/>
            <w:noProof/>
            <w:sz w:val="24"/>
          </w:rPr>
          <w:fldChar w:fldCharType="end"/>
        </w:r>
      </w:hyperlink>
    </w:p>
    <w:p w:rsidR="00C54468" w:rsidRPr="00C54468" w:rsidRDefault="00C54468" w:rsidP="00C54468">
      <w:pPr>
        <w:pStyle w:val="10"/>
        <w:tabs>
          <w:tab w:val="right" w:leader="dot" w:pos="8550"/>
        </w:tabs>
        <w:spacing w:line="360" w:lineRule="auto"/>
        <w:rPr>
          <w:rFonts w:ascii="宋体" w:hAnsi="宋体" w:cstheme="minorBidi"/>
          <w:noProof/>
          <w:sz w:val="24"/>
        </w:rPr>
      </w:pPr>
      <w:hyperlink w:anchor="_Toc241672128" w:history="1">
        <w:r w:rsidRPr="00C54468">
          <w:rPr>
            <w:rStyle w:val="aa"/>
            <w:rFonts w:ascii="宋体" w:hAnsi="宋体" w:hint="eastAsia"/>
            <w:noProof/>
            <w:sz w:val="24"/>
          </w:rPr>
          <w:t>二十六、备查文件</w:t>
        </w:r>
        <w:r w:rsidRPr="00C54468">
          <w:rPr>
            <w:rFonts w:ascii="宋体" w:hAnsi="宋体"/>
            <w:noProof/>
            <w:sz w:val="24"/>
          </w:rPr>
          <w:tab/>
        </w:r>
        <w:r w:rsidRPr="00C54468">
          <w:rPr>
            <w:rFonts w:ascii="宋体" w:hAnsi="宋体"/>
            <w:noProof/>
            <w:sz w:val="24"/>
          </w:rPr>
          <w:fldChar w:fldCharType="begin"/>
        </w:r>
        <w:r w:rsidRPr="00C54468">
          <w:rPr>
            <w:rFonts w:ascii="宋体" w:hAnsi="宋体"/>
            <w:noProof/>
            <w:sz w:val="24"/>
          </w:rPr>
          <w:instrText xml:space="preserve"> PAGEREF _Toc241672128 \h </w:instrText>
        </w:r>
        <w:r w:rsidRPr="00C54468">
          <w:rPr>
            <w:rFonts w:ascii="宋体" w:hAnsi="宋体"/>
            <w:noProof/>
            <w:sz w:val="24"/>
          </w:rPr>
        </w:r>
        <w:r w:rsidRPr="00C54468">
          <w:rPr>
            <w:rFonts w:ascii="宋体" w:hAnsi="宋体"/>
            <w:noProof/>
            <w:sz w:val="24"/>
          </w:rPr>
          <w:fldChar w:fldCharType="separate"/>
        </w:r>
        <w:r w:rsidRPr="00C54468">
          <w:rPr>
            <w:rFonts w:ascii="宋体" w:hAnsi="宋体"/>
            <w:noProof/>
            <w:sz w:val="24"/>
          </w:rPr>
          <w:t>160</w:t>
        </w:r>
        <w:r w:rsidRPr="00C54468">
          <w:rPr>
            <w:rFonts w:ascii="宋体" w:hAnsi="宋体"/>
            <w:noProof/>
            <w:sz w:val="24"/>
          </w:rPr>
          <w:fldChar w:fldCharType="end"/>
        </w:r>
      </w:hyperlink>
    </w:p>
    <w:p w:rsidR="009D6FA6" w:rsidRPr="00C54468" w:rsidRDefault="00C54468" w:rsidP="00C54468">
      <w:pPr>
        <w:pStyle w:val="ad"/>
        <w:snapToGrid w:val="0"/>
        <w:spacing w:after="240" w:line="360" w:lineRule="auto"/>
        <w:jc w:val="center"/>
        <w:rPr>
          <w:rFonts w:ascii="宋体" w:hAnsi="宋体"/>
          <w:color w:val="000000"/>
          <w:sz w:val="24"/>
        </w:rPr>
      </w:pPr>
      <w:r w:rsidRPr="00C54468">
        <w:rPr>
          <w:rFonts w:ascii="宋体" w:hAnsi="宋体"/>
          <w:color w:val="000000"/>
          <w:position w:val="-4"/>
          <w:sz w:val="24"/>
          <w:szCs w:val="30"/>
        </w:rPr>
        <w:fldChar w:fldCharType="end"/>
      </w:r>
      <w:bookmarkStart w:id="3" w:name="_GoBack"/>
      <w:bookmarkEnd w:id="3"/>
    </w:p>
    <w:p w:rsidR="009D6FA6" w:rsidRDefault="009D6FA6">
      <w:pPr>
        <w:autoSpaceDE w:val="0"/>
        <w:autoSpaceDN w:val="0"/>
        <w:adjustRightInd w:val="0"/>
        <w:snapToGrid w:val="0"/>
        <w:spacing w:line="360" w:lineRule="auto"/>
        <w:ind w:left="120" w:rightChars="6" w:right="13"/>
        <w:rPr>
          <w:rFonts w:ascii="宋体" w:hAnsi="宋体"/>
          <w:kern w:val="0"/>
          <w:szCs w:val="24"/>
        </w:rPr>
        <w:sectPr w:rsidR="009D6FA6">
          <w:pgSz w:w="11920" w:h="16840"/>
          <w:pgMar w:top="1480" w:right="1680" w:bottom="280" w:left="1680" w:header="0" w:footer="1073" w:gutter="0"/>
          <w:cols w:space="720"/>
        </w:sectPr>
      </w:pPr>
    </w:p>
    <w:p w:rsidR="009D6FA6" w:rsidRDefault="002B61BA">
      <w:pPr>
        <w:pStyle w:val="1"/>
        <w:snapToGrid w:val="0"/>
        <w:spacing w:beforeLines="0" w:before="240" w:after="240"/>
        <w:rPr>
          <w:rFonts w:ascii="宋体" w:hAnsi="宋体"/>
          <w:szCs w:val="30"/>
        </w:rPr>
      </w:pPr>
      <w:bookmarkStart w:id="4" w:name="_Toc241672103"/>
      <w:r>
        <w:rPr>
          <w:rFonts w:ascii="Times New Roman" w:hAnsi="Times New Roman"/>
          <w:sz w:val="30"/>
        </w:rPr>
        <w:lastRenderedPageBreak/>
        <w:t>一、绪言</w:t>
      </w:r>
      <w:bookmarkEnd w:id="4"/>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裕隆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裕隆纯债债券型证券投资基金基金合同》（以下简称“基金合同”）编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5" w:name="_Toc241672104"/>
      <w:r>
        <w:rPr>
          <w:rFonts w:ascii="Times New Roman" w:hAnsi="Times New Roman"/>
          <w:sz w:val="30"/>
        </w:rPr>
        <w:lastRenderedPageBreak/>
        <w:t>二、释义</w:t>
      </w:r>
      <w:bookmarkEnd w:id="5"/>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1、基金或本基金：指交银施罗德裕隆纯债债券型证券投资基金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3、基金托管人或本基金托管人：指中国邮政储蓄银行股份有限公司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4、基金合同或《基金合同》：指《交银施罗德裕隆纯债债券型证券投资基金基金合同》及对基金合同的任何有效修订和补充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5、托管协议：指基金管理人与基金托管人就本基金签订之《交银施罗德裕隆纯债债券型证券投资基金托管协议》及对该托管协议的任何有效修订和补充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6、招募说明书、本招募说明书或《招募说明书》：指《交银施罗德裕隆纯债债券型证券投资基金招募说明书》及其更新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7、基金份额发售公告：指《交银施罗德裕隆纯债债券型证券投资基金基金份额发售公告》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8、基金产品资料概要：指《交银施罗德裕隆纯债债券型证券投资基金基金产品资料概要》及其更新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办理认购、申购、赎回、转换、定期定额投资及转托管等业务而引起的基金份额变动及结余情况的账户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44、基金份额类别：指本基金根据认购/申购费用、赎回费用、销售服务费收取标准和收取方式的不同，将基金份额分为不同的类别。在投资人认购/申购时收</w:t>
      </w:r>
      <w:r>
        <w:rPr>
          <w:rFonts w:ascii="宋体" w:hAnsi="宋体"/>
          <w:sz w:val="24"/>
        </w:rPr>
        <w:lastRenderedPageBreak/>
        <w:t>取认购/申购费用、赎回时收取赎回费用的，称为A类基金份额；在投资人认购/申购时不收取认购/申购费用、赎回时收取赎回费用，并从本类别基金资产中计提销售服务费的，称为C类基金份额；在投资人申购时收取申购费用、赎回时收取赎回费用的，称为D类基金份额，A类基金份额与D类基金份额设置不同的申购费、赎回费收取标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50、基金收益：指基金投资所得债券利息、买卖证券价差、银行存款利息、已实现的其他合法收入及因运用基金财产带来的成本和费用的节约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56、指定媒介：指中国证监会指定的用以进行信息披露的全国性报刊及指定互</w:t>
      </w:r>
      <w:r>
        <w:rPr>
          <w:rFonts w:ascii="宋体" w:hAnsi="宋体"/>
          <w:sz w:val="24"/>
        </w:rPr>
        <w:lastRenderedPageBreak/>
        <w:t>联网网站（包括基金管理人网站、基金托管人网站、中国证监会基金电子披露网站）等媒介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6" w:name="_Toc241672105"/>
      <w:r>
        <w:rPr>
          <w:rFonts w:ascii="Times New Roman" w:hAnsi="Times New Roman"/>
          <w:sz w:val="30"/>
        </w:rPr>
        <w:lastRenderedPageBreak/>
        <w:t>三、基金管理人</w:t>
      </w:r>
      <w:bookmarkEnd w:id="6"/>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理财21天债券型证券投资基金(2015年05月27日至2020年07月27日)、交银施罗德货币市场证券投资基金(2015年05月27日至2019年08月02日)、交银施罗德现金宝货币市场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侯嘉仪女士:基金经理。南开大学金融学学士。历任申银万国证券股份有限公司财富管理中心投资顾问助理。2013年加入交银施罗德基金管理有限公司，历任中</w:t>
      </w:r>
      <w:r>
        <w:rPr>
          <w:rFonts w:ascii="宋体" w:hAnsi="宋体"/>
          <w:sz w:val="24"/>
        </w:rPr>
        <w:lastRenderedPageBreak/>
        <w:t>央交易室交易员、固定收益部基金经理助理，现任固定收益部基金经理。现任交银施罗德裕隆纯债债券型证券投资基金(2026年09月30日至今)、交银施罗德稳利中短债债券型证券投资基金(2026年09月30日至今)的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连端清先生(2016年11月28日至2019年09月27日)。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1、基金管理人承诺不从事违反《中华人民共和国证券法》的行为，并承诺建立健全内部控制制度，采取有效措施，防止违反《中华人民共和国证券法》行为的发生；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通过科学的内控手段和方法，建立合理的内控程序，维护内控制度的有效执行。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w:t>
      </w:r>
      <w:r>
        <w:rPr>
          <w:rFonts w:ascii="宋体" w:hAnsi="宋体"/>
          <w:sz w:val="24"/>
        </w:rPr>
        <w:lastRenderedPageBreak/>
        <w:t>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w:t>
      </w:r>
      <w:r>
        <w:rPr>
          <w:rFonts w:ascii="宋体" w:hAnsi="宋体"/>
          <w:sz w:val="24"/>
        </w:rPr>
        <w:lastRenderedPageBreak/>
        <w:t>公司建立了自下而上的风险报告程序，对风险隐患进行层层汇报，使各个层次的人员及时掌握风险状况，从而以最快速度作出决策。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7" w:name="_Toc241672106"/>
      <w:r>
        <w:rPr>
          <w:rFonts w:ascii="Times New Roman" w:hAnsi="Times New Roman"/>
          <w:sz w:val="30"/>
        </w:rPr>
        <w:lastRenderedPageBreak/>
        <w:t>四、基金托管人</w:t>
      </w:r>
      <w:bookmarkEnd w:id="7"/>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名称：中国邮政储蓄银行股份有限公司(简称：中国邮政储蓄银行)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法定代表人：郑国雨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成立时间：2007年3月6日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注册资本：991.61亿元人民币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批准设立机关及批准设立文号：中国银监会银监复〔2006〕484号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基金托管资格批文及文号：证监许可〔2009〕673号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联系电话：010－68857221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和贴现；发行金融债券；代理发行、代理兑付、承销政府债券；买卖政府债券、金融债券；从事同业拆借；买卖、代理买卖外汇；从事银行卡业务；提供信用证服务及担保；代理收付款项及代理保险业务；提供保险箱服务；经中国银行业监督管理机构等监管部门批准的其他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国务院同意并经中国银行业监督管理委员会批准，中国邮政储蓄银行有限责任公司（成立于2007年3月6日）于2012年1月21日依法整体变更为中国邮政储蓄银行股份有限公司。中国邮政储蓄银行股份有限公司依法承继原中国邮政储蓄银行有限责任公司全部资产、负债、机构、业务和人员，依法承担和履行原中国邮政储蓄银行有限责任公司在有关具有法律效力的合同或协议中的权利、义务，以及相应的债权债务关系和法律责任。中国邮政储蓄银行股份有限公司坚持服务“三农”、服务中小企业、服务城乡居民的大型零售商业银行定位，发挥邮政网络优势，强化内部控制，合规稳健经营，为广大城乡居民及企业提供优质金融服务，实现股东价值最大化，支持国民经济发展和社会进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2.主要人员情况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中国邮政储蓄银行股份有限公司总行设托管业务部，下设资产托管处、产品管理处、风险管理处、运营管理处、运营一处等处室。现有员工105人，全部员工拥有大学本科以上学历，具备丰富的托管服务经验。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3.托管业务经营情况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2009年7月23日，中国邮政储蓄银行经中国证券监督管理委员会和中国银行业监督管理委员会联合批准，获得证券投资基金托管资格，是我国第16家托管银行。2012年7月19日，中国邮政储蓄银行经中国保险业监督管理委员会批准，获得保险资金托管资格。中国邮政储蓄银行坚持以客户为中心、以服务为基础的经营理念，依托专业的托管团队、灵活的托管业务系统、规范的托管管理制度、健全的内控体系、运作高效的业务处理模式，为广大基金份额持有人和众多资产管理机构提供安全、高效、专业、全面的托管服务，并获得了合作伙伴一致好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9月30日，中国邮政储蓄银行托管的证券投资基金共412只。至今，中国邮政储蓄银行已形成涵盖证券投资基金、证券期货经营机构私募资产管理计划、信托计划、银行理财产品、保险资金、保险资产管理计划、私募投资基金等多种资产类型的托管产品体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邮政储蓄银行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邮政储蓄银行设有风险管理委员会，负责全行风险管理与内部控制工作，对托管业务风险控制工作进行检查指导。托管业务部专门设置内部风险控制处室，配备专职内控监督人员负责托管业务的内控监督工作，具有独立行使监督稽核的工作职权和能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托管业务部具备系统、完善的制度控制体系，建立了管理制度、控制制度、岗位职责、业务操作流程，可以保证托管业务的规范操作和顺利进行；业务人员具备</w:t>
      </w:r>
      <w:r>
        <w:rPr>
          <w:rFonts w:ascii="宋体" w:hAnsi="宋体"/>
          <w:sz w:val="24"/>
        </w:rPr>
        <w:lastRenderedPageBreak/>
        <w:t>从业资格；业务管理严格实行复核、审核、检查制度，授权工作实行集中控制，业务印章按规程保管、存放、使用，账户资料严格保管，制约机制严格有效；业务操作区专门设置，封闭管理，实施音像监控；业务信息由专职信息披露人员负责，防止泄密；业务实现自动化操作，防止人为事故的发生，技术系统完整、独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严格按照现行法律法规以及基金合同规定，对基金管理人运作基金的投资比例、投资范围、投资组合等情况进行监督，对违法违规行为及时予以风险提示，要求其限期纠正，同时报告中国证监会。在日常为基金投资运作所提供的基金清算和核算服务环节中，对基金管理人发送的投资指令、基金管理人对各基金费用的提取与开支情况进行检查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基金监督子系统，对各基金投资运作比例控制指标进行例行监控，发现投资比例超标等异常情况，向基金管理人发出书面通知，与基金管理人进行情况核实，督促其纠正，并及时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(2)收到基金管理人的划款指令后，对涉及各基金的投资范围、投资对象及交易对手等内容进行合法合规性监督。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(3)通过技术或非技术手段发现基金涉嫌违规交易，电话或书面要求管理人进行解释或举证，要求限期纠正，并及时报告中国证监会。</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8" w:name="_Toc241672107"/>
      <w:r>
        <w:rPr>
          <w:rFonts w:ascii="Times New Roman" w:hAnsi="Times New Roman"/>
          <w:sz w:val="30"/>
        </w:rPr>
        <w:lastRenderedPageBreak/>
        <w:t>五、相关服务机构</w:t>
      </w:r>
      <w:bookmarkEnd w:id="8"/>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（1）名称：中国光大银行股份有限公司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（5）名称：中国民生银行股份有限公司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电话：（010）58560666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（6）名称：中国邮政储蓄银行股份有限公司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（8）名称：兴业银行股份有限公司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（9）名称：江苏银行股份有限公司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住所：南京市中华路26号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（10）名称：大同证券有限责任公司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（11）名称：德邦证券股份有限公司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（12）名称：申万宏源证券有限公司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联系人：李清怡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（13）名称：申万宏源西部证券有限公司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（14）名称：西部证券股份有限公司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（15）名称：广发证券股份有限公司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（16）名称：江海证券有限公司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住所：黑龙江省哈尔滨市香坊区赣水路56号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（17）名称：华宝证券股份有限公司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（18）名称：国金证券股份有限公司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（19）名称：天风证券股份有限公司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传真：027-87618863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（20）名称：国泰海通证券股份有限公司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（21）名称：国联民生证券股份有限公司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（22）名称：中信证券（山东）有限责任公司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（23）名称：中信证券股份有限公司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（24）名称：中信证券华南股份有限公司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（25）名称：平安证券股份有限公司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（26）名称：山西证券股份有限公司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联系人：谢武兵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（27）名称：联储证券有限责任公司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（28）名称：光大证券股份有限公司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（29）名称：财通证券股份有限公司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（30）名称：国投证券股份有限公司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（31）名称：中国中金财富证券有限公司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（32）名称：华泰证券股份有限公司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（33）名称：兴业证券股份有限公司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021-38565547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（34）名称：国新证券股份有限公司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（35）名称：长城证券有限责任公司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（37）名称：中信建投证券股份有限公司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（38）名称：国信证券股份有限公司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（39）名称：第一创业证券股份有限公司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（40）名称：浙商证券股份有限公司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电话：（0571）87901964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（41）名称：方正证券股份有限公司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（42）名称：东方财富证券股份有限公司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（43）名称：海通证券股份有限公司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客户服务电话：95553或拨打各城市营业网点咨询电话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（44）名称：中国银河证券股份有限公司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（45）名称：华西证券股份有限公司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（46）名称：华龙证券股份有限公司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（47）名称：国元证券股份有限公司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办公地址：中国安徽省合肥市梅山路18号安徽国际金融中心A座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（48）名称：东兴证券股份有限公司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（49）名称：华安证券股份有限公司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（50）名称：华福证券有限责任公司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客户服务电话：（0591）95547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（51）名称：东方证券股份有限公司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（52）名称：东莞证券股份有限公司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（53）名称：中泰证券股份有限公司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（54）名称：金融街证券股份有限公司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办公地址：内蒙古自治区呼和浩特市新城区海拉尔东街满世尚都办公商业综合楼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（55）名称：上海中欧财富基金销售有限公司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（56）名称：北京度小满基金销售有限公司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（57）名称：南京苏宁基金销售有限公司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传真：025-66996699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（58）名称：北京雪球基金销售有限公司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（59）名称：北京创金启富基金销售有限公司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（60）名称：奕丰基金销售有限公司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客户服务电话：400-684-0500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（61）名称：上海好买基金销售有限公司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（62）名称：蚂蚁（杭州）基金销售有限公司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（63）名称：浙江同花顺基金销售有限公司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（64）名称：上海联泰基金销售有限公司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（65）名称：中国人寿保险股份有限公司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（66）名称：上海大智慧基金销售有限公司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（67）名称：和耕传承基金销售有限公司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客户服务电话：4000555671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（68）名称：诺亚正行基金销售有限公司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（69）名称：腾安基金销售（深圳）有限公司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（70）名称：上海挖财基金销售有限公司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（71）名称：泛华普益基金销售有限公司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（72）名称：上海证达通基金销售有限公司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（73）名称：北京新浪仓石基金销售有限公司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（74）名称：嘉实财富管理有限公司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（75）名称：深圳市金斧子基金销售有限公司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（76）名称：上海陆金所基金销售有限公司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（77）名称：中信期货有限公司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法定代表人：张皓</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（78）名称：京东肯特瑞基金销售有限公司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（79）名称：上海长量基金销售有限公司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（80）名称：济安财富（北京）基金销售有限公司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（81）名称：大连网金基金销售有限公司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（82）名称：中信百信银行股份有限公司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（83）名称：博时财富基金销售有限公司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（84）名称：深圳众禄基金销售股份有限公司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（85）名称：深圳前海微众银行股份有限公司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（86）名称：玄元保险代理有限公司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（87）名称：上海基煜基金销售有限公司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（88）名称：北京汇成基金销售有限公司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（89）名称：上海利得基金销售有限公司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（90）名称：上海天天基金销售有限公司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电话：（021）54509998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（91）名称：珠海盈米基金销售有限公司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（92）名称：上海万得基金销售有限公司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基金管理人可根据有关法律法规的要求，选择其它符合要求的机构销售本基金，并及时公告。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9" w:name="_Toc241672108"/>
      <w:r>
        <w:rPr>
          <w:rFonts w:ascii="Times New Roman" w:hAnsi="Times New Roman"/>
          <w:sz w:val="30"/>
        </w:rPr>
        <w:lastRenderedPageBreak/>
        <w:t>六、基金的募集</w:t>
      </w:r>
      <w:bookmarkEnd w:id="9"/>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本基金由基金管理人依照《基金法》、《运作办法》、《销售办法》、基金合同及其他有关规定，并经中国证监会2016年8月11日证监许可[2016] 1814号文准予募集注册。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本基金于2016年11月22日进行发售，本基金设立募集期共募集200,016,482.92份基金份额，有效认购户数为413户。</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0" w:name="_Toc241672109"/>
      <w:r>
        <w:rPr>
          <w:rFonts w:ascii="Times New Roman" w:hAnsi="Times New Roman"/>
          <w:sz w:val="30"/>
        </w:rPr>
        <w:lastRenderedPageBreak/>
        <w:t>七、基金合同的生效</w:t>
      </w:r>
      <w:bookmarkEnd w:id="10"/>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根据有关规定，本基金满足基金合同生效条件，基金合同已于2016年11月28日正式生效。自基金合同生效之日起，本基金管理人正式开始管理本基金。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1" w:name="_Toc241672110"/>
      <w:r>
        <w:rPr>
          <w:rFonts w:ascii="Times New Roman" w:hAnsi="Times New Roman"/>
          <w:sz w:val="30"/>
        </w:rPr>
        <w:lastRenderedPageBreak/>
        <w:t>八、基金份额的申购与赎回</w:t>
      </w:r>
      <w:bookmarkEnd w:id="11"/>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若出现新的证券交易市场、证券交易所交易时间变更或其他特殊情况，基金管理人将视情况对前述开放日及开放时间进行相应的调整，但应在实施日前依照《信息披露办法》的有关规定在指定媒介上公告。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本基金A类基金份额和C类基金份额已于2016年12月14日起开放申购、赎回业务。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本基金D类基金份额已于2024年9月20日起开放申购、赎回业务。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1、“未知价”原则，即申购、赎回价格以申请当日收市后计算的该类别基金份额净值为基准进行计算；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余额的数量限制，基金管理人必须在调整实施前依照《信息披露办法》的有关规定在指定媒介上刊登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D类基金份额。投资人申购A类基金份额或D类基金份额在申购时支付申购费用、赎回时收取赎回费用，申购C类基金份额不支付申购费用、赎回时收取赎回费用，并从该类别基金资产中计提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A类基金份额和D类基金份额的申购费用由申购该类基金份额的投资人承担，不列入基金财产，主要用于本基金的市场推广、销售、登记结算等各项费用。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投资人可以多次申购本基金，A类基金份额和D类基金份额申购费用按每笔该类基金份额申购申请单独计算。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500</w:t>
            </w:r>
            <w:r>
              <w:rPr>
                <w:rFonts w:ascii="Times New Roman" w:hAnsi="Times New Roman"/>
                <w:color w:val="000000"/>
                <w:kern w:val="0"/>
                <w:sz w:val="25"/>
                <w:szCs w:val="24"/>
              </w:rPr>
              <w:t>元</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700</w:t>
            </w:r>
            <w:r>
              <w:rPr>
                <w:rFonts w:ascii="Times New Roman" w:hAnsi="Times New Roman"/>
                <w:color w:val="000000"/>
                <w:kern w:val="0"/>
                <w:sz w:val="25"/>
                <w:szCs w:val="24"/>
              </w:rPr>
              <w:t>元</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本基金对通过基金管理人直销柜台申购A类基金份额或D类基金份额的养老金客户实施特定申购费率。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500</w:t>
            </w:r>
            <w:r>
              <w:rPr>
                <w:rFonts w:ascii="Times New Roman" w:hAnsi="Times New Roman"/>
                <w:color w:val="000000"/>
                <w:kern w:val="0"/>
                <w:sz w:val="25"/>
                <w:szCs w:val="24"/>
              </w:rPr>
              <w:t>元</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700</w:t>
            </w:r>
            <w:r>
              <w:rPr>
                <w:rFonts w:ascii="Times New Roman" w:hAnsi="Times New Roman"/>
                <w:color w:val="000000"/>
                <w:kern w:val="0"/>
                <w:sz w:val="25"/>
                <w:szCs w:val="24"/>
              </w:rPr>
              <w:t>元</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或D类基金份额收取赎回费用，该费用随基金份额的持有时间递减。本基金A类基金份额、C类基金份额和D类基金份额的赎回费用由赎回该类基金份额的基金份额持有人承担，赎回费总额的25%应归基金财产，其余用于支付登记费和其他必要的手续费。其中，对持续持有期少于7日的基金份额持有人收取不低于1.5%的赎回费并全额计入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w:t>
            </w:r>
            <w:r>
              <w:rPr>
                <w:rFonts w:ascii="Times New Roman" w:hAnsi="Times New Roman"/>
                <w:color w:val="000000"/>
                <w:kern w:val="0"/>
                <w:sz w:val="25"/>
                <w:szCs w:val="24"/>
              </w:rPr>
              <w:lastRenderedPageBreak/>
              <w:t>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天（含）以上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D6FA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D6FA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D6FA6" w:rsidRDefault="009D6FA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2017年1月10日起，本基金对通过基金管理人直销柜台赎回A类基金份额的投资者，实施赎回费率优惠，详情请见《交银施罗德基金管理有限公司关于在指定渠道开展交银施罗德裕隆纯债债券型证券投资基金A类基金份额赎回费率优惠的公告》或其他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C类基金份额或D类基金份额的有效份额为净申购金额除以当日该类基金份额的基金份额净值，有效份额单位为份，申购份额计算结果按四舍五入方法，保留到小数点后2位，由此产生的收益或损失由基金财产承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C类基金份额和D类基金份额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w:t>
      </w:r>
      <w:r w:rsidR="00C54468">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pt;height:48pt">
            <v:imagedata r:id="rId15" o:title="1521256610242020828"/>
          </v:shape>
        </w:pic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例二：某养老金客户投资100,000元通过基金管理人的直销柜台申购本基金的A类基金份额，假设申购当日A类基金份额净值为1.0400元，申购费率为0.32%，则其可得到的申购份额为：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即：投资者投资100,000元申购本基金的C类基金份额，假设申购当日C类基金份额净值为1.0400元，则其可得到96,153.85份C类基金份额。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（3）D类基金份额的申购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例四：某投资者（非养老金客户）投资100,000元申购本基金的D类基金份额，假设申购当日D类基金份额净值为1.0400元，申购费率为0.9%，则其可得到的申购份额为：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净申购金额=100,000/（1+0.9%）=99,108.03元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申购费用=100,000-99,108.03=891.97元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即：某投资者（非养老金客户）投资100,000元申购本基金D类基金份额，假设申购当日D类基金份额净值为1.0400元，则其可得到95,296.18份D类基金份额。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例五：某养老金客户投资1,000,000元通过基金管理人的直销柜台申购本基金的D类基金份额，假设申购当日D类基金份额净值为1.0400元，申购费率为0.12%，则其可得到的申购份额为：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净申购金额=1,000,000/（1+0.12%）=998,801.44元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申购费用=1,000,000-998,801.44=1,198.56元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申购份额=998,801.44/1.0400=960,386.00份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即：该养老金客户投资1,000,000元通过基金管理人的直销柜台申购本基金的D类基金份额，假设申购当日D类基金份额净值为1.0400元，则其可得到960,386.00份D类基金份额。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3、赎回金额的计算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C类基金份额或D类基金份额的赎回金额为按实际确认的有效赎回份额乘以当日该类基金份额的基金份额净值并扣除相应的费用，赎回金额单位为元，计算结果保留到小数点后两位，第三位四舍五入，由此产生的收益或损失由基金财产承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例六：某投资者在持有期限超过7日、少于一年时赎回100,000份A类基金份额，对应的赎回费率为0.1%，假设赎回当日A类基金份额净值是1.0160元，则其可得到的赎回金额为：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即：投资者在持有期限超过7日、少于一年时赎回100,000份A类基金份额，对应的赎回费率为0.1%，假设赎回当日A类基金份额净值是1.0160元，则其可得到的赎回金额为101,498.40元。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例七：某投资者在持有期限超过7日、少于30日时赎回100,000份C类基金份额，对应的赎回费率为0.5%，假设赎回当日C类基金份额净值是1.0160元，则其可得到的赎回金额为：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即：投资者在持有期限超过7日、少于30日时赎回100,000份C类基金份额，对应的赎回费率为0.5%，假设赎回当日C类基金份额净值是1.0160元，则其可得到的赎回金额为101,092.00元。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投资者赎回D类基金份额，赎回金额的计算方法如下：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赎回费用=赎回份额×T日D类基金份额净值×赎回费率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赎回金额=赎回份额×T日D类基金份额净值-赎回费用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例八：某投资者赎回100,000份D类基金份额，持有期限为10日，对应的赎回费率为0，假设赎回当日D类基金份额净值是1.0160元，则其可得到的赎回金额为：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D类基金份额净值＝D类基金份额的基金资产净值总额/发行在外的D类基金份额总数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各类基金份额净值在当天收市后计算，并在T＋1日（包括该日）内公告。遇特殊情况，经中国证监会同意，可以适当延迟计算或公告。本基金A类基金份额、C类基金份额和D类基金份额的基金份额净值的计算，均保留到小数点后4位，小数点后第5位四舍五入，由此误差产生的收益或损失由基金财产承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w:t>
      </w:r>
      <w:r>
        <w:rPr>
          <w:rFonts w:ascii="宋体" w:hAnsi="宋体"/>
          <w:sz w:val="24"/>
        </w:rPr>
        <w:lastRenderedPageBreak/>
        <w:t>对基金业绩产生负面影响，或发生其他损害现有基金份额持有人利益的情形。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并依法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5、基金管理人、基金托管人、基金销售机构、基金销售支付结算机构或登记机构的异常情况导致基金销售系统、基金销售支付结算系统、基金注册登记系统或基金会计系统无法正常运行。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6、发生继续接受赎回申请将损害现有基金份额持有人利益的情形时，可暂停接受投资人的赎回申请。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采用估值技术仍导致公允价值存在重大不确定性时，经与基金托管人协商确认后，基金管理人应当暂停接受基金赎回申请或延缓支付赎回款项。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别基金份额净值为基础计算赎回金额，以此类推，直到全部赎回为止。如投资人在提交赎回申请时未作明确选择，投资人未能赎回部分作自动延</w:t>
      </w:r>
      <w:r>
        <w:rPr>
          <w:rFonts w:ascii="宋体" w:hAnsi="宋体"/>
          <w:sz w:val="24"/>
        </w:rPr>
        <w:lastRenderedPageBreak/>
        <w:t>期赎回处理。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（十三）基金的转托管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10月28日刊登公告自2020年10月28日起开通A类基金份额的定期定额投资计划业务，本基金2024年9月19日刊登公告自2024年9月20日起增设D类基金份额并开通D类基金份额的定期定额投资计划业务，具体开通销售机构名单和业务规则参见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2" w:name="_Toc241672111"/>
      <w:r>
        <w:rPr>
          <w:rFonts w:ascii="Times New Roman" w:hAnsi="Times New Roman"/>
          <w:sz w:val="30"/>
        </w:rPr>
        <w:lastRenderedPageBreak/>
        <w:t>九、基金的转换</w:t>
      </w:r>
      <w:bookmarkEnd w:id="12"/>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本基金2021年12月4日刊登公告自2021年12月7日起开放A类基金份额和C类基金份额的日常转换业务，本基金2024年9月19日刊登公告自2024年9月20日起增设D类基金份额并开通D类基金份额的日常转换业务。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3" w:name="_Toc241672112"/>
      <w:r>
        <w:rPr>
          <w:rFonts w:ascii="Times New Roman" w:hAnsi="Times New Roman"/>
          <w:sz w:val="30"/>
        </w:rPr>
        <w:lastRenderedPageBreak/>
        <w:t>十、基金的投资</w:t>
      </w:r>
      <w:bookmarkEnd w:id="13"/>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本基金在严格控制风险和保持资产流动性的基础上，通过积极主动的投资管理，力争持续稳定地实现超越业绩比较基准的投资回报。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对宏观经济运行趋势、财政以及货币政策变化趋势作出分析和判断，对未来市场利率趋势及市场信用环境变化作出预测，动态调整大类金融资产比例，自上而下决定债券组合久期、期限结构、债券类别配置策略，在严谨深入的分析和严格的风险控制基础上，综合考虑经济变量的变动对不同券种收益率、信用趋势和风险的潜在影响，深入挖掘价值被低估的标的券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分析和定量分析相结合，形成对大类资产的预测和判断，在基金合同约定的范</w:t>
      </w:r>
      <w:r>
        <w:rPr>
          <w:rFonts w:ascii="宋体" w:hAnsi="宋体"/>
          <w:sz w:val="24"/>
        </w:rPr>
        <w:lastRenderedPageBreak/>
        <w:t>围内确定债券类资产和现金类资产的配置比例，并随着各类证券风险收益特征的相对变化，动态调整大类资产的投资比例，以规避市场风险，提高基金收益率。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管理利率风险的策略。在全球经济的框架下，本基金管理人根据对市场利率变化趋势的预期，密切跟踪CPI、PPI、汇率、M2等利率敏感指标和宏观经济运行关键指标，运用数量化工具对宏观经济运行及货币财政政策变化跟踪与分析，对未来市场利率趋势进行分析预测，据此确定合理的债券组合目标久期。基金管理人通过以下方面的分析来确定债券组合的目标久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2）利率变动趋势分析。在宏观经济环境分析的基础上，密切关注月度CPI、PPI等物价指数，货币信贷、汇率等金融运行数据，预测未来利率的变动趋势。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w:t>
      </w:r>
      <w:r>
        <w:rPr>
          <w:rFonts w:ascii="宋体" w:hAnsi="宋体"/>
          <w:sz w:val="24"/>
        </w:rPr>
        <w:lastRenderedPageBreak/>
        <w:t>析，综合评估相同期限的国债、金融债、企业债、交易所和银行间市场投资品种的利差和变化趋势，通过不同类别资产的风险调整后收益比较，确定组合的类别资产配置。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本基金信用债券的投资遵循以下流程：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（7）中小企业私募债券投资策略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w:t>
      </w:r>
      <w:r>
        <w:rPr>
          <w:rFonts w:ascii="宋体" w:hAnsi="宋体"/>
          <w:sz w:val="24"/>
        </w:rPr>
        <w:lastRenderedPageBreak/>
        <w:t>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3、资产支持证券投资策略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（9）本基金应投资于信用级别评级为BBB以上(含BBB)的资产支持证券。基金持有资产支持证券期间，如果其信用等级下降、不再符合投资标准，应在评级报告发布之日起3个月内予以全部卖出；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（10）本基金进入全国银行间同业市场进行债券回购的资金余额不得超过基金资产净值的40%；本基金在全国银行间同业市场中的债券回购最长期限为1年，债券回购到期后不得展期；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以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w:t>
      </w:r>
      <w:r>
        <w:rPr>
          <w:rFonts w:ascii="宋体" w:hAnsi="宋体"/>
          <w:sz w:val="24"/>
        </w:rPr>
        <w:lastRenderedPageBreak/>
        <w:t>基金合同生效之日起开始。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法律法规或监管部门对上述投资组合比例限制进行变更的，以变更后的规定为准。法律法规或监管部门取消上述限制，如适用于本基金，基金管理人在履行适当程序后，则本基金投资不再受相关限制。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中债综合全价指数收益率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w:t>
      </w:r>
      <w:r>
        <w:rPr>
          <w:rFonts w:ascii="宋体" w:hAnsi="宋体"/>
          <w:sz w:val="24"/>
        </w:rPr>
        <w:lastRenderedPageBreak/>
        <w:t>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本基金托管人中国邮政储蓄银行股份有限公司根据本基金合同规定，于2025年10月27日复核了本报告中的财务指标、净值表现和投资组合报告等内容，保证复核内容不存在虚假记载、误导性陈述或者重大遗漏。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6,280,729,219.78</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99.49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6,280,729,219.78</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99.49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23,715,159.27</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8,766,537.79</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6,313,210,916.84</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150,627,892.01</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2.87</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2,651,067,913.45</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50.57</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609,053,879.46</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11.62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1,268,917,442.09</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24.20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90,606,878.35</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1.73</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1,998,978,670.12</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38.13</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99,874,543.33</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20,655,880.43</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6,280,729,219.78</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119.80</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222,792,493.15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4.25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渤海银行二级资本债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183,426,371.51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3.50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240314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进出</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162,002,586.30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3.09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240441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中铁</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154,693,273.98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2.95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148,946,301.37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2.84</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w:t>
      </w:r>
      <w:r>
        <w:rPr>
          <w:rFonts w:ascii="宋体" w:hAnsi="宋体"/>
          <w:sz w:val="24"/>
        </w:rPr>
        <w:lastRenderedPageBreak/>
        <w:t>处罚决定书,给予国家开发银行罚没合计1394.42万元人民币的行政处罚。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　</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2025年09月05日,国家金融监督管理总局公示行政处罚,给予华夏银行股份有限公司8725万元人民币的行政处罚。　</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2025年06月27日,国家金融监督管理总局公示行政处罚,给予中国进出口银行1810万元人民币的行政处罚。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2025年09月12日,国家金融监督管理总局公示行政处罚,给予中国进出口银行130万元人民币的行政处罚。　</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2025年01月27日,央行公示银罚决字[2024]44号行政处罚决定书,给予中国民生银行股份有限公司1705.5万元人民币的行政处罚，并没收违法所得99.07万元。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2025年09月12日,国家金融监督管理总局公示行政处罚,给予中国民生银行股份有限公司590万元人民币的行政处罚。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24,171.71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4,978,980.08</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3,763,236.00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right"/>
              <w:rPr>
                <w:rFonts w:ascii="宋体" w:hAnsi="宋体"/>
                <w:color w:val="000000"/>
                <w:kern w:val="0"/>
                <w:sz w:val="25"/>
                <w:szCs w:val="24"/>
              </w:rPr>
            </w:pPr>
            <w:r>
              <w:rPr>
                <w:rFonts w:ascii="Times New Roman" w:hAnsi="Times New Roman"/>
                <w:color w:val="000000"/>
                <w:kern w:val="0"/>
                <w:sz w:val="25"/>
                <w:szCs w:val="24"/>
              </w:rPr>
              <w:t>8,766,537.79</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4" w:name="_Toc241672113"/>
      <w:r>
        <w:rPr>
          <w:rFonts w:ascii="Times New Roman" w:hAnsi="Times New Roman"/>
          <w:sz w:val="30"/>
        </w:rPr>
        <w:lastRenderedPageBreak/>
        <w:t>十一、基金的业绩</w:t>
      </w:r>
      <w:bookmarkEnd w:id="14"/>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（1）交银裕隆纯债债券A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1.74%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5.15%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3.30%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3.37%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4.23%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7.67%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2.88%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6.45%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（2）交银裕隆纯债债券C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3.61%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5.25%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3.19%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4.72%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2.89%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3.80%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8.16%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3.37%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5.86%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（3）交银裕隆纯债债券D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9D6FA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注：本基金业绩比较基准为中债综合全价指数。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D6FA6" w:rsidRDefault="002B61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交银施罗德裕隆纯债债券型证券投资基金</w:t>
      </w:r>
    </w:p>
    <w:p w:rsidR="009D6FA6" w:rsidRDefault="002B61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9D6FA6" w:rsidRDefault="002B61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（2016年11月28日至2025年09月30日）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（1）交银裕隆纯债债券A</w:t>
      </w:r>
    </w:p>
    <w:p w:rsidR="009D6FA6" w:rsidRDefault="00C5446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（2）交银裕隆纯债债券C</w:t>
      </w:r>
    </w:p>
    <w:p w:rsidR="009D6FA6" w:rsidRDefault="00C5446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（3）交银裕隆纯债债券D</w:t>
      </w:r>
    </w:p>
    <w:p w:rsidR="009D6FA6" w:rsidRDefault="00C5446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2、本基金自2024年9月20日起，开始销售D类份额。投资者提交的申购申请于2024年9月23日被确认并将有效份额登记在册。</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5" w:name="_Toc241672114"/>
      <w:r>
        <w:rPr>
          <w:rFonts w:ascii="Times New Roman" w:hAnsi="Times New Roman"/>
          <w:sz w:val="30"/>
        </w:rPr>
        <w:lastRenderedPageBreak/>
        <w:t>十二、基金的财产</w:t>
      </w:r>
      <w:bookmarkEnd w:id="15"/>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6" w:name="_Toc241672115"/>
      <w:r>
        <w:rPr>
          <w:rFonts w:ascii="Times New Roman" w:hAnsi="Times New Roman"/>
          <w:sz w:val="30"/>
        </w:rPr>
        <w:lastRenderedPageBreak/>
        <w:t>十三、基金资产的估值</w:t>
      </w:r>
      <w:bookmarkEnd w:id="16"/>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（2）交易所市场上市交易的可转换债券，按估值日收盘价减去可转换债券收盘价中所含债券应收利息后得到的净价进行估值；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（3）交易所市场挂牌转让的资产支持证券和私募债券，采用估值技术确定公允价值。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2、交易所市场发行未上市或未挂牌转让的债券，采用估值技术确定公允价值。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w:t>
      </w:r>
      <w:r>
        <w:rPr>
          <w:rFonts w:ascii="宋体" w:hAnsi="宋体"/>
          <w:sz w:val="24"/>
        </w:rPr>
        <w:lastRenderedPageBreak/>
        <w:t>担。本基金的基金会计责任方由基金管理人担任，因此，就与本基金有关的会计问题，如经相关各方在平等基础上充分讨论后，仍无法达成一致的意见，按照基金管理人对基金资产净值的计算结果对外予以公布。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的约定和相关法律法规的规定对外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w:t>
      </w:r>
      <w:r>
        <w:rPr>
          <w:rFonts w:ascii="宋体" w:hAnsi="宋体"/>
          <w:sz w:val="24"/>
        </w:rPr>
        <w:lastRenderedPageBreak/>
        <w:t>无法抗拒，则属不可抗力。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（4）根据估值错误处理的方法，需要修改基金登记机构交易数据的，由基金登记机构进行更正，并就估值错误的更正向有关当事人进行确认。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4、法律法规或中国证监会规定的和基金合同认定的其它情形。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的约定和相关法律法规的规定对基金净值予以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本基金实施侧袋机制的，应根据本部分的约定对主袋账户资产进行估值并披露主袋账户的基金净值信息，暂停披露侧袋账户份额净值。</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7" w:name="_Toc241672116"/>
      <w:r>
        <w:rPr>
          <w:rFonts w:ascii="Times New Roman" w:hAnsi="Times New Roman"/>
          <w:sz w:val="30"/>
        </w:rPr>
        <w:lastRenderedPageBreak/>
        <w:t>十四、基金收益与分配</w:t>
      </w:r>
      <w:bookmarkEnd w:id="17"/>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1、由于本基金A类基金份额和D类基金份额不收取销售服务费，C类基金份额收取销售服务费，各基金份额类别对应的可供分配利润将有所不同；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2、若基金合同生效不满3个月可不进行收益分配；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C类和D类基金份额分别选择不同的收益分配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8" w:name="_Toc241672117"/>
      <w:r>
        <w:rPr>
          <w:rFonts w:ascii="Times New Roman" w:hAnsi="Times New Roman"/>
          <w:sz w:val="30"/>
        </w:rPr>
        <w:lastRenderedPageBreak/>
        <w:t>十五、基金的费用与税收</w:t>
      </w:r>
      <w:bookmarkEnd w:id="18"/>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划款指令，由基金托管人复核后于次月首日起第3个工作日从基金财产中一次性支取，若遇法定节假日、休息日或不可抗力致使无法按时支付的，支付日期顺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本基金A类基金份额和D类基金份额不收取销售服务费，C类基金份额的销售服务费按前一日C类基金资产净值的0.4%年费率计提。计算方法如下：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（4）上述“（一）基金费用的种类”中第3－8项、第10项费用，根据有关法规及相应协议规定，按费用实际支出金额列入或摊入当期费用，由基金托管人从基金财产中支付。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19" w:name="_Toc241672118"/>
      <w:r>
        <w:rPr>
          <w:rFonts w:ascii="Times New Roman" w:hAnsi="Times New Roman"/>
          <w:sz w:val="30"/>
        </w:rPr>
        <w:lastRenderedPageBreak/>
        <w:t>十六、基金的会计与审计</w:t>
      </w:r>
      <w:bookmarkEnd w:id="19"/>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0" w:name="_Toc241672119"/>
      <w:r>
        <w:rPr>
          <w:rFonts w:ascii="Times New Roman" w:hAnsi="Times New Roman"/>
          <w:sz w:val="30"/>
        </w:rPr>
        <w:lastRenderedPageBreak/>
        <w:t>十七、基金的信息披露</w:t>
      </w:r>
      <w:bookmarkEnd w:id="20"/>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的A类基金份额、C类基金份额和D类基金份额所对应的基金份额净值和基金份额累计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基金管理人应当在不晚于半年度和年度最后一日的次日，在指定网站分别披露半年度和年度最后一日的A类基金份额、C类基金份额和D类基金份额所对应的基金份额净值和基金份额累计净值。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中小企业私募债，基金管理人应在基金招募说明书的显著位置披露投资中小企业私募债券的流动性风险和信用风险，说明投资中小企业私募债券对基金总体风险的影响。基金管理人在本基金投资中小企业私募债券后两个交易日</w:t>
      </w:r>
      <w:r>
        <w:rPr>
          <w:rFonts w:ascii="宋体" w:hAnsi="宋体"/>
          <w:sz w:val="24"/>
        </w:rPr>
        <w:lastRenderedPageBreak/>
        <w:t>内，在中国证监会指定媒介披露所投资中小企业私募债券的名称、数量、期限、收益率等信息。本基金应当在季度报告、中期报告、年度报告等定期报告和招募说明书（更新）等文件中披露中小企业私募债券的投资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13、实施侧袋机制期间的信息披露</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1" w:name="_Toc241672120"/>
      <w:r>
        <w:rPr>
          <w:rFonts w:ascii="Times New Roman" w:hAnsi="Times New Roman"/>
          <w:sz w:val="30"/>
        </w:rPr>
        <w:lastRenderedPageBreak/>
        <w:t>十八、侧袋机制</w:t>
      </w:r>
      <w:bookmarkEnd w:id="21"/>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D6FA6" w:rsidRDefault="002B61BA">
      <w:pPr>
        <w:pStyle w:val="1"/>
        <w:snapToGrid w:val="0"/>
        <w:spacing w:beforeLines="0" w:before="240" w:after="240"/>
        <w:rPr>
          <w:rFonts w:ascii="宋体" w:hAnsi="宋体"/>
          <w:szCs w:val="30"/>
        </w:rPr>
      </w:pPr>
      <w:bookmarkStart w:id="22" w:name="_Toc241672121"/>
      <w:r>
        <w:rPr>
          <w:rFonts w:ascii="Times New Roman" w:hAnsi="Times New Roman"/>
          <w:sz w:val="30"/>
        </w:rPr>
        <w:lastRenderedPageBreak/>
        <w:t>十九、风险揭示</w:t>
      </w:r>
      <w:bookmarkEnd w:id="22"/>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财务状况、市场前景、行业竞争、人员素质等，这些都会导致企业的盈利发生变化。虽然基金可以通过投资多样化来分散这种非系统风险，但不能完全规避。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w:t>
      </w:r>
      <w:r>
        <w:rPr>
          <w:rFonts w:ascii="宋体" w:hAnsi="宋体"/>
          <w:sz w:val="24"/>
        </w:rPr>
        <w:lastRenderedPageBreak/>
        <w:t>投资的原则在个券方面未有高集中度的特征，综合评估在正常市场环境下本基金的流动性风险适中。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体上进行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4、实施备用的流动性风险管理工具的情形、程序及对投资者的潜在影响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w:t>
      </w:r>
      <w:r>
        <w:rPr>
          <w:rFonts w:ascii="宋体" w:hAnsi="宋体"/>
          <w:sz w:val="24"/>
        </w:rPr>
        <w:lastRenderedPageBreak/>
        <w:t>资固定收益类资产而面临固定收益类资产市场的系统性风险和个券风险；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资产支持证券，资产支持证券具有一定的价格波动风险、流动性风险、信用风险、提前偿付风险等风险，基金管理人将本着谨慎和控制风险的原则进行资产支持证券投资，请基金份额持有人关注包括投资资产支持证券可能导致的基金净值波动在内的各项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w:t>
      </w:r>
      <w:r>
        <w:rPr>
          <w:rFonts w:ascii="宋体" w:hAnsi="宋体"/>
          <w:sz w:val="24"/>
        </w:rPr>
        <w:lastRenderedPageBreak/>
        <w:t>平，从而带来风险；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3" w:name="_Toc241672122"/>
      <w:r>
        <w:rPr>
          <w:rFonts w:ascii="Times New Roman" w:hAnsi="Times New Roman"/>
          <w:sz w:val="30"/>
        </w:rPr>
        <w:lastRenderedPageBreak/>
        <w:t>二十、基金合同的变更、终止与基金财产的清算</w:t>
      </w:r>
      <w:bookmarkEnd w:id="23"/>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4" w:name="_Toc241672123"/>
      <w:r>
        <w:rPr>
          <w:rFonts w:ascii="Times New Roman" w:hAnsi="Times New Roman"/>
          <w:sz w:val="30"/>
        </w:rPr>
        <w:lastRenderedPageBreak/>
        <w:t>二十一、基金合同内容摘要</w:t>
      </w:r>
      <w:bookmarkEnd w:id="24"/>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4）除依据《基金法》、《基金合同》、托管协议及其他有关规定外，不得利用基金财产为自己及任何第三人谋取利益，不得委托第三人托管基金财产；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7）保守基金商业秘密，除《基金法》、《基金合同》、托管协议及其他有关规定另有规定外，在基金信息公开披露前予以保密，不得向他人泄露；</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金管理人在各重要方面的运作是否严格按照《基金合同》、托管协议的规定进行；如果基金管理人有未执行《基金合同》、托管协议规定的行为，还应当说明基金托管人是否采取了适当的措施；</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16）按照法律法规和《基金合同》、托管协议的规定监督基金管理人的投资运作；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本基金份额持有人大会不设日常机构。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3）调整本基金的申购费率、调低赎回费率、变更或增加收费方式；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6）在法律法规允许的情况下，且在对现有基金份额持有人利益无实质性不利影响的前提下，基金推出新业务或服务；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w:t>
      </w:r>
      <w:r>
        <w:rPr>
          <w:rFonts w:ascii="宋体" w:hAnsi="宋体"/>
          <w:sz w:val="24"/>
        </w:rPr>
        <w:lastRenderedPageBreak/>
        <w:t>金份额10%以上（含10%）的基金份额持有人有权自行召集，并至少提前30日报中国证监会备案。基金份额持有人依法自行召集基金份额持有人大会的，基金管理人、基金托管人应当配合，不得阻碍、干扰；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w:t>
      </w:r>
      <w:r>
        <w:rPr>
          <w:rFonts w:ascii="宋体" w:hAnsi="宋体"/>
          <w:sz w:val="24"/>
        </w:rPr>
        <w:lastRenderedPageBreak/>
        <w:t>人大会，基金管理人或基金托管人不派代表列席的，不影响表决效力。现场开会同时符合以下条件时，可以进行基金份额持有人大会议程：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w:t>
      </w:r>
      <w:r>
        <w:rPr>
          <w:rFonts w:ascii="宋体" w:hAnsi="宋体"/>
          <w:sz w:val="24"/>
        </w:rPr>
        <w:lastRenderedPageBreak/>
        <w:t>名（或单位名称）和联系方式等事项。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w:t>
      </w:r>
      <w:r>
        <w:rPr>
          <w:rFonts w:ascii="宋体" w:hAnsi="宋体"/>
          <w:sz w:val="24"/>
        </w:rPr>
        <w:lastRenderedPageBreak/>
        <w:t>理人或基金托管人不出席大会的，不影响计票的效力。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（2）现场开会的到会者在权益登记日代表的基金份额不少于本基金在权益登记日相关基金份额的二分之一（含二分之一）；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2、《基金合同》的终止事由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w:t>
      </w:r>
      <w:r>
        <w:rPr>
          <w:rFonts w:ascii="宋体" w:hAnsi="宋体"/>
          <w:sz w:val="24"/>
        </w:rPr>
        <w:lastRenderedPageBreak/>
        <w:t>清算费用由基金财产清算小组优先从基金财产中支付。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5" w:name="_Toc241672124"/>
      <w:r>
        <w:rPr>
          <w:rFonts w:ascii="Times New Roman" w:hAnsi="Times New Roman"/>
          <w:sz w:val="30"/>
        </w:rPr>
        <w:lastRenderedPageBreak/>
        <w:t>二十二、托管协议的内容摘要</w:t>
      </w:r>
      <w:bookmarkEnd w:id="25"/>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名称：中国邮政储蓄银行股份有限公司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办公地址：北京市西城区金融大街3号A座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邮政编码：100808</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法定代表人：刘建军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成立时间：2007年3月6日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批准设立机关及批准设立文号：中国银监会银监复[2006]484号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基金托管业务批准文号：证监许可[2009]673号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注册资本：991.61亿元人民币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经营范围：吸收公众存款；发放短期、中期、长期贷款；办理国内外结算；办理票据承兑和贴现；发行金融债券；代理发行、代理兑付、承销政府债券；买卖政</w:t>
      </w:r>
      <w:r>
        <w:rPr>
          <w:rFonts w:ascii="宋体" w:hAnsi="宋体"/>
          <w:sz w:val="24"/>
        </w:rPr>
        <w:lastRenderedPageBreak/>
        <w:t>府债券、金融债券；从事同业拆借；买卖、代理买卖外汇；从事银行卡业务；提供信用证服务及担保；代理收付款项及代理保险业务；提供保险箱服务；经中国银行业监督管理机构等监管部门批准的其他业务。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的约定进行监督，对存在疑义的事项进行核查。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如法律法规或监管机构以后允许本基金投资其他品种，基金管理人在履行适当程序后，可以将其纳入投资范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者到期日在一年以内的政府债券的投资比例合计不低于基金资产净值的5%，其中现金不包括结算备付金、存出保证金和应收申购款等。 如果法律法规或中国证监会变更投资品种的投资比例限制，基金管理人在履行适当程序后，可以调整上述投资品种的投资比例。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基金托管人按下述比例和调整期限进行监督：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w:t>
      </w:r>
      <w:r>
        <w:rPr>
          <w:rFonts w:ascii="宋体" w:hAnsi="宋体"/>
          <w:sz w:val="24"/>
        </w:rPr>
        <w:lastRenderedPageBreak/>
        <w:t>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10）本基金进入全国银行间同业市场进行债券回购的资金余额不得超过基金资产净值的40%；本基金在全国银行间同业市场中的债券回购最长期限为1年，债券回购到期后不得展期；</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以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六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法律法规或监管部门对上述投资组合比例限制进行变更的，以变更后的规定为</w:t>
      </w:r>
      <w:r>
        <w:rPr>
          <w:rFonts w:ascii="宋体" w:hAnsi="宋体"/>
          <w:sz w:val="24"/>
        </w:rPr>
        <w:lastRenderedPageBreak/>
        <w:t>准。法律法规或监管部门取消上述限制，如适用于本基金，基金管理人履行适当程序后，则本基金投资不再受相关限制。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根据法律法规的规定及基金合同的约定，基金财产不得用于下列投资或者活动：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确保所提供的关联交易名单的真实性、完整性、全面性。基金管理人有责任保管真实、完整、全面的关联交易名单，并负责及时更新该名单。名单变更后基金管理人应及时发送基金托管人，基金托管人于2个工作日内进行向基金管理人电话确认已知名单的变更。如果基金托管人在运作中严格依照相关法律法规、基</w:t>
      </w:r>
      <w:r>
        <w:rPr>
          <w:rFonts w:ascii="宋体" w:hAnsi="宋体"/>
          <w:sz w:val="24"/>
        </w:rPr>
        <w:lastRenderedPageBreak/>
        <w:t>金合同及托管协议约定履行了监督职责，基金管理人仍违规进行关联交易，并造成基金资产损失的，由基金管理人承担责任，基金托管人不承担任何责任。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5、基金托管人根据有关法律法规的规定及基金合同的约定，对基金管理人参与银行间债券市场进行监督。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（1）基金托管人依据有关法律法规的规定和基金合同的约定对于基金管理人参与银行间市场交易时面临的交易对手资信风险进行监督。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经慎重选择的、本基金适用的银行间债券市场交易对手名单，并按照审慎的风险控制原则在该名单中约定各交易对手所适用的交易结算方式。基金托管人在收到名单后2个工作日内电话确认收到该名单。基金托管人监督基金管理人是否按事前提供的银行间债券市场交易对手名单进行交易。基金管理人可以定期对银行间债券市场交易对手名单进行更新，如基金管理人根据市场情况需要临时调整银行间债券市场交易对手名单，应向基金托管人说明理由，在与交易对手发生交易前2个工作日内与基金托管人确认，基金托管人于1个工作日内向基金管理人电话确认，新名单自基金托管人确认当日生效。新名单生效前已与本次剔除的交易对手所进行但尚未结算的交易，仍应按照协议进行结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基金托管人有权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（2）基金托管人对于基金管理人参与银行间市场交易的交易方式的控制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和交易方式进行控制，按银行间债券市场的交易规则进行交易，基金托管人则根据银行间债券市场成交单对合同履行情况进行监督。如基金托管人发现基金管理人没有按照事先约定的交易对手或交易方式进行交易时，基金托管人应及时提醒基金管理人撤销交易，基金管理人仍不撤销的，基金托管人不承担由此造成的任何损失和责任，法律法规另有规定的除外。因交易对手不履行合同造成的基金财产的损失，基金托管人不承担责任，但有权报告中国证监会，法律法规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基金管理人在银行间市场进行现券买卖和回购交易时，需按交易对手名单中约定的该交易对手所适用的交易结算方式进行交易。如果基金托管人发现基金管理人</w:t>
      </w:r>
      <w:r>
        <w:rPr>
          <w:rFonts w:ascii="宋体" w:hAnsi="宋体"/>
          <w:sz w:val="24"/>
        </w:rPr>
        <w:lastRenderedPageBreak/>
        <w:t>没有按照事先约定的有利于信用风险控制的交易方式进行交易时，基金托管人应及时提醒基金管理人与交易对手重新确定交易方式。基金管理人仍不重新确定交易方式的，基金托管人不承担由此造成的任何损失和责任，法律法规另有规定的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6、基金托管人根据有关法律法规的规定及基金合同的约定，对基金管理人选择存款银行进行监督。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基金管理人拒不执行造成基金财产的损失，基金托管人不承担任何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7、本基金投资中小企业私募债券应符合有关法律法规的规定。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基金管理人应在基金首次投资中小企业私募债券前，向基金托管人提供经基金管理人董事会批准的有关基金投资中小企业私募债券的投资决策流程、风险控制制度、流动性风险处置预案、信用风险处置预案等。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基金管理人对本基金投资中小企业私募债券的流动性风险负责，确保对相</w:t>
      </w:r>
      <w:r>
        <w:rPr>
          <w:rFonts w:ascii="宋体" w:hAnsi="宋体"/>
          <w:sz w:val="24"/>
        </w:rPr>
        <w:lastRenderedPageBreak/>
        <w:t>关风险采取积极有效的措施，在合理的时间内有效解决基金运作的流动性问题。如因基金巨额赎回或市场发生剧烈变动等原因而导致基金现金周转困难时，基金管理人应保证提供足额现金确保基金的支付结算。</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基金托管人有权根据基金管理人制定的风险控制制度对基金管理人投资中小企业私募债券的额度和比例进行监督。如果基金管理人对相应风险控制制度进行修改的，应及时修订后通知基金托管人。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投资中小企业私募债券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如因市场变化，基金管理人投资的中小企业私募债券超过投资比例的，基金托管人有权要求基金管理人在10个交易日内将中小企业私募债券调整至规定的比例要求，但中国证监会规定的特殊情形除外。</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督促基金管理人改正。基金管理人对基金托管人通知的违规事项未能在上述规定期限内纠正的，基金托管人有权报告中国证监会。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基金托管人发现基金管理人的指令违反法律、行政法规和其他有关规定，或者违反基金合同约定的，应当拒绝执行，立即通知基金管理人及时改正。如基金管理人拒绝改正的，基金托管人有权报告中国证监会。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基金托管人发现基金管理人依据交易程序已经生效的指令违反法律、行政法规和其他有关规定，或者违反基金合同约定的，应当立即通知基金管理人，并及时向中国证监会报告。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10、对基金托管人按照法规要求需向中国证监会报送基金监督报告的事项，基金管理人应积极配合提供相关数据资料和制度等。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法、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侧袋机制的具体规则依照相关法律法规的规定和基金合同的约定执行。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和证券账户等投资所需账户、及时、准确复核基金管理人计算的基金资产净值、各类基金份额的基金份额净值，根据基金管理人指令办理清算交收且遇到问题应及时反馈、相关信息披露和监督基金投资运作是否对非公开信息保密等行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基金管理人并改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等。基金管理人有权要求基金托管人赔偿基金因此所遭受的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和银行业监督管理机构，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（2）基金托管人应安全保管基金财产。未经基金管理人的正当指令，不得自行运用、处分、分配基金的任何财产。如果基金财产在基金托管人保管期间损坏、灭失的，应由该基金托管人承担赔偿责任。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（3）基金托管人按照规定开设基金财产的资金账户、证券账户及和债券托管账户等投资所需的账户。</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（5）基金托管人根据基金管理人的指令，按照法律法规的规定、基金合同和本协议的约定保管基金财产。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和基金认购、申购过程中产生的应收资产，如基金托管人无法从公开信息或基金管理人提供的书面资料中获取到账日期信息的，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的损失，基金托管人应予以配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（7）除依据法律法规和基金合同的规定外，基金托管人不得委托第三人托管基金财产。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设的基金募集专户，在基金募集行为结束前，任何人不得动用。有效认购款项在基金募集期内产生的利息将折合成基金份额，归基金份额持有人所有。基金募集期产生的利息以登记机构的记录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属于基金财产的全部资金划入基金托管人为本基金开立的基金银行账户，基金托管人在收到资金当日出具相关证明文件，基金管理人在规定时间内，聘请具有从事证券相关业务资格的会计师事务所进行验资，出具验资报告，验资报告中需对基金募集的资金进行确认。出具的验资报告由参加验资的2名或2名以上中国注册会计师签字方为有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银行账户，并根据基金管理人合法合规的指令办理资金收付。本基金的银行预留印鉴由基金托管人保管和使用。本基金的一切货币收支活动，包括但不限于投资、支付赎回金额、支付基金收益、收取申购款，均需通过本基金的银行账户进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（4）基金银行账户的开立和管理应符合相关法律法规的有关规定。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4、基金证券交收账户和结算备付金账户的开立和管理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（1）基金托管人在中国证券登记结算有限责任公司上海分公司、深圳分公司为基金开立基金托管人与本基金联名的证券账户，账户名称以实际开立为准。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w:t>
      </w:r>
      <w:r>
        <w:rPr>
          <w:rFonts w:ascii="宋体" w:hAnsi="宋体"/>
          <w:sz w:val="24"/>
        </w:rPr>
        <w:lastRenderedPageBreak/>
        <w:t>管人和基金管理人不得出借或未经对方同意擅自转让基金的任何证券账户，亦不得使用基金的任何账户进行本基金业务以外的活动。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以本基金的名义在基金托管人托管系统中开立二级结算备付金账户，并代表所托管的基金完成与中国证券登记结算有限责任公司的一级法人清算工作，基金管理人应予以积极协助。结算备付金的收取按照中国证券登记结算有限责任公司的规定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银行间市场清算所股份有限公司开立债券托管与结算账户并报中国人民银行备案，并代表基金进行银行间市场债券的结算。基金管理人代表基金签订全国银行间债券市场债券回购主协议，协议正本由基金管理人保存。</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证实书等有价凭证由基金托管人负责妥善保管，保管凭证由基金托管人持有，其中实物证券由基金托管人存放于托管银行的保管库，应与非本基金的其他实物证券分开保管；也可存入登记结算机构的代保管库。实物证券的购买和转让，由基金托管人根据基金管理人的指令办理。</w:t>
      </w:r>
      <w:r>
        <w:rPr>
          <w:rFonts w:ascii="宋体" w:hAnsi="宋体"/>
          <w:sz w:val="24"/>
        </w:rPr>
        <w:lastRenderedPageBreak/>
        <w:t>属于基金托管人实际有效控制下的实物证券在基金托管人保管期间的损坏、灭失，由此产生的责任应由基金托管人承担。基金托管人对基金托管人以外机构实际有效控制的证券及其他基金财产不承担保管责任。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15年。对于无法取得二份以上的正本的，基金管理人应向基金托管人提供加盖授权业务章的合同传真件，未经双方协商或未在合同约定范围内，合同原件不得转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（1）基金资产净值是指基金资产总值减去基金负债后的金额。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各类基金份额的基金份额净值是指每个工作日闭市后，该类基金份额的基金资产净值除以当日该类基金份额总数后的数值。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各类基金份额净值的计算，精确到0.0001元，小数点后第五位四舍五入，由此产生的误差计入基金财产。国家另有规定的，从其规定。</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基金管理人每个工作日计算各类基金资产净值和基金份额净值，经基金托管人复核无误后，按规定公告。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基金管理人每个工作日对基金资产进行估值后，将各类基金份额的基金份额净值结果发送基金托管人，经基金托管人复核无误后，由基金管理人对外公布。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各类基金份额的基金份额净值计算和基金会计核算的义务由基金管理人承担。本基金的基金会计责任方由基金管理人担任，因此，就与本基金有关的会计问题，如经相关各方在平等基础上充分讨论后，仍无法达成一致意见的，按照基金管理人的计算结果对外予以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基金所拥有的债券和其它投资等持续以公允价值计量的金融资产及负债。</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a）交易所市场上市交易或挂牌转让的固定收益品种（另有规定的除外），选取第三方估值机构提供的相应品种当日的估值净价进行估值；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b）交易所市场上市交易的可转换债券，按估值日收盘价减去可转换债券收盘价中所含债券应收利息后得到的净价进行估值；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c）交易所市场挂牌转让的资产支持证券和私募债券，采用估值技术确定公允价值。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2）交易所市场发行未上市或未挂牌转让的债券，采用估值技术确定公允价值。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基金管理人、基金托管人按估值方法的第5）项进行估值时，所造成的误差不作为基金份额净值错误处理。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不可抗力原因，或由于证券交易所、证券经纪机构及登记机构发送的数据错误等，基金管理人和基金托管人虽然已经采取必要、适当、合理的措施进行检查，但未能发现错误的，由此造成的基金财产估值错误，基金管理人和基金托管人免除赔偿责任。但基金管理人、基金托管人应当积极采取必要的措施消除或减轻由此造成的影响。</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（4）实施侧袋机制期间的基金资产估值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3、估值错误的处理方式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本托管协议的当事人应按照以下约定处理：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w:t>
      </w:r>
      <w:r>
        <w:rPr>
          <w:rFonts w:ascii="宋体" w:hAnsi="宋体"/>
          <w:sz w:val="24"/>
        </w:rPr>
        <w:lastRenderedPageBreak/>
        <w:t>务的当事人有足够的时间进行更正而未更正，则其应当承担相应赔偿责任。估值错误责任方应对更正的情况向有关当事人进行确认，确保估值错误已得到更正。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招募说明书在基金合同生效后每6个月更新并公告一次，于该等期间届满后45日内公告。季度报告应在每个季度结束之日起15个工作日内完成季度报告编制并予以公告；半年度报告在会计年度半年终了后60日内完成半年度报告编制并予以公告；年度报告在会计年度结束后90日内完成年度报告编制并予以公告。基金年度报告的财务会计报告应当经过审计。基金合同生效不足2个月的，基金管理人可以不编制当期季度报告、半年度报告或者年度报告。（2）报表复核</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个工作日内进行复核，并将复核结果书面通知基金管理人。基金管理人在季度报告完成当日，将有关报告提供给基金托管人复核，基金托管人应在收到后7个工作日内完成复核，并将复核结果书面通知基金管理人。基金管理人在半年度报告完成当日，将有关报告提供给基金托管人复核，基金托管人应在收</w:t>
      </w:r>
      <w:r>
        <w:rPr>
          <w:rFonts w:ascii="宋体" w:hAnsi="宋体"/>
          <w:sz w:val="24"/>
        </w:rPr>
        <w:lastRenderedPageBreak/>
        <w:t>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业务专用章或者出具加盖托管业务部门公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8、基金管理人应在编制季度报告、半年度报告或者年度报告之前向基金托管人提供基金业绩比较基准的基础数据和编制结果。</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基金份额持有人名册由登记机构编制，由基金管理人审核并提交基金托管人保管。基金托管人有权要求基金管理人提供基金份额持有人名册，基金管理人应及时提供，不得拖延或拒绝提供。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6" w:name="_Toc241672125"/>
      <w:r>
        <w:rPr>
          <w:rFonts w:ascii="Times New Roman" w:hAnsi="Times New Roman"/>
          <w:sz w:val="30"/>
        </w:rPr>
        <w:lastRenderedPageBreak/>
        <w:t>二十三、对基金份额持有人的服务</w:t>
      </w:r>
      <w:bookmarkEnd w:id="26"/>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或D类基金份额的申购和定期定额投资业务的个人投资者将享受前端申购费率的优惠。具体优惠费率请参见公司网站列示的网上直销交易平台申购、定期定额投资费率表或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相应类别的基金份额进行再投资，若投资人不选择，本基金默认的收益分配方式是现金分红；基金份额持有人可对其持有的A类基金份额、C类基金份额和D类基金份额分别选择不同的收益分配方式。再投资红利按红利再投日（即除息日）除息后的基金份额净值自动转为相应类别的基金份额，并免收申购费用。</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7" w:name="_Toc241672126"/>
      <w:r>
        <w:rPr>
          <w:rFonts w:ascii="Times New Roman" w:hAnsi="Times New Roman"/>
          <w:sz w:val="30"/>
        </w:rPr>
        <w:lastRenderedPageBreak/>
        <w:t>二十四、其他应披露事项</w:t>
      </w:r>
      <w:bookmarkEnd w:id="27"/>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交银施罗德基金管理有限公司关于增加兴业银行股份有限公司为旗下基金的销售机构的公告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2024-10-31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2024-11-15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2024-11-18</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交银施罗德基金管理有限公司关于增加蚂蚁（杭州）基金销售有限公司为旗下基金的销售机构的公告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交银施罗德基金管理有限公司关于增加京东肯特瑞基金销售有限公司为旗下基金的销售机构的公告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2024-12-02</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2024-12-24</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交银施罗德基金管理有限公司关于增加恒泰证券股份有限公司为旗下基金的销售机构的公告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2025-01-14</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交银施罗德基金管理有限公司关于增加上海长量基金销售有限公司为旗下基金的销售机构的公告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2025-05-30</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2025-06-04</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交银施罗德裕隆纯债债券型证券投资基金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2025-09-23</w:t>
            </w:r>
          </w:p>
        </w:tc>
      </w:tr>
      <w:tr w:rsidR="009D6FA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交银施罗德基金管理有限公司关于交银施罗德裕隆纯债债券型证券投资基金于</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国庆节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D6FA6" w:rsidRDefault="002B6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bl>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8" w:name="_Toc241672127"/>
      <w:r>
        <w:rPr>
          <w:rFonts w:ascii="Times New Roman" w:hAnsi="Times New Roman"/>
          <w:sz w:val="30"/>
        </w:rPr>
        <w:lastRenderedPageBreak/>
        <w:t>二十五、招募说明书的存放及查阅方式</w:t>
      </w:r>
      <w:bookmarkEnd w:id="28"/>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2B61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D6FA6" w:rsidRDefault="002B61BA">
      <w:pPr>
        <w:pStyle w:val="1"/>
        <w:snapToGrid w:val="0"/>
        <w:spacing w:beforeLines="0" w:before="240" w:after="240"/>
        <w:rPr>
          <w:rFonts w:ascii="宋体" w:hAnsi="宋体"/>
          <w:szCs w:val="30"/>
        </w:rPr>
      </w:pPr>
      <w:bookmarkStart w:id="29" w:name="_Toc241672128"/>
      <w:r>
        <w:rPr>
          <w:rFonts w:ascii="Times New Roman" w:hAnsi="Times New Roman"/>
          <w:sz w:val="30"/>
        </w:rPr>
        <w:lastRenderedPageBreak/>
        <w:t>二十六、备查文件</w:t>
      </w:r>
      <w:bookmarkEnd w:id="29"/>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（一）中国证监会准予交银施罗德裕隆纯债债券型证券投资基金募集注册的文件</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（二）《交银施罗德裕隆纯债债券型证券投资基金基金合同》</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（三）《交银施罗德裕隆纯债债券型证券投资基金托管协议》</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D6FA6" w:rsidRDefault="002B61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（六）关于申请募集注册交银施罗德裕隆纯债债券型证券投资基金的法律意见书</w:t>
      </w:r>
    </w:p>
    <w:sectPr w:rsidR="009D6FA6">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6B8" w:rsidRDefault="002B61BA">
      <w:r>
        <w:separator/>
      </w:r>
    </w:p>
  </w:endnote>
  <w:endnote w:type="continuationSeparator" w:id="0">
    <w:p w:rsidR="002706B8" w:rsidRDefault="002B6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9D6FA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C5446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D6FA6" w:rsidRDefault="002B61B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5446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9D6FA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C5446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D6FA6" w:rsidRDefault="002B61B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54468">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6B8" w:rsidRDefault="002B61BA">
      <w:r>
        <w:separator/>
      </w:r>
    </w:p>
  </w:footnote>
  <w:footnote w:type="continuationSeparator" w:id="0">
    <w:p w:rsidR="002706B8" w:rsidRDefault="002B6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9D6FA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2B61BA">
    <w:pPr>
      <w:pStyle w:val="a3"/>
      <w:jc w:val="right"/>
      <w:rPr>
        <w:rFonts w:ascii="宋体" w:hAnsi="宋体"/>
      </w:rPr>
    </w:pPr>
    <w:r>
      <w:rPr>
        <w:rFonts w:ascii="宋体" w:hAnsi="宋体" w:hint="eastAsia"/>
      </w:rPr>
      <w:t>交银施罗德裕隆纯债债券型证券投资基金招募说明书更新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9D6FA6">
    <w:pPr>
      <w:pStyle w:val="10"/>
      <w:jc w:val="right"/>
    </w:pPr>
  </w:p>
  <w:p w:rsidR="009D6FA6" w:rsidRDefault="009D6FA6">
    <w:pPr>
      <w:pStyle w:val="10"/>
      <w:jc w:val="right"/>
    </w:pPr>
  </w:p>
  <w:p w:rsidR="009D6FA6" w:rsidRDefault="009D6FA6">
    <w:pPr>
      <w:pStyle w:val="a3"/>
      <w:jc w:val="right"/>
    </w:pPr>
  </w:p>
  <w:p w:rsidR="009D6FA6" w:rsidRDefault="002B61BA">
    <w:pPr>
      <w:pStyle w:val="a3"/>
      <w:jc w:val="right"/>
      <w:rPr>
        <w:rFonts w:ascii="宋体" w:hAnsi="宋体"/>
      </w:rPr>
    </w:pPr>
    <w:r>
      <w:rPr>
        <w:rFonts w:ascii="宋体" w:hAnsi="宋体" w:hint="eastAsia"/>
      </w:rPr>
      <w:t>交银施罗德裕隆纯债债券型证券投资基金招募说明书更新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FA6" w:rsidRDefault="009D6FA6">
    <w:pPr>
      <w:pStyle w:val="a3"/>
      <w:jc w:val="right"/>
    </w:pPr>
  </w:p>
  <w:p w:rsidR="009D6FA6" w:rsidRDefault="009D6FA6">
    <w:pPr>
      <w:pStyle w:val="a3"/>
      <w:jc w:val="right"/>
    </w:pPr>
  </w:p>
  <w:p w:rsidR="009D6FA6" w:rsidRDefault="009D6FA6">
    <w:pPr>
      <w:pStyle w:val="a3"/>
      <w:jc w:val="right"/>
    </w:pPr>
  </w:p>
  <w:p w:rsidR="009D6FA6" w:rsidRDefault="002B61BA">
    <w:pPr>
      <w:pStyle w:val="a3"/>
      <w:jc w:val="right"/>
      <w:rPr>
        <w:rFonts w:ascii="宋体" w:hAnsi="宋体"/>
      </w:rPr>
    </w:pPr>
    <w:r>
      <w:rPr>
        <w:rFonts w:ascii="宋体" w:hAnsi="宋体" w:hint="eastAsia"/>
      </w:rPr>
      <w:t>交银施罗德裕隆纯债债券型证券投资基金招募说明书更新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06B8"/>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61BA"/>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6FA6"/>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468"/>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95309844-4036-4B9C-8F79-22637B88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16575</Words>
  <Characters>94484</Characters>
  <Application>Microsoft Office Word</Application>
  <DocSecurity>0</DocSecurity>
  <Lines>787</Lines>
  <Paragraphs>221</Paragraphs>
  <ScaleCrop>false</ScaleCrop>
  <Company>Microsoft</Company>
  <LinksUpToDate>false</LinksUpToDate>
  <CharactersWithSpaces>110838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2026-09-30T06:48:00Z</dcterms:created>
  <dcterms:modified xsi:type="dcterms:W3CDTF">2026-09-30T06:48:00Z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