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交银施罗德新成长混合型证券投资基金</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交银新成长混合</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519736</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招商银行股份有限公司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2014-05-09</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混合型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王崇</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2014-10-22</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2008-08-01</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基金份额持有人数量不满200人或者基金资产净值低于5000万元的，基金管理人应当及时报告中国证监会；连续20个工作日出现前述情形的，基金管理人应当向中国证监会说明原因并报送解决方案。</w:t>
            </w:r>
          </w:p>
        </w:tc>
      </w:tr>
    </w:tbl>
    <w:p w:rsidR="006A53E7" w:rsidRPr="00335FE8" w:rsidP="006A53E7">
      <w:pPr>
        <w:spacing w:after="0"/>
        <w:jc w:val="left"/>
        <w:rPr>
          <w:rFonts w:ascii="仿宋_GB2312" w:eastAsia="仿宋_GB2312" w:hint="eastAsia"/>
          <w:sz w:val="21"/>
          <w:szCs w:val="21"/>
        </w:rPr>
      </w:pPr>
      <w:r w:rsidRPr="00335FE8">
        <w:rPr>
          <w:rFonts w:ascii="仿宋_GB2312" w:eastAsia="仿宋_GB2312" w:hAnsi="仿宋_GB2312" w:cs="仿宋_GB2312" w:hint="eastAsia"/>
          <w:kern w:val="0"/>
          <w:sz w:val="21"/>
          <w:szCs w:val="21"/>
        </w:rPr>
        <w:t>注：</w:t>
      </w:r>
      <w:r w:rsidRPr="00335FE8">
        <w:rPr>
          <w:rFonts w:ascii="仿宋_GB2312" w:eastAsia="仿宋_GB2312" w:hint="eastAsia"/>
          <w:sz w:val="21"/>
          <w:szCs w:val="21"/>
        </w:rPr>
        <w:t>519736（前端），519737（后端）</w:t>
      </w:r>
    </w:p>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深入挖掘经济转型背景下的投资机会，自下而上精选个股，力争实现基金资产的长期稳定增值。</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国内依法发行上市的股票(含中小板、创业板及其他经中国证监会核准上市的股票、存托凭证)、债券、中期票据、货币市场工具、权证、资产支持证券、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股票资产（含存托凭证）占基金资产的60%-95%，其中投资于经过严格品质筛选、未来预期成长性良好的公司股票不低于非现金基金资产的80%；其余资产投资于债券、中期票据、货币市场工具、权证、资产支持证券、股指期货以及法律法规或中国证监会允许基金投资的其他证券品种；每个交易日日终在扣除股指期货合约需缴纳的交易保证金后，基金保留的现金或者投资于到期日在一年以内的政府债券的比例合计不低于基金资产净值的5%，其中现金不包括结算备付金、存出保证金和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充分发挥基金管理人研究优势，在经济转型大背景下，分析和判断宏观经济运行变化和政府产业政策等多因素影响，积极挖掘不同行业和子行业景气度新变化下的个股投资机会，通过团队对个股深入的基本面研究和细致的实地调研，精选公司品质良好、成长具有可持续性、定价相对合理的股票进行投资，以谋求超额收益。</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1、资产配置；2、个股选择；3、债券投资；4、权证投资；5、资产支持证券投资；6、股指期货投资。</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75%×富时中国A600成长指数+25%×中证综合债券指数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混合型基金，其风险和预期收益高于债券型基金和货币市场基金，低于股票型基金。属于承担较高风险、预期收益较高的证券投资基金品种。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详见《交银施罗德新成长混合型证券投资基金招募说明书》“基金的投资”。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1400" w:type="dxa"/>
            <w:vMerge w:val="restart"/>
            <w:vAlign w:val="center"/>
          </w:tcPr>
          <w:p w:rsidR="009C0C41" w:rsidRPr="00335FE8" w:rsidP="00D373CC">
            <w:pPr>
              <w:widowControl/>
              <w:spacing w:after="0" w:line="240" w:lineRule="auto"/>
              <w:jc w:val="center"/>
              <w:rPr>
                <w:rFonts w:ascii="仿宋_GB2312" w:eastAsia="仿宋_GB2312" w:hAnsi="仿宋_GB2312" w:cs="仿宋_GB2312" w:hint="eastAsia"/>
                <w:kern w:val="0"/>
                <w:sz w:val="21"/>
                <w:szCs w:val="21"/>
              </w:rPr>
            </w:pPr>
            <w:r w:rsidRPr="00335FE8">
              <w:rPr>
                <w:rFonts w:ascii="仿宋_GB2312" w:eastAsia="仿宋_GB2312" w:hAnsi="仿宋_GB2312" w:cs="仿宋_GB2312" w:hint="eastAsia"/>
                <w:kern w:val="0"/>
                <w:sz w:val="21"/>
                <w:szCs w:val="21"/>
              </w:rPr>
              <w:t>申购费（前收费）</w:t>
            </w: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M＜100万元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100万元≤M＜300万元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300万元≤M＜500万元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0.8%</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500万元≤M＜1000万元</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0.5%</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300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2409"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1000万元≤M</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1,000元每笔</w:t>
            </w:r>
          </w:p>
        </w:tc>
        <w:tc>
          <w:tcPr>
            <w:tcW w:w="2126" w:type="dxa"/>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申购费（后收费）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N≤1年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1.8%</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1年＜N≤3年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1.2%</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3年＜N≤5年</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0.6%</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宋体" w:cs="宋体" w:hint="eastAsia"/>
                <w:kern w:val="0"/>
                <w:sz w:val="21"/>
                <w:szCs w:val="21"/>
              </w:rPr>
            </w:pPr>
          </w:p>
        </w:tc>
        <w:tc>
          <w:tcPr>
            <w:tcW w:w="3000"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5年＜N</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0.75%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30天≤N＜365天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365天≤N＜730天</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0.25%</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730天≤N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2、本基金管理人对养老金客户实施特定申购费率，请详见本基金招募说明书。销售机构若有其他费率优惠请见基金管理人或其他销售机构的有关公告或通知。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50000.00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1.40%</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5、本基金投资策略所特有的风险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（1）本基金为混合型基金，将维持较高的股票持仓比例，如果股票市场出现整体下跌，本基金的净值表现将受到影响。</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对宏观经济趋势、政策以及上市公司基本面研究是否准确、深入，以及对成长型股票的优选和判断是否科学、准确将影响本基金的收益。基本面研究及上市公司分析的错误均可能导致所选择的证券不能完全符合本基金的预期目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w:t>
      </w: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因基金合同而产生的或与基金合同有关的一切争议，如经友好协商未能解决的，任何一方均有权将争议提交中国国际经济贸易仲裁委员会，按其届时有效的仲裁规则进行仲裁。仲裁地点为北京市。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●《交银施罗德新成长混合型证券投资基金基金合同》、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《交银施罗德新成长混合型证券投资基金托管协议》、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《交银施罗德新成长混合型证券投资基金招募说明书》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