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交银施罗德中证港股通央企红利指数型证券投资基金（A类份额）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交银中证港股通央企红利指数A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025189</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中信建投证券股份有限公司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2025-10-28</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股票型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邵文婷</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2025-10-28</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2016-01-25</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本基金采用指数化投资策略，紧密跟踪中证港股通央企红利指数，追求跟踪偏离度与跟踪误差最小化。</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中证港股通央企红利指数的成份股（含存托凭证）及备选成份股（含存托凭证）、其他股票（含创业板、科创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本基金可根据法律法规的规定参与融资及转融通证券出借业务。未来在法律法规允许的前提下，本基金可根据相关法律法规规定参与融券业务。</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本基金投资于中证港股通央企红利指数成份股（含存托凭证）及备选成份股（含存托凭证）的比例不低于基金资产净值的90%且不低于非现金基金资产的80%；每个交易日日终在扣除股指期货合约需缴纳的交易保证金后，本基金持有的现金或者到期日在一年以内的政府债券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本基金标的指数为中证港股通央企红利指数。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主要采用组合复制策略及适当的替代性策略以更好的跟踪标的指数，实现基金投资目标。在正常市场情况下，力争控制本基金日均跟踪偏离度的绝对值不超过0.35%，年跟踪误差不超过4%。如因指数编制规则调整或其他因素导致跟踪偏离度和跟踪误差超过上述范围，基金管理人应采取合理措施避免跟踪偏离度、跟踪误差进一步扩大。</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当指数编制方法变更、成份股发生变更、成份股权重由于自由流通量调整而发生变化、成份股派发现金股息、配股及增发、股票长期停牌、市场流动性不足等情况发生时，基金管理人将对投资组合进行优化，尽量降低跟踪误差。</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1、股票投资策略；2、债券投资策略；3、股指期货投资策略；4、资产支持证券投资策略；5、存托凭证投资策略；6、融资、转融通证券出借业务投资策略。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中证港股通央企红利指数收益率（经估值汇率调整）×95%＋人民币银行活期存款利率（税后）×5%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本基金是一只股票型基金，其预期风险和预期收益理论上高于混合型基金、债券型基金和货币市场基金。</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本基金为指数型基金，主要采用完全复制法跟踪中证港股通央企红利指数，具有与标的指数相似的风险收益特征。</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本基金投资港股通标的股票，会面临港股通机制下因投资环境、投资标的、市场制度以及交易规则等差异带来的特有风险。</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详见《交银施罗德中证港股通央企红利指数型证券投资基金招募说明书》“基金的投资”。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2、本基金合同于2025年10月28日生效，合同生效当年净值增长率按实际存续期计算；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0.50%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30000.00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0.81%</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股票型基金，投资于中证港股通央企红利指数成份股（含存托凭证）及备选成份股（含存托凭证）的比例不低于基金资产净值的90%且不低于非现金基金资产的80%，因投资权益类资产而面临权益类资产市场的系统性风险和个股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标的指数回报与股票市场平均回报偏离的风险、（3）标的指数波动的风险、（4）标的指数成分股主题集中风险、（5）基金投资组合回报与标的指数回报偏离及跟踪误差控制未达约定目标的风险、（6）指数编制机构停止服务的风险、（7）成份股停牌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（8）基金合同提前终止风险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《基金合同》生效后，连续50个工作日出现基金份额持有人数量不满200人或者基金资产净值低于5000万元情形的，基金合同终止，不需召开基金份额持有人大会。因此，投资者可能面临基金合同提前终止的风险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（10）投资港股通标的股票的特定风险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本基金投资于港股通标的股票，会面临港股通机制下因投资环境、投资标的、市场制度以及交易规则等差异带来的特有风险，具体如下：</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1）港股交易失败风险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港股通业务目前存在每日额度。在香港联合交易所开市前阶段，当日额度使用完毕的，新增的买单申报将面临失败的风险；在香港联合交易所持续交易时段，当日额度使用完毕的，当日本基金将面临不能通过港股通进行买入交易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2）汇率风险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将投资港股通标的股票，在交易时间内提交订单依据的港币买入参考汇率和卖出参考汇率，并不等于最终结算汇率。港股通交易日日终，中国证券登记结算有限责任公司进行净额换汇，将换汇成本按成交金额分摊至每笔交易，确定交易实际适用的结算汇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以人民币募集和计价，港币相对于人民币的汇率变化将会影响本基金以人民币计价的基金资产价值，从而导致基金资产面临潜在风险。人民币对港币的汇率的波动也可能加大基金净值的波动，从而对基金业绩产生影响。故本基金投资面临汇率风险，汇率波动可能对基金的投资收益造成损失。</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3）境外市场的风险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将通过港股通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2.香港市场交易规则有别于内地A股市场规则，此外，在“内地与香港股票市场交易互联互通机制”下参与香港股票投资还将面临包括但不限于如下特殊风险：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a）香港市场实行T+0回转交易机制（即当日买入的股票，在交收前可以于当日卖出），且证券交易价格并无涨跌幅上下限的规定，因此每日涨跌幅空间相对较大，可能表现出比A股更为剧烈的股价波动；</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b）只有沪港深三地均为交易日且能够满足结算安排的交易日才为港股通交易日，存在港股通交易日不连贯的情形（如内地市场因放假等原因休市而香港市场照常交易或内地市场开市香港市场休市但港股通不能如常进行交易），而导致港股不能及时卖出带来一定的流动性风险；以及基金所持的港股组合在后续港股通交易日开市交易中集中体现市场反应而造成其价格波动骤然增大，进而导致本基金所持港股组合在资产估值上出现波动增大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c）香港联合交易所出现规定的相关情形时，香港联合交易所将可能停市，本基金将面临在停市期间无法进行港股通交易的风险；出现内地证券交易服务公司认定的交易异常情况时，内地证券交易服务公司将可能暂停提供部分或者全部港股通服务，将面临在暂停服务期间无法进行港股通交易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d）投资者因港股通股票权益分派、转换、上市公司被收购等情形或者异常情况，所取得的港股通股票以外的香港联合交易所上市证券，只能通过港股通卖出，但不得买入，内地证券交易服务公司另有规定的除外；因港股通股票发行人供股、港股通股票权益分派或者转换等情形取得的香港联合交易所上市股票的认购权利凭证在香港联合交易所上市的，可以通过港股通卖出，但不得买入，其行权等事宜按照中国证监会、中国证券登记结算有限责任公司的相关规定处理；因港股通股票权益分派、转换或者上市公司被收购等所取得的非香港联合交易所上市证券，不得通过港股通买入或卖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e）代理投票。由于中国证券登记结算有限责任公司是在汇总投资者意愿后再向香港中央结算有限公司提交投票意愿，中国证券登记结算有限责任公司对投资者设定的意愿征集期比香港中央结算有限公司的征集期稍早结束；投票没有权益登记日的，以投票截止日的持有作为计算基准；投票数量超出持有数量的，按照比例分配持有基数。</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以上所述因素可能会给本基金投资带来特殊交易风险。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（12）投资资产支持证券的特定风险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（13）投资流通受限证券的特定风险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（14）投资存托凭证的特定风险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（15）投资科创板股票的特定风险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（16）本基金参与融资业务的特定风险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本基金可参与融资业务，面临的风险包括但不限于市场风险、流动性风险、信用风险等。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（17）本基金参与转融通证券出借业务的特定风险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本基金可参与转融通证券出借业务，面临的风险包括但不限于流动性风险、信用风险、市场风险、其他风险等。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照中国国际经济贸易仲裁委员会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●《交银施罗德中证港股通央企红利指数型证券投资基金基金合同》、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《交银施罗德中证港股通央企红利指数型证券投资基金托管协议》、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《交银施罗德中证港股通央企红利指数型证券投资基金招募说明书》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