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交银施罗德优择回报灵活配置混合型证券投资基金（A类份额）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交银优择回报灵活配置混合A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519770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2016-04-22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高扬</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2026-07-25</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2016-07-11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二十个工作日基金份额持有人数量不满200人或者基金资产净值低于5000万元的，基金管理人应当在定期报告中予以披露。连续六十个工作日出现基金份额持有人数量不满200人或者基金资产净值低于5000万元情形的，基金管理人提前终止基金合同，按照相关法律法规和基金合同的约定进入清算程序，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本基金在控制风险并保持基金资产良好的流动性的前提下，通过灵活的资产配置策略和积极主动的投资管理，力争为投资者提供长期稳健的投资回报。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上市的股票、存托凭证）、债券（含国债、央行票据、金融债、地方政府债、企业债、公司债、可转债（含可分离交易可转换债券）、可交换公司债、次级债、中期票据、短期融资券、超级短期融资券、中小企业私募债等）、资产支持证券、货币市场工具、银行存款、股指期货、权证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资产（含存托凭证）占基金资产0%-95%，股票资产按照基金所持有的股票市值以及买入、卖出股指期货合约价值合计（轧差计算)；权证的投资比例不超过基金资产净值的3%；每个交易日日终在扣除股指期货合约需缴纳的交易保证金后，基金保留的现金或者投资于到期日在一年以内的政府债券的比例合计不低于基金资产净值的5%，其中现金不包括结算备付金、存出保证金、应收申购款等；基金在任何交易日日终，持有的买入股指期货合约价值，不得超过基金资产净值的10%；基金在任何交易日日终，持有的卖出期货合约价值不得超过基金持有的股票总市值的20%。</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自上而下灵活调整基金大类资产配置比例和股票行业配置比例，确定债券组合久期和债券类别配置；在严谨深入的股票和债券研究分析基础上，自下而上精选股票和债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1、大类资产配置；2、股票投资策略；3、债券投资策略；4、权证投资；5、股指期货投资。</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沪深300指数收益率×75%+中债-国债总全价（1-3年）指数收益率×25%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详见《交银施罗德优择回报灵活配置混合型证券投资基金招募说明书》“基金的投资”。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2、本基金合同于2016年4月22日生效，合同生效当年净值增长率按实际存续期计算；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0.3%</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0.75%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30天≤N＜180天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180天≤N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0.84%</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连续六十个工作日出现基金份额持有人数量不满200人或者基金资产净值低于5000万元情形的，基金管理人将提前终止基金合同，按照相关法律法规和基金合同的约定进入清算程序，不需召开基金份额持有人大会。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●《交银施罗德优择回报灵活配置混合型证券投资基金基金合同》、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《交银施罗德优择回报灵活配置混合型证券投资基金托管协议》、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《交银施罗德优择回报灵活配置混合型证券投资基金招募说明书》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