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交银施罗德上证科创板100指数型证券投资基金（A类份额）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交银上证科创板100指数A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023050</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中国农业银行股份有限公司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2025-02-26</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股票型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邵文婷</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2025-02-26</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2016-01-25</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本基金采用指数化投资策略，紧密跟踪上证科创板100指数，追求跟踪偏离度与跟踪误差最小化。</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上证科创板100指数的成份股（含存托凭证）及备选成份股（含存托凭证）、其他股票（含创业板、科创板及其他经中国证监会核准或注册上市的股票、存托凭证）、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本基金可根据法律法规的规定参与融资及转融通证券出借业务。</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本基金投资于上证科创板100指数成份股（含存托凭证）及备选成份股（含存托凭证）的比例不低于基金资产净值的90%且不低于非现金基金资产的80%；每个交易日日终在扣除股指期货合约需缴纳的交易保证金后，本基金持有的现金或者到期日在一年以内的政府债券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本基金标的指数为上证科创板100指数。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主要采用组合复制策略及适当的替代性策略以更好的跟踪标的指数，实现基金投资目标。在正常市场情况下，力争控制本基金日均跟踪偏离度的绝对值不超过0.35%，年跟踪误差不超过4%。如因指数编制规则调整或其他因素导致跟踪偏离度和跟踪误差超过上述范围，基金管理人应采取合理措施避免跟踪偏离度、跟踪误差进一步扩大。</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当指数编制方法变更、成份股发生变更、成份股权重由于自由流通量调整而发生变化、成份股派发现金股息、配股及增发、股票长期停牌、市场流动性不足等情况发生时，基金管理人将对投资组合进行优化，尽量降低跟踪误差。</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1、股票投资策略；2、债券投资策略；3、股指期货投资策略；4、资产支持证券投资策略；5、存托凭证投资策略；6、融资、转融通证券出借业务投资策略。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上证科创板100指数收益率×95%＋人民币银行活期存款利率（税后）×5%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本基金是一只股票型基金，其预期风险和预期收益理论上高于混合型基金、债券型基金和货币市场基金。</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本基金为指数型基金，主要采用完全复制法跟踪上证科创板100指数，具有与标的指数相似的风险收益特征。</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详见《交银施罗德上证科创板100指数型证券投资基金招募说明书》“基金的投资”。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2、本基金合同于2025年2月26日生效，合同生效当年净值增长率按实际存续期计算。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M＜50万元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50万元≤M＜100万元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0.50%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30000.00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0.68%</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股票型基金，投资于上证科创板100指数成份股（含存托凭证）及备选成份股（含存托凭证）的比例不低于基金资产净值的90%且不低于非现金基金资产的80%，因投资权益类资产而面临权益类资产市场的系统性风险和个股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标的指数回报与股票市场平均回报偏离的风险、（3）标的指数波动的风险、（4）基金投资组合回报与标的指数回报偏离及跟踪误差控制未达约定目标的风险、（5）指数编制机构停止服务的风险、（6）成份股停牌或退市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（7）基金合同提前终止风险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《基金合同》生效后，连续50个工作日出现基金份额持有人数量不满200人或者基金资产净值低于5000万元情形的，基金合同终止，不需召开基金份额持有人大会。因此，投资者可能面临基金合同提前终止的风险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11、本基金参与融资业务的特定风险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本基金可参与融资业务，面临的风险包括但不限于市场风险、流动性风险、信用风险等。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12、本基金参与转融通证券出借业务的特定风险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本基金可参与转融通证券出借业务，面临的风险包括但不限于流动性风险、信用风险、市场风险、其他风险等。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13、本基金法律文件风险收益特征表述与销售机构基金风险评价可能不一致的风险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14、其他风险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●《交银施罗德上证科创板100指数型证券投资基金基金合同》、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《交银施罗德上证科创板100指数型证券投资基金托管协议》、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《交银施罗德上证科创板100指数型证券投资基金招募说明书》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