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交银施罗德臻选回报混合型证券投资基金（A类份额）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交银臻选回报混合A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010916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中信银行股份有限公司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2020-12-23</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王艺伟</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2020-12-23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2012-07-13</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本基金在严格控制风险的前提下，充分发挥专业研究与管理能力，追求超越业绩比较基准的投资收益，力争为投资者提供长期稳健的投资回报。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投资（含存托凭证）占基金资产的比例为0%-45%（其中投资于港股通标的股票的比例占股票资产的0%-50%），同业存单投资占基金资产的比例不超过20%；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1、大类资产配置；2、股票投资策略；3、债券投资策略；4、资产支持证券投资策略；5、股指期货投资策略。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沪深300指数收益率×20%+恒生指数收益率×5%+中证综合债券指数收益率×75%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本基金是一只混合型基金，其预期风险和预期收益高于债券型基金和货币市场基金，低于股票型基金。</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详见《交银施罗德臻选回报混合型证券投资基金招募说明书》“基金的投资”。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2、本基金合同于2020年12月23日生效，合同生效当年净值收益率按实际存续期计算；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0.3%</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0.75%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30天≤N＜180天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180天≤N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0.89%</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投资有风险，投资者购买基金时应认真阅读本基金的《招募说明书》等销售文件。基金份额持有人须了解并承受以下风险：1、市场风险（1）政策风险、（2）经济周期风险、（3）利率风险、（4）上市公司经营风险、（5）购买力风险2、管理风险3、流动性风险4、信用风险5、本基金的特有风险（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2）对宏观经济趋势、政策以及上市公司基本面研究是否准确、深入，以及对股票的优选和判断是否科学、准确将影响本基金的收益。基本面研究及上市公司分析的错误均可能导致所选择的证券不能完全符合本基金的预期目标。（3）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或选择不将基金资产投资于港股，基金资产并非必然投资港股。（4）本基金可投资创业板股票，创业板个股上市后的前五个交易日不设价格涨跌幅限制，第六个交易日开始涨跌幅限制比例为20%。6、投资股指期货的特定风险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此外，由于衍生品通常具有杠杆效应，价格波动比标的工具更为剧烈，并且其定价相当复杂，不适当的估值也有可能使基金资产面临损失风险。7、投资资产支持证券的特定风险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8、投资流通受限证券的特定风险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9、投资科创板股票的特定风险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10、投资存托凭证的特定风险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本基金可根据投资策略需要或市场环境的变化，选择将部分基金资产投资于存托凭证或选择不将基金资产投资于存托凭证，基金资产并非必然投资存托凭证。11、本基金法律文件风险收益特征表述与销售机构基金风险评价可能不一致的风险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12、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●《交银施罗德臻选回报混合型证券投资基金基金合同》、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《交银施罗德臻选回报混合型证券投资基金托管协议》、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《交银施罗德臻选回报混合型证券投资基金招募说明书》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