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交银施罗德稳固收益债券型证券投资基金（A类份额）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交银稳固收益债券A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519726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2019-05-31</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债券型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姜承操</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2011-07-11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孙婕衎</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2024-12-31</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2011-05-11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沈楠</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2026-03-17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2009-06-23</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交银施罗德稳固收益债券型证券投资基金由交银施罗德荣祥保本混合型证券投资基金转型而来，上述基金转型于2019年5月31日正式实施，自基金转型实施日起，《交银施罗德荣祥保本混合型证券投资基金基金合同》失效且《交银施罗德稳固收益债券型证券投资基金基金合同》同时生效，交银施罗德荣祥保本混合型证券投资基金正式变更为交银施罗德稳固收益债券型证券投资基金。</w:t>
            </w:r>
          </w:p>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本基金为二级债基，投资于股票资产（含存托凭证）、可转换债券、可交换公司债券的比例合计不高于基金资产净值的20%，理论上本基金的预期风险水平高于纯债基金。</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在合理控制风险并保持基金资产良好流动性的前提下，追求超越业绩比较基准的投资回报，控制波动率，力争实现基金资产的长期稳健增值。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组合比例为：本基金投资于债券资产的比例不低于基金资产的80%；投资于股票资产（含存托凭证）、可转换债券、可交换公司债券的比例合计不高于基金资产净值的20%（其中投资于港股通标的股票的比例占股票资产的0%-50%）；本基金持有的现金或者到期日在一年以内的政府债券的比例合计不低于基金资产净值的5%，其中现金不包括结算备付金、存出保证金、应收申购款等；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1、资产配置策略；2、债券投资策略；3、股票投资策略。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沪深300指数收益率×10%+恒生指数收益率×5%+中证综合债券指数收益率×85%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本基金是一只债券型基金，其预期风险与预期收益理论上高于货币市场基金，低于混合型基金和股票型基金。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本基金可投资港股通标的股票，会面临港股通机制下因投资环境、投资标的、市场制度以及交易规则等差异带来的特有风险。</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详见《交银施罗德稳固收益债券型证券投资基金招募说明书》“基金的投资”。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2、本基金于2019年5月31日转型，转型当年净值增长率按实际存续期计算；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0.3%</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7天≤N＜366天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0.1%</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366天≤N＜731天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0.70%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0.98%</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（1）政策风险、（2）经济周期风险、（3）利率风险、（4）信用风险、（5）购买力风险、（6）债券收益率曲线变动风险、（7）再投资风险、（8）经营风险、（9）上市公司经营风险、（10）债券回购风险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4、交易对手违约风险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（1）本基金是债券型基金，投资于债券的比例不低于基金资产的80%，因投资债券类资产而面临债券类资产市场的系统性风险和个券风险；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（3）本基金在主要投资于债券类资产的同时也积极关注股票市场的投资机会，会因投资权益类资产而面临的权益类资产市场的系统性风险和个券风险；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或选择不将基金资产投资于港股，基金资产并非必然投资港股。</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（6）基金合同提前终止风险。连续50个工作日出现基金份额持有人数量不满200人或者基金资产净值低于5000万元情形的，基金合同终止，不需召开基金份额持有人大会。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●《交银施罗德稳固收益债券型证券投资基金基金合同》、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《交银施罗德稳固收益债券型证券投资基金托管协议》、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《交银施罗德稳固收益债券型证券投资基金招募说明书》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