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交银施罗德先锋混合型证券投资基金（A类份额）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交银先锋混合A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519698</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中国农业银行股份有限公司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2009-04-10</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封晴</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2020-07-03</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2011-08-01</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本基金合同生效后，基金份额持有人数量不满200人或者基金资产净值低于5,000万元的，基金管理人应当及时报告中国证监会；连续20个工作日出现前述情形的，基金管理人应当向中国证监会说明原因并报送解决方案。</w:t>
            </w:r>
          </w:p>
        </w:tc>
      </w:tr>
    </w:tbl>
    <w:p w:rsidR="006A53E7" w:rsidRPr="00335FE8" w:rsidP="006A53E7">
      <w:pPr>
        <w:spacing w:after="0"/>
        <w:jc w:val="left"/>
        <w:rPr>
          <w:rFonts w:ascii="仿宋_GB2312" w:eastAsia="仿宋_GB2312" w:hint="eastAsia"/>
          <w:sz w:val="21"/>
          <w:szCs w:val="21"/>
        </w:rPr>
      </w:pPr>
      <w:r w:rsidRPr="00335FE8">
        <w:rPr>
          <w:rFonts w:ascii="仿宋_GB2312" w:eastAsia="仿宋_GB2312" w:hAnsi="仿宋_GB2312" w:cs="仿宋_GB2312" w:hint="eastAsia"/>
          <w:kern w:val="0"/>
          <w:sz w:val="21"/>
          <w:szCs w:val="21"/>
        </w:rPr>
        <w:t>注：</w:t>
      </w:r>
      <w:r w:rsidRPr="00335FE8">
        <w:rPr>
          <w:rFonts w:ascii="仿宋_GB2312" w:eastAsia="仿宋_GB2312" w:hint="eastAsia"/>
          <w:sz w:val="21"/>
          <w:szCs w:val="21"/>
        </w:rPr>
        <w:t>519698（前端），519699（后端）</w:t>
      </w:r>
    </w:p>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本基金主要通过投资于经过严格的品质筛选且具有持续成长潜力企业的股票，特别是处于快速成长过程中的中型及小型企业股票，在适度控制风险的前提下，为基金份额持有人谋求长期持续的资本增值。</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本基金的投资范围为国内依法发行上市的股票（含存托凭证）、债券、货币市场工具、权证、资产支持证券以及法律法规或中国证监会允许基金投资的其他证券品种。</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如法律法规或监管机构以后允许基金投资的其他证券品种，基金管理人在履行适当程序后，可以将其纳入投资范围。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股票资产（含存托凭证）占基金资产的60%-95%；债券、货币市场工具、权证、资产支持证券以及法律法规或中国证监会允许基金投资的其他证券品种占基金资产的5%-40%,其中现金以及投资于到期日在一年以内的政府债券的比例合计不低于基金资产净值的5%，现金不包括结算备付金、存出保证金和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在基金实际管理过程中，本基金具体配置比例由基金管理人根据中国宏观经济情况和证券市场的阶段性变化做主动调整，以求基金资产在各类资产的投资中达到风险和收益的最佳平衡，但比例不超出基金合同约定的限定范围。</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将严谨、规范化的选股方法与积极主动的投资风格相结合，在分析和判断宏观经济运行和行业景气变化，以及上市公司成长潜力的基础上，主要通过优选成长性好、成长具有可持续性、成长质量优良、定价相对合理的股票，特别是处于快速成长过程中的中型及小型企业股票进行投资，以谋求超额收益。</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1、资产配置；2、股票选择；3、债券投资；4、权证投资策略；5、资产支持证券投资策略；6、其他衍生工具投资策略。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75%×中证700指数+25%×中证综合债券指数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以具有持续成长潜力企业的股票，特别是处于快速成长过程中的中型及小型企业为主要投资对象，追求超额收益，其风险和预期收益高于债券型基金和货币市场基金，低于股票型基金。属于承担较高风险、预期收益较高的证券投资基金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详见《交银施罗德先锋混合型证券投资基金招募说明书》“基金的投资”。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M＜50万元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50万元≤M＜100万元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申购费（后收费）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N≤1年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1.8%</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1年＜N≤3年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3年＜N≤5年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5年＜N</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7天≤N＜366天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366天≤N＜731天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0.2%</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731天≤N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40000.00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1.43%</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本基金属于混合型基金，将维持较高的股票持仓比例。如果股票市场出现整体下跌，本基金的净值表现将受到影响。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主要投资于具有持续成长潜力的企业股票，特别是处于快速成长过程中的中型及小型企业股票，虽然可以通过分散投资策略和组合管理降低风险，但单个中小市值股票和大市值股票相比，具有相对较高的价格波动性。在选股策略上本基金特有的风险主要来自两个方面：一是对行业及上市公司的基本面研究是否准确、深入，二是对具有持续增长潜力的中型及小型企业股票的优选和判断是否科学、准确。基本面研究及上市企业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●《交银施罗德先锋混合型证券投资基金基金合同》、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《交银施罗德先锋混合型证券投资基金托管协议》、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《交银施罗德先锋混合型证券投资基金招募说明书》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