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交银施罗德双利债券证券投资基金（AB类份额）</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交银双利债券A/B</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519683</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中国建设银行股份有限公司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2011-09-26</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债券型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魏玉敏</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2022-08-18</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2012-06-28</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基金合同生效后的存续期内，基金份额持有人数量不满200人或者基金资产净值低于5000万元，基金管理人应当及时报告中国证监会；基金份额持有人数量连续20个工作日达不到200人，或连续20个工作日基金资产净值低于5000万元，基金管理人应当向中国证监会说明出现上述情况的原因并提出解决方案。</w:t>
            </w:r>
          </w:p>
        </w:tc>
      </w:tr>
    </w:tbl>
    <w:p w:rsidR="006A53E7" w:rsidRPr="00335FE8" w:rsidP="006A53E7">
      <w:pPr>
        <w:spacing w:after="0"/>
        <w:jc w:val="left"/>
        <w:rPr>
          <w:rFonts w:ascii="仿宋_GB2312" w:eastAsia="仿宋_GB2312" w:hint="eastAsia"/>
          <w:sz w:val="21"/>
          <w:szCs w:val="21"/>
        </w:rPr>
      </w:pPr>
      <w:r w:rsidRPr="00335FE8">
        <w:rPr>
          <w:rFonts w:ascii="仿宋_GB2312" w:eastAsia="仿宋_GB2312" w:hAnsi="仿宋_GB2312" w:cs="仿宋_GB2312" w:hint="eastAsia"/>
          <w:kern w:val="0"/>
          <w:sz w:val="21"/>
          <w:szCs w:val="21"/>
        </w:rPr>
        <w:t>注：</w:t>
      </w:r>
      <w:r w:rsidRPr="00335FE8">
        <w:rPr>
          <w:rFonts w:ascii="仿宋_GB2312" w:eastAsia="仿宋_GB2312" w:hint="eastAsia"/>
          <w:sz w:val="21"/>
          <w:szCs w:val="21"/>
        </w:rPr>
        <w:t>519683（A类份额），519684（B类份额）</w:t>
      </w:r>
    </w:p>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根据宏观经济运行状况和金融市场的运行趋势，自上而下进行宏观分析，自下而上精选个券，在严格控制基金资产运作风险的基础上，通过积极主动的投资管理，力争为投资者提供高于业绩比较基准的长期稳定投资回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范围为具有良好流动性的金融工具，包括国内依法发行上市的股票(含中小板、创业板及其他经中国证监会核准上市的股票)、债券、货币市场工具、权证以及法律法规或中国证监会允许基金投资的其他金融工具(但须符合中国证监会的相关规定)。</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如法律法规或监管机构以后允许基金投资的其他品种，基金管理人在履行适当程序后，可以将其纳入投资范围。</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基金的投资组合比例为：</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投资于固定收益类资产的比例不低于基金资产的80%，固定收益类资产包括国债、金融债、央行票据、地方政府债、企业债、公司债、短期融资券、可转换债券及可分离转债、资产支持证券、次级债、债券回购等金融工具；对股票、权证等权益类资产的投资比例不高于基金资产的20%；其中现金及到期日在一年以内的政府债券的投资比例合计不低于基金资产净值的5%，现金不包括结算备付金、存出保证金、应收申购款等；本基金持有的全部权证，其市值不得超过基金资产净值的3%。</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充分发挥基金管理人的研究优势，将规范化的基本面研究与积极主动的投资风格相结合，在分析和判断宏观经济运行状况和金融市场运行趋势的基础上，动态调整大类金融资产比例，自上而下决定债券组合久期及债券类属配置；在严谨深入的信用分析基础上，综合考量信用债券的信用评级，以及各类债券的流动性、供求关系和收益率水平等，自下而上地精选个券。同时，本基金深度关注股票、权证一级市场和二级市场的运行状况与相应风险收益特征，在严格控制基金资产运作风险的基础上，把握投资机会，力争为投资者提供高于业绩比较基准的长期稳定投资回报。</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1、大类资产配置；2、债券投资策略；3、股票投资策略；4、权证投资策略。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中债综合全价指数收益率×90%+沪深300指数收益率×10%</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债券型基金，属于证券投资基金中中等风险的品种，其长期平均的预期收益和风险高于货币市场基金，低于混合型基金和股票型基金。根据2017年7月1日施行的《证券期货投资者适当性管理办法》，基金管理人和销售机构已对本基金重新进行风险评级。风险评级行为不改变本基金的实质性风险收益特征。但由于风险等级分类标准的变化，本基金的风险等级表述可能有相应变化，具体风险评级结果应以基金管理人和销售机构提供的评级结果为准。</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详见《交银施罗德双利债券证券投资基金招募说明书》“基金的投资”。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1400" w:type="dxa"/>
            <w:vMerge w:val="restart"/>
            <w:vAlign w:val="center"/>
          </w:tcPr>
          <w:p w:rsidR="009C0C41" w:rsidRPr="00335FE8" w:rsidP="00D373CC">
            <w:pPr>
              <w:widowControl/>
              <w:spacing w:after="0" w:line="240" w:lineRule="auto"/>
              <w:jc w:val="center"/>
              <w:rPr>
                <w:rFonts w:ascii="仿宋_GB2312" w:eastAsia="仿宋_GB2312" w:hAnsi="仿宋_GB2312" w:cs="仿宋_GB2312" w:hint="eastAsia"/>
                <w:kern w:val="0"/>
                <w:sz w:val="21"/>
                <w:szCs w:val="21"/>
              </w:rPr>
            </w:pPr>
            <w:r w:rsidRPr="00335FE8">
              <w:rPr>
                <w:rFonts w:ascii="仿宋_GB2312" w:eastAsia="仿宋_GB2312" w:hAnsi="仿宋_GB2312" w:cs="仿宋_GB2312" w:hint="eastAsia"/>
                <w:kern w:val="0"/>
                <w:sz w:val="21"/>
                <w:szCs w:val="21"/>
              </w:rPr>
              <w:t>申购费（前收费）</w:t>
            </w: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M＜50万元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0.8%</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sz w:val="21"/>
                <w:szCs w:val="21"/>
              </w:rPr>
              <w:t>A类份额</w:t>
            </w: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50万元≤M＜100万元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0.6%</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sz w:val="21"/>
                <w:szCs w:val="21"/>
              </w:rPr>
              <w:t>A类份额</w:t>
            </w: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100万元≤M＜200万元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0.5%</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sz w:val="21"/>
                <w:szCs w:val="21"/>
              </w:rPr>
              <w:t>A类份额</w:t>
            </w: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200万元≤M＜500万元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0.3%</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sz w:val="21"/>
                <w:szCs w:val="21"/>
              </w:rPr>
              <w:t>A类份额</w:t>
            </w: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500万元≤M</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1,000元每笔</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sz w:val="21"/>
                <w:szCs w:val="21"/>
              </w:rPr>
              <w:t>A类份额</w:t>
            </w: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申购费（后收费）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N≤1年</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B类份额</w:t>
            </w: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3000"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1年＜N≤3年</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0.6%</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B类份额</w:t>
            </w: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3000"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3年＜N≤5年</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0.4%</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B类份额</w:t>
            </w: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3000"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5年＜N</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B类份额</w:t>
            </w: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7天≤N＜366天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0.1%</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366天≤N＜731天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0.05%</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731天≤N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 2、本基金管理人对养老金客户实施特定申购费率，请详见本基金招募说明书。销售机构若有其他费率优惠请见基金管理人或其他销售机构的有关公告或通知。</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0.30%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0.10%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50000.00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0.42%</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（1）政策风险、（2）经济周期风险、（3）利率风险、（4）信用风险、（5）购买力风险、（6）债券收益率曲线变动风险、（7）再投资风险、（8）经营风险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4、本基金特有的风险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为债券型基金，投资于固定收益类资产的比例不低于基金资产的80%；对股票、权证等权益类资产的投资比例不高于基金资产的20%，即本基金在主要投资于固定收益类资产的同时也积极关注股票、权证的一级市场以及二级市场投资机会。因此，本基金可能面临以下三类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（1）因投资固定收益类资产而面临的固定收益类资产市场的系统性风险和个券风险；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（2）因参与新股申购而面临的新股发行放缓甚至停滞，或者新股申购收益率下降甚至出现亏损，或者新股申购制度变更所带来的风险；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（3）因少量投资可转债，投资股票、权证二级市场而承担一定程度权益类资产的系统性风险以及个别证券的价格波动。</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本基金可投资创业板股票，创业板个股上市后的前五个交易日不设价格涨跌幅限制，第六个交易日开始涨跌幅限制比例为20%。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5、投资科创板股票的特定风险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因基金合同而产生的或与基金合同有关的一切争议，如经友好协商未能解决的，任何一方均有权将争议提交中国国际经济贸易仲裁委员会，按其届时有效的仲裁规则进行仲裁。仲裁地点为北京市。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●《交银施罗德双利债券证券投资基金基金合同》、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《交银施罗德双利债券证券投资基金托管协议》、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《交银施罗德双利债券证券投资基金招募说明书》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