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交银施罗德精选混合型证券投资基金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交银精选混合</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519688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2005-09-29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张雪蓉</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2023-01-07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2015-07-17</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本基金合同生效后，基金份额持有人数量不满200人或者基金资产净值低于5,000万元的，基金管理人应当及时报告中国证监会；连续20个工作日出现前述情形的，基金管理人应当向中国证监会说明原因和报送解决方案。存续期内，基金份额持有人数量连续60个工作日达不到200人，或连续60个工作日基金资产净值低于5000万元人民币，基金管理人有权宣布终止基金合同，并报中国证监会备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519688（前端），519689（后端）</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将坚持并不断深化价值投资的基本理念，充分发挥专业研究与管理能力，自上而下配置资产，自下而上精选证券，有效控制风险，分享中国经济与资本市场高速成长的成果，谋求实现基金财产的长期稳定增长。</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存托凭证）、债券、货币市场工具、权证、资产支持证券及法律法规或中国证监会允许基金投资的其他金融工具。在正常市场情况下，基金的投资组合为：股票资产（含存托凭证）占基金资产的60－95%，债券、货币市场工具、权证、资产支持证券以及中国证监会允许基金投资的其他证券品种占基金资产的5%-40%，其中，基金保留的现金以及投资于一年期以内的政府债券的比例合计不低于基金资产净值的5%，现金不包括结算备付金、存出保证金和应收申购款等。在基金实际管理过程中，管理人将根据中国宏观经济情况和证券市场的阶段性变化，适时调整基金资产在股票、债券及货币市场工具间的配置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本基金的投资策略主要包括：</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1、资产配置；2、行业配置；3、股票选择；4、权证投资策略；5、资产支持证券投资策略。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75%×沪深300指数+25%×中证综合债券指数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详见《交银施罗德精选混合型证券投资基金招募说明书》“基金的投资”。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1.8%</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45000.00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将维持较高的股票持仓比例。如果股票市场出现整体下跌，本基金的净值表现将受到影响。基金虽然采用防御型和增长型股票配置的组合构建策略，但并不能完全抵御下跌的风险，在股市大幅上涨时也不能完全保证基金净值能够完全跟随或超越大盘走势。</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因基金合同而产生的或与基金合同有关的一切争议，如经友好协商未能解决的，任何一方均有权将争议提交中国国际经济贸易仲裁委员会，按其届时有效的仲裁规则进行仲裁。仲裁地点为上海分会。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●《交银施罗德精选混合型证券投资基金基金合同》、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《交银施罗德精选混合型证券投资基金托管协议》、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《交银施罗德精选混合型证券投资基金招募说明书》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