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交银施罗德国证新能源指数证券投资基金（LOF）（A类份额）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交银国证新能源指数（LOF）A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164905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中国建设银行股份有限公司</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2020-11-30</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上市交易所及上市日期</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暂未上市</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2021-04-30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场内简称：交银新能，交易代码：164905；交银施罗德国证新能源指数证券投资基金（LOF）由交银施罗德国证新能源指数分级证券投资基金转型而来。上述转型于2020年11月30日正式实施，自基金转型实施日起，《交银施罗德国证新能源指数分级证券投资基金基金合同》失效，且《交银施罗德国证新能源指数证券投资基金（LOF）基金合同》同时生效，交银施罗德国证新能源指数分级证券投资基金正式变更为交银施罗德国证新能源指数证券投资基金（LOF）。</w:t>
            </w:r>
          </w:p>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管理人提前终止《基金合同》，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本基金采用指数化投资，紧密跟踪标的指数，追求跟踪偏离度与跟踪误差最小化。本基金力争控制本基金日均跟踪偏离度的绝对值不超过0.35%，年跟踪误差不超过4%。</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于具有良好流动性的金融工具，以国证新能源指数的成份股（含存托凭证）及其备选成份股(含中小板、创业板及其他经中国证监会核准或注册上市的股票、存托凭证)为主要投资对象。为更好地实现投资目标，本基金也可少量投资于其他股票(非标的指数成份股（含存托凭证）及其备选成份股（含存托凭证）)、债券、中期票据、货币市场工具、债券回购、资产支持证券、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基金的投资组合比例为：本基金的股票资产（含存托凭证）投资比例不低于基金资产的 90%，本基金投资于国证新能源指数的成份股（含存托凭证）及其备选成份股（含存托凭证）的比例不低于非现金基金资产的90%，每个交易日日终在扣除股指期货合约需缴纳的交易保证金以后，持有现金或到期日在一年以内的政府债券的比例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绝大部分资产采用完全复制标的指数的方法跟踪标的指数，即按照国证新能源指数中的成份股组成及其权重构建股票投资组合，并根据标的指数成份股及其权重的变动进行相应调整。当预期成份股发生调整和成份股发生配股、增发、分红等行为时，或因基金的申购和赎回等对本基金跟踪标的指数的效果可能带来影响时，或因某些特殊情况导致成份股流动性不足时，或其他原因导致无法有效复制和跟踪标的指数时，基金管理人可以对投资组合管理进行适当变通和调整，从而使得投资组合紧密地跟踪标的指数。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本基金投资存托凭证的策略依照境内上市交易的股票投资策略执行。</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股指期货将根据风险管理的原则，以套期保值为目的，主要选择流动性好、交易活跃的股指期货合约。在建仓期或者出现大量净申购或净赎回的情况时，本基金将使用股指期货来进行流动性风险管理。本基金力争利用股指期货的杠杆作用，降低股票仓位频繁调整的交易成本和跟踪误差，达到有效跟踪标的指数的目的。</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国证新能源指数收益率×95%＋银行活期存款利率（税后）×5%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与预期收益高于混合型基金、债券型基金和货币市场基金。本基金为指数型基金，主要采用组合复制策略跟踪标的指数，具有与标的指数以及标的指数所代表的股票市场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详见《交银施罗德国证新能源指数证券投资基金(LOF)招募说明书》“基金的投资”。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2、本基金于2020年11月30日转型，转型当年净值增长率按实际存续期计算；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场外份额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场外份额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场外份额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0.4%</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场外份额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场外份额</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场外份额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场外份额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场外份额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场外份额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场内份额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场内份额</w:t>
            </w: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3、本基金的场内申购费率由场内销售机构参照上表场外前端申购费率设定。4、场内交易费用以证券公司实际收取为准。</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1.25%</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5、本基金投资策略所特有的指数化投资风险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标的指数回报与股票市场平均回报偏离的风险、（2）标的指数波动的风险、（3）基金投资组合回报与标的指数回报偏离的风险、（4）标的指数变更的风险、（5）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（1）基金上市交易的风险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A类基金份额在符合相关法律法规要求的前提下将申请在深圳证券交易所挂牌上市，由于上市期间可能因信息披露导致基金停牌，投资者在停牌期间不能买卖本基金上市交易份额，产生风险；同时，可能因上市后交易对手不足而产生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（2）基金份额二级市场交易价格折溢价的风险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尽管本基金将通过有效的套利机制使A类基金份额二级市场交易价格的折溢价控制在一定范围内，但A类基金份额在证券交易所的交易价格受诸多因素影响，存在不同于A类基金份额的基金份额净值的情形，即存在价格折溢价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（3）退市风险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因本基金A类基金份额不再符合证券交易所上市条件被终止上市，或被基金份额持有人大会决议提前终止上市，导致A类基金份额不能继续进行二级市场交易的风险。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（4）本基金为股票型基金，投资于国证新能源指数成份股（含存托凭证）及其备选成份股（含存托凭证）的比例不低于非现金基金资产的90%，因投资权益类资产而面临权益类资产市场的系统性风险和个股风险；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（5）基金合同提前终止风险。连续50个工作日出现基金份额持有人数量不满200人或者基金资产净值低于5000万元情形的，基金管理人提前终止基金合同，不需召开基金份额持有人大会。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●《交银施罗德国证新能源指数证券投资基金（LOF）基金合同》、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《交银施罗德国证新能源指数证券投资基金（LOF）托管协议》、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《交银施罗德国证新能源指数证券投资基金（LOF）招募说明书》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