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交银施罗德现金宝货币市场基金（A类份额）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交银现金宝货币A</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000710</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中信银行股份有限公司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2014-09-12</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货币市场基金</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季参平</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2019-07-26</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2012-03-19</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基金合同生效后的存续期内，出现以下情形之一的，本基金可与其他基金合并或终止本基金合同，不需召开基金份额持有人大会：</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1、基金份额持有人数量连续90个工作日达不到200人。</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2、基金资产净值连续90个工作日低于5000万元。</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在力求本金安全性和资产充分流动性的前提下，追求超过业绩比较基准的投资收益。</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如法律法规或监管机构以后允许货币市场基金投资其他金融工具，基金管理人在履行适当程序后，可以将其纳入投资范围，其投资比例遵循届时有效法律法规或相关规定。</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1、短期利率水平预期策略；2、收益率曲线分析策略；3、组合剩余期限策略、期限配置策略；4、类别品种配置策略；5、流动性管理策略；6、无风险套利策略；7、滚动配置策略；8、其他金融工具投资策略。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活期存款利率（税后）</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详见《交银施罗德现金宝货币市场基金招募说明书》“基金的投资”。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自基金合同生效以来/最近十年（孰短）基金每年的净值收益率及与同期业绩比较基准的比较图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ind w:firstLine="420"/>
        <w:jc w:val="left"/>
        <w:rPr>
          <w:rFonts w:ascii="仿宋_GB2312" w:eastAsia="仿宋_GB2312"/>
          <w:sz w:val="21"/>
          <w:szCs w:val="21"/>
        </w:rPr>
      </w:pPr>
      <w:r w:rsidRPr="00335FE8">
        <w:rPr>
          <w:rFonts w:ascii="仿宋_GB2312" w:eastAsia="仿宋_GB2312" w:hint="eastAsia"/>
          <w:sz w:val="21"/>
          <w:szCs w:val="21"/>
        </w:rPr>
        <w:t>无。</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0.05%</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0.25%</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110000.00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0.60%</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（1）政策风险、（2）经济周期风险、（3）利率风险、（4）信用风险、（5）购买力风险、（6）债券收益率曲线变动风险、（7）再投资风险、（8）经营风险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4、交易对手违约风险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