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交银施罗德远见成长混合型证券投资基金招募说明书（更新）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基金托管人：上海浦东发展银行股份有限公司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00"/>
      <w:bookmarkStart w:id="1" w:name="_Toc496884613"/>
      <w:bookmarkStart w:id="2" w:name="_Toc256000027"/>
      <w:bookmarkStart w:id="3" w:name="_Toc324920538"/>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远见成长混合型证券投资基金（以下简称“本基金”）经2025年10月23日中国证券监督管理委员会（以下简称“中国证监会”）证监许可【2025】2389号文准予募集注册。本基金基金合同于2025年11月17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基金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本基金的特有风险；本基金法律文件风险收益特征表述与销售机构基金风险评价可能不一致的风险；投资本基金的其他风险等等。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基金可根据投资策略需要或市场环境的变化，选择将部分基金资产投资于科创板股票或选择不将基金资产投资于科创板股票，基金资产并非必然投资于科创板股票。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28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_Toc256000034 \h </w:instrText>
      </w:r>
      <w:r>
        <w:fldChar w:fldCharType="separate"/>
      </w:r>
      <w:r>
        <w:rPr>
          <w:rStyle w:val="18"/>
        </w:rPr>
        <w:t>29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30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44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49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62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65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66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十四、基金收益与分配</w:t>
      </w:r>
      <w:r>
        <w:rPr>
          <w:rStyle w:val="18"/>
        </w:rPr>
        <w:tab/>
      </w:r>
      <w:r>
        <w:fldChar w:fldCharType="begin"/>
      </w:r>
      <w:r>
        <w:rPr>
          <w:rStyle w:val="18"/>
        </w:rPr>
        <w:instrText xml:space="preserve"> PAGEREF _Toc256000041 \h </w:instrText>
      </w:r>
      <w:r>
        <w:fldChar w:fldCharType="separate"/>
      </w:r>
      <w:r>
        <w:rPr>
          <w:rStyle w:val="18"/>
        </w:rPr>
        <w:t>72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74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77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78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85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88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二十、基金合同的变更、终止与基金财产的清算</w:t>
      </w:r>
      <w:r>
        <w:rPr>
          <w:rStyle w:val="18"/>
        </w:rPr>
        <w:tab/>
      </w:r>
      <w:r>
        <w:fldChar w:fldCharType="begin"/>
      </w:r>
      <w:r>
        <w:rPr>
          <w:rStyle w:val="18"/>
        </w:rPr>
        <w:instrText xml:space="preserve"> PAGEREF _Toc256000047 \h </w:instrText>
      </w:r>
      <w:r>
        <w:fldChar w:fldCharType="separate"/>
      </w:r>
      <w:r>
        <w:rPr>
          <w:rStyle w:val="18"/>
        </w:rPr>
        <w:t>98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117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136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138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140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141</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远见成长混合型证券投资基金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远见成长混合型证券投资基金基金合同》（以下简称“基金合同”或“《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9"/>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1、基金或本基金：指交银施罗德远见成长混合型证券投资基金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3、基金托管人：指上海浦东发展银行股份有限公司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4、基金合同、《基金合同》：指《交银施罗德远见成长混合型证券投资基金基金合同》及对基金合同的任何有效修订和补充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5、托管协议：指基金管理人与基金托管人就本基金签订之《交银施罗德远见成长混合型证券投资基金托管协议》及对该托管协议的任何有效修订和补充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6、招募说明书、《招募说明书》或本招募说明书：指《交银施罗德远见成长混合型证券投资基金招募说明书》及其更新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7、基金产品资料概要：指《交银施罗德远见成长混合型证券投资基金基金产品资料概要》及其更新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8、基金份额发售公告：指《交银施罗德远见成长混合型证券投资基金基金份额发售公告》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16、银行业监督管理机构：指中国人民银行和/或国家金融监督管理总局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38、《业务规则》：指《交银施罗德基金管理有限公司开放式基金业务规则》，是规范基金管理人所管理的开放式证券投资基金登记方面的业务规则，由基金管理人和投资人共同遵守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基金转换：指基金份额持有人按照基金合同和基金管理人届时有效公告规定的条件，申请将其持有基金管理人管理的、某一基金的基金份额转换为该基金其他份额（如有）或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48、基金资产总值：指基金拥有的各类有价证券、股指期货合约、银行存款本息、基金应收款项及其他资产的价值总和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52、港股通标的股票：指内地投资者委托内地证券公司，经由内地证券交易所在香港设立的证券交易服务公司，向香港联合交易所进行申报，买卖规定范围内的香港联合交易所上市的股票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53、销售服务费：指从基金财产中计提的，用于本基金市场推广、销售以及基金份额持有人服务的费用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54、A类基金份额：指在投资人认购/申购时收取认购/申购费用、不从本类别基金资产中计提销售服务费的基金份额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55、C类基金份额：指在投资人认购/申购时不收取认购/申购费用、从本类别基金资产中计提销售服务费的基金份额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郭若先生:基金经理。香港大学金融学硕士、清华大学工业设计及经济学双学士。8年证券投资行业从业经验。2018年加入交银施罗德基金管理有限公司，曾任行业分析师，现任基金经理。</w:t>
      </w:r>
      <w:bookmarkStart w:id="56" w:name="_GoBack"/>
      <w:bookmarkEnd w:id="56"/>
      <w:r>
        <w:rPr>
          <w:rFonts w:hint="eastAsia" w:ascii="宋体" w:hAnsi="宋体"/>
          <w:kern w:val="0"/>
          <w:sz w:val="24"/>
        </w:rPr>
        <w:t>现任交银施罗德远见成长混合型证券投资基金（2025年11月17日至今）、交银施罗德先进制造混合型证券投资基金（2025年09月15日至今）、交银施罗德启信混合型发起式证券投资基金（2023年03月01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本基金托管人为上海浦东发展银行股份有限公司，基本信息如下：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注册地址：上海市中山东一路12号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办公地址：上海市博成路1388号浦银中心A栋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法定代表人：张为忠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成立时间：1992年10月19日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组织形式：股份有限公司（上市）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注册资本：人民币3330583.83万元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基金托管资格批文及文号：中国证监会证监基金字[2003]105号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联系人：汪小敏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联系电话：（021）31888888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海浦东发展银行自2003年开展资产托管业务，是较早开展银行资产托管服务的股份制商业银行之一。经过二十年来的稳健经营和业务开拓，各项业务发展一直保持较快增长，各项经营指标在股份制商业银行中处于较好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海浦东发展银行总行于2003年设立基金托管部，2005年更名为资产托管部，2013年更名为资产托管与养老金业务部，2016年进行组织架构优化调整，并更名为资产托管部，目前下设证券托管处、客户资产托管处、养老金业务处、内控管理处、业务保障处、总行资产托管运营中心（含合肥分中心）六个职能处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目前，上海浦东发展银行已拥有客户资金托管、资金信托保管、证券投资基金托管、全球资产托管、保险资金托管、基金专户理财托管、证券公司客户资产托管、期货公司客户资产托管、私募证券投资基金托管、私募股权托管、银行理财产品托管、企业年金托管等多项托管产品，形成完备的产品体系，可满足多领域客户、境内外市场的资产托管需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张为忠，男，1967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李国光，男，1967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截止2026年6月30日，上海浦东发展银行证券投资基金托管规模为18208.67亿元，托管证券投资基金共560只。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行内部控制目标为：确保经营活动中严格遵守国家有关法律法规、监管部门监管规则和本行规章制度，形成守法经营、规范运作的经营思想。确保经营业务的稳健运行，保证基金资产的安全和完整，确保业务活动信息的真实、准确、完整，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行内部控制组织架构为：总行法律合规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 本行已建立完善的内部控制制度。内控制度贯穿资产托管业务的决策、执行、监督全过程，渗透到各业务流程和各操作环节，覆盖到从事资产托管各级组织结构、岗位及人员。内部控制以防范风险、合规经营为出发点，各项业务流程体现“内控优先”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托管人资产及不同托管资产之间实行独立运作、分别核算；对各类突发事件或故障，建立完备有效的应急方案，定期组织灾备演练，建立重大事项报告制度；在基金运作办公区域建立健全安全监控系统，利用录音、录像等技术手段实现风险控制；定期对业务情况进行自查、内部稽核等措施进行监控，通过专项/全面审计等措施实施业务监控，排查风险隐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（五）托管人对管理人运作基金进行监督的方法和程序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1、监督依据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托管人严格按照有关政策法规、以及基金合同、托管协议等进行监督。监督依据具体包括：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（1）《中华人民共和国证券法》；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（2）《中华人民共和国证券投资基金法》；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（3）《公开募集证券投资基金运作管理办法》；；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（4）《公开募集证券投资基金销售机构监督管理办法》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（6）法律、法规、政策的其他规定。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2、监督内容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我行根据基金合同及托管协议约定，对基金合同生效之后所托管基金的投资范围、投资比例、投资限制等进行严格监督，及时提示基金管理人违规风险。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（1）资产托管部设置核算监督岗位，配备相应的业务人员，在授权范围内独立行使对基金管理人投资交易行为的监督职责，规范基金运作，维护基金投资人的合法权益，不受任何外界力量的干预；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（2）在日常运作中，凡可量化的监督指标，由核算监督岗通过托管业务的自动处理程序进行监督，实现系统的自动跟踪和预警；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（3）对非量化指标、投资指令、管理人提供的各种报表和报告等，采取人工监督的方法。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4、监督结果的处理方式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（1）基金托管人对基金管理人的投资运作监督结果，采取定期和不定期报告形式向基金管理人和中国证监会报告。定期报告包括基金监控周报等。不定期报告包括提示函、临时日报、其他临时报告等；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若基金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（3）针对中国证监会、中国人民银行对基金投资运作监督情况的检查，应及时提供有关情况和资料。</w:t>
      </w:r>
    </w:p>
    <w:p>
      <w:pPr>
        <w:pStyle w:val="2"/>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（12）名称：汇添富基金销售（上海）有限公司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办公地址：上海市黄浦区外马路728号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电话：021-28932888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网址：https://www.htfwm.com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021-28932888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https://www.htfwm.com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联系人：陈方强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办公地址：上海市银城中路68号时代金融中心18-20楼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经办律师：丁媛、李晓露</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名称：安永华明会计师事务所（特殊普通合伙）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执行事务合伙人：毛鞍宁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电话：（010）58153000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传真：（010）85188298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联系人：蒋燕华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经办注册会计师：蒋燕华、费泽旭</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本基金由基金管理人依照《基金法》、《运作办法》、《销售办法》、基金合同及其他有关规定，并经中国证监会2025年10月23日证监许可【2025】2389号文准予募集注册。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本基金2025年11月3日至2025年11月13日进行发售，本基金设立募集期共募集1,021,644,898.69份基金份额，有效认购户数为3,465户。</w:t>
      </w:r>
    </w:p>
    <w:p>
      <w:pPr>
        <w:pStyle w:val="2"/>
        <w:snapToGrid w:val="0"/>
        <w:spacing w:before="240" w:beforeLines="0" w:after="0"/>
        <w:rPr>
          <w:rFonts w:ascii="宋体" w:hAnsi="宋体"/>
          <w:szCs w:val="30"/>
        </w:rPr>
      </w:pPr>
      <w:r>
        <w:br w:type="page"/>
      </w:r>
      <w:bookmarkStart w:id="16" w:name="_Toc256000034"/>
      <w:bookmarkStart w:id="17" w:name="_Toc256000007"/>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根据有关规定，本基金满足基金合同生效条件，基金合同已于2025年11月17日正式生效。自基金合同生效之日起，本基金管理人正式开始管理本基金。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个人投资者可以通过基金管理人网上直销交易平台办理开户、本基金的申购、赎回、转换、定期定额投资等业务，具体交易细则请参阅基金管理人网站。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本基金已于2025年12月22日起开放申购、赎回业务。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3、最低基金份额余额的限制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基金交易账户保留的本基金基金份额余额少于1份时，若当日该账户同时有基金份额减少类业务（如赎回、转换出等）被确认，则基金管理人有权将投资人在该账户保留的本基金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4、基金管理人可以规定本基金的总规模上限、单个投资人累计持有的基金份额上限，具体规定请参见相关公告。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在申购时支付申购费用、不从该类别基金资产中计提销售服务费；申购C类基金份额不支付申购费用、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本基金A类基金份额的申购费用由申购A类基金份额的投资人承担，不列入基金财产，主要用于本基金的市场推广、销售、登记等各项费用。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A类基金份额申购费率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100万元（含）至300万元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300万元（含）至500万元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A类基金份额特定申购费率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100万元（含）至300万元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300万元（含）至500万元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A类基金份额的赎回费用由赎回A类基金份额的基金份额持有人承担，在基金份额持有人赎回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上述“月”指的是30个自然日。未归入基金财产的部分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A类基金份额的赎回费率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30日（含）—180日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180日以上（含）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（2）本基金C类基金份额的赎回费率如下：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C类基金份额的</w:t>
            </w:r>
            <w:r>
              <w:rPr>
                <w:rFonts w:ascii="宋体" w:hAnsi="宋体"/>
                <w:color w:val="000000"/>
                <w:kern w:val="0"/>
                <w:sz w:val="25"/>
                <w:szCs w:val="24"/>
              </w:rPr>
              <w:br w:type="textWrapping"/>
            </w:r>
            <w:r>
              <w:rPr>
                <w:rFonts w:ascii="宋体" w:hAnsi="宋体"/>
                <w:color w:val="000000"/>
                <w:kern w:val="0"/>
                <w:sz w:val="25"/>
                <w:szCs w:val="24"/>
              </w:rPr>
              <w:t>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7日（含）-30日</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30日以上（含）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本基金C类基金份额的赎回费用由赎回C类基金份额的基金份额持有人承担，在基金份额持有人赎回C类基金份额时收取，对C类基金份额的基金份额持有人收取的赎回费全额计入基金财产。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3、经与基金托管人协商一致，基金管理人可以在基金合同约定的范围内调整费率或收费方式，并最迟应于新的费率或收费方式实施日前依照《信息披露办法》的有关规定在规定媒介上公告。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A类基金份额或C类基金份额的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本基金采用金额申购的方式。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申购份额=净申购金额/T日A类基金份额净值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例四：某投资者（非养老金客户）投资40,000.00元申购本基金A类基金份额，假设申购当日A类基金份额净值为1.0400元，申购费率为1.5%，则其可得到的申购份额为：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申购份额=39,408.87/1.0400=37,893.14份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即：该投资者（非养老金客户）投资40,000.00元申购本基金A类基金份额，假设申购当日A类基金份额净值为1.0400元，则其可得到37,893.14份A类基金份额。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例五：某养老金客户投资1,000,000.00元通过基金管理人的直销柜台申购本基金A类基金份额，假设申购当日A类基金份额净值为1.0400元，申购费率为0.36%，则其可得到的申购份额为：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净申购金额=1,000,000.00/（1+0.36%）=996,412.91元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申购费用=1,000,000.00-996,412.91=3,587.09元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申购份额=996,412.91/1.0400=958,089.34份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即：该养老金客户投资1,000,000.00元通过基金管理人的直销柜台申购本基金A类基金份额，假设申购当日A类基金份额净值为1.0400元，则其可得到958,089.34份A类基金份额。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例六：某投资者投资100,000.00元申购本基金的C类基金份额，假设申购当日C类基金份额净值为1.0400元，则其可得到的申购份额为：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即：该投资者投资100,000.00元申购本基金的C类基金份额，假设申购当日C类基金份额净值为1.0400元，则其可得到96,153.85份C类基金份额。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本基金采用“份额赎回”的方式。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如果投资者赎回A类基金份额，则赎回金额的计算方法如下：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赎回费用=赎回份额×T日A类基金份额净值×赎回费率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赎回金额=赎回份额×T日A类基金份额净值-赎回费用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例七：某投资者赎回持有的10,000.00份A类基金份额，持有期限为30日，对应的赎回费率为0.5%，假设赎回当日A类基金份额净值是1.0160元，则其可得到的赎回金额为：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即：该投资者赎回本基金10,000.00份A类基金份额，持有期限为30日，对应的赎回费率为0.5%，假设赎回当日A类基金份额净值是1.0160元，则其可得到的赎回金额为10,109.20元。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如果投资者赎回C类基金份额，赎回金额的计算方法如下：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赎回费用=赎回份额×T日C类基金份额净值×赎回费率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赎回金额=赎回份额×T日C类基金份额净值—赎回费用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例八：某投资者赎回持有的10,000.00份C类基金份额，持有时间为20日，对应的赎回费率为0.5%，假设赎回当日C类基金份额净值是1.0160元，则其可得到的赎回金额为：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即：投资者赎回本基金10,000.00份C类基金份额，持有时间为20日，对应的赎回费率为0.5%，假设赎回当日C类基金份额净值是1.0160元，则其可得到的赎回金额为10,109.20元。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包括该日）内公告。遇特殊情况，经履行适当程序，可以适当延迟计算或公告。本基金A类基金份额和C类基金份额的基金份额净值的计算，均保留到小数点后4位，小数点后第5位四舍五入，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港股通交易每日额度不足，或者发生证券交易服务公司等机构认定的交易异常情况并决定暂停提供部分或者全部港股通服务，或者发生其他影响通过内地与香港股票市场交易互联互通机制进行正常交易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7、8、10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本基金2025年12月17日刊登公告自2025年12月22日起开通定期定额投资计划业务，具体开通销售机构名单和业务规则参见相关公告。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（十八）其他业务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本基金2025年12月17日刊登公告自2025年12月22日起开放日常转换业务。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申购费用低的基金向申购费用高的基金转换，收取申购补差费用；从申购费用高的基金向申购费用低的基金或不收取申购费用的基金转换，不收取申购补差费用。申购补差费用原则上按照转出确认金额对应的转入基金申购费减去转出基金申购费差额进行计算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转出基金申购费用=转入确认金额×转出基金申购费率/（1+转出基金申购费率）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转入基金申购费用=转入确认金额×转入基金申购费率/（1+转入基金申购费率）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转出与转入基金的申购补差费=MAX（0，转入基金申购费用-转出基金申购费用）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稳利A类基金份额100,000份，持有期半年，转换申请当日交银稳利的A类基金份额净值为1.0100元，交银现金宝A类基金份额的基金份额净值为1.00元。若该投资者将100,000份交银稳利A类基金份额转换为交银现金宝A类基金份额，则转入交银现金宝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转出基金申购费用=101,000×0.30%/（1+0.30%）=302.09元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转入基金申购费用=0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转入基金确认份额=（101,000-0）/1.00=101,000份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现金宝A类基金份额100,000份，该100,000份基金份额未结转的待支付收益为61.52元，转换申请当日交银现金宝的A类基金份额净值为1.00元，交银稳利的A类基金份额净值为1.0100元。若该投资者将100,000份交银现金宝A类基金份额转换为交银稳利A类基金份额，则转入交银稳利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转出基金申购费用=0元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转入基金申购费用=100,000×0.30%/（1+0.30%）=299.10元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转出与转入基金的申购补差费=299.10-0=299.10元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转入基金确认份额=（100,000-299.10+61.52）/1.0100=98,774.67份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本基金在合理控制风险的前提下，充分发挥专业研究与管理能力，力争为投资者提供长期稳健的投资回报。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利用经交银施罗德研究团队修正后的投资时钟分析框架，通过“自上而下”的定性分析和定量分析相结合形成对不同资产市场表现的预测和判断，确定基金资产在沪深A股、港股通标的股票、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（1）品质筛选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盈利能力指标：如市盈率（P/E）、市现率（P/Cash Flow）、股价与每股自由现金流比率（P/FCF）、市销率（P/S）、股价与每股息税前利润比率（P/EBIT）等；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经营效率指标：如净资产收益率（ROE）、资产收益率（ROA）、经营资产回报率（Return on operating assets）等；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财务状况指标：如资产负债率（D/A）、流动比率等；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研发投入指标：如研发投入与营业收入比率、科研人员数量及占比、专利数量及在同行业的占比等。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（2）价值评估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（3）港股通标的股票投资策略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本基金可通过内地与香港股票市场交易互联互通机制投资于香港股票市场。本基金优先将基本面健康、业绩向上弹性较大、具有估值优势的港股通标的股票纳入本基金的股票投资组合。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（4）存托凭证的投资策略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投资策略等多种策略，以期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5、股指期货投资策略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（1）股票投资（含存托凭证）占基金资产的比例为60%-95%，其中投资于港股通标的股票的比例占股票资产的0%-50%；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法律法规或监管部门取消或者变更上述限制，如适用于本基金，基金管理人在履行适当程序后，则本基金投资不再受相关限制或以变更后的规定为准。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中证800成长指数收益率×70%+中证港股通综合指数（人民币）收益率×5%+中债综合全价指数收益率×25%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中证800成长指数由中证指数有限公司编制，以中证 800指数为样本空间，选取成长因子得分最高的150只证券作为指数样本，并采用成长因子得分调整后的自由流通市值加权，反映中证800指数样本中具有成长特征的上市公司证券的整体表现，适合作为本基金A股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中证港股通综合指数由中证指数有限公司编制，选取符合港股通资格的上市公司证券作为样本，以反映港股通范围内上市公司的整体表现，适合作为本基金港股资产投资的业绩比较基准。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指数由中央国债登记结算有限责任公司编制并发布，其指数样本涵盖国债、政策性银行债、商业银行债、中期票据、短期融资券、企业债、公司债等各类券种，综合反映了债券市场整体价格和回报情况，是目前市场上较为权威的反映债券市场整体走势的基准指数之一。该指数合理、透明、公开，具有较好的市场接受度，作为衡量本基金债券部分业绩比较基准较为合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根据本基金的投资范围和投资比例，选用上述业绩比较基准能够客观、合理地反映本基金的风险收益特征。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上述指数停止计算编制或更改名称，或者今后法律法规发生变化，又或者市场推出更具权威、且更能够表征本基金风险收益特征的指数，则本基金管理人可与本基金托管人协商一致并按照监管部门要求履行适当程序后，调整或变更本基金的业绩比较基准并及时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基金托管人上海浦东发展银行股份有限公司根据本基金合同约定，于2026年07月17日复核了本报告中的财务指标、净值表现和投资组合报告等内容，保证复核内容不存在虚假记载、误导性陈述或者重大遗漏。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237,428,405.84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237,428,405.84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30,730,098.56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30,730,098.56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31,388,535.19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370,356.66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299,917,396.25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注：本基金本报告期末通过港股通机制投资香港股票的公允价值为18,823,897.76元，占基金资产净值比例为6.43%。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149,047.74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218,455,460.34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74.57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218,604,508.08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74.62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通信服务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10,069,842.76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能源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8,753,872.26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工业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182.74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18,823,897.76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6.43</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注：本报告采用中证CICS一级分类标准编制。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华峰测控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21,185,684.60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19,304,000.00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28,420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17,250,940.00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北方华创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15,568,256.00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300394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天孚通信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43,400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13,136,312.00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002833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弘亚数控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601,300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11,599,077.00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688361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中科飞测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24,697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10,619,710.00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拓荆科技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10,617,686.16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00700 HK</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腾讯控股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26,975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10,069,842.76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002384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东山精密</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35,600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9,339,660.00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30,578,095.89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30,578,095.89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152,002.67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30,730,098.56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210315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21进出绿色债01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30,578,095.89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118071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华峰转债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152,002.67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2026年03月05日,国家外汇管理局北京市分局公示京汇罚[2026]14号行政处罚决定书,给予中国进出口银行罚没共计221.24万元人民币的行政处罚。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2025年09月12日,国家金融监督管理总局公示行政处罚决定书,给予中国进出口银行130万元人民币的行政处罚。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188,927.68</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170,836.02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10,592.96</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370,356.66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流通受限部分的公允价值（元）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流通受限情况说明</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拓荆科技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10,617,686.16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重大事项</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（1）交银远见成长混合A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28.41%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17.43%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-3.75%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（2）交银远见成长混合C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28.41%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-8.98%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注：本基金的业绩比较基准为中证800成长指数收益率×70%+中证港股通综合指数（人民币）收益率×5%+中债综合全价指数收益率×25%，每日进行再平衡过程。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交银施罗德远见成长混合型证券投资基金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(2025年11月17日至2026年06月30日)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（1）交银远见成长混合A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（2）交银远见成长混合C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基金合同生效日为2025年11月17日，基金合同生效日至报告期期末，本基金运作时间未满一年。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基金资产总值是指基金拥有的各类有价证券、股指期货合约、银行存款本息、基金应收款项及其他资产的价值总和。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期货结算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基金所拥有的股票、债券、资产支持证券、股指期货和其他投资等持续以公允价值计量的金融资产及负债。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（2）首次公开发行未上市的股票和债券，采用估值技术确定公允价值；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3、对于已上市或已挂牌转让的不含权固定收益品种（另有规定的除外），选取第三方估值基准服务机构提供的相应品种当日的估值全价进行估值。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4、对于已上市或已挂牌转让的含权固定收益品种（另有规定的除外），选取第三方估值基准服务机构提供的相应品种当日的唯一估值全价或推荐估值全价进行估值。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6、对于未上市或未挂牌转让且不存在活跃市场的固定收益品种，采用在当前情况下适用并且有足够可利用数据和其他信息支持的估值技术确定其公允价值。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8、同一证券同时在两个或两个以上市场交易的，按证券所处的市场分别估值。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9、估值计算中涉及港币对人民币汇率的，将依据下列信息提供机构所提供的汇率为基准：当日中国人民银行或其授权机构公布的人民币与港币的中间价。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10、对于因税收规定调整或其他原因导致本基金实际交纳税金与估算的应交税金有差异的，本基金将在相关税金调整日或实际支付日进行相应的会计处理。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基金资产净值、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（2）错误偏差达到该类基金份额净值的0.25%时，基金管理人应当通报基金托管人并报中国证监会备案；错误偏差达到该类基金份额净值的0.5%时，基金管理人应当公告，并报中国证监会备案。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1、基金管理人或基金托管人按估值方法的第12项进行估值时，所造成的误差不作为基金资产估值错误处理。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41"/>
      <w:bookmarkStart w:id="31" w:name="_Toc256000014"/>
      <w:r>
        <w:rPr>
          <w:rFonts w:ascii="宋体" w:hAnsi="宋体"/>
          <w:sz w:val="30"/>
        </w:rPr>
        <w:t>十四、基金收益与分配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1、由于本基金A类基金份额不收取销售服务费，C类基金份额收取销售服务费，各基金份额类别对应的可供分配利润将有所不同；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4、基金收益分配后任一类基金份额净值不能低于面值；即基金收益分配基准日的任一类基金份额净值减去该类每单位基金份额收益分配金额后不能低于面值；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5、本基金同一基金份额类别的每一基金份额享有同等分配权；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6、基金的证券、期货交易费用；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9、因投资港股通标的股票而产生的各项合理费用；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H＝E×年管理费率÷当年天数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H＝E×年托管费率÷当年天数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本基金A类基金份额不收取销售服务费，C类基金份额的销售服务费按前一日C类基金份额的基金资产净值的0.4%年费率计提。销售服务费的计算方法如下：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H＝E×0.4%÷当年天数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逐日累计至每月月末，按月支付。由基金管理人与基金托管人核对一致后，由基金托管人按照与基金管理人协商一致的方式于次月首日起5个工作日内从基金财产中一次性支付给基金管理人，由基金管理人代付给销售机构，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C类基金份额的销售服务费将专门用于本基金的市场推广、销售与基金份额持有人服务。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（4）上述“（一）基金费用的种类”中第3－9项、第11项费用，根据有关法规及相应协议规定，按费用实际支出金额列入当期费用，由基金托管人从基金财产中支付。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7、基金托管人每月与基金管理人就基金的会计核算、报表编制等进行核对并以书面方式或双方认可的其他方式确认。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3、基金管理人认为有充足理由更换会计师事务所，须通报基金托管人。更换会计师事务所需依照《信息披露办法》的规定在规定媒介公告。</w:t>
      </w:r>
    </w:p>
    <w:p>
      <w:pPr>
        <w:pStyle w:val="2"/>
        <w:snapToGrid w:val="0"/>
        <w:spacing w:before="240" w:beforeLines="0" w:after="0"/>
        <w:rPr>
          <w:rFonts w:ascii="宋体" w:hAnsi="宋体"/>
          <w:szCs w:val="30"/>
        </w:rPr>
      </w:pPr>
      <w:r>
        <w:br w:type="page"/>
      </w:r>
      <w:bookmarkStart w:id="36" w:name="_Toc256000044"/>
      <w:bookmarkStart w:id="37" w:name="_Toc256000017"/>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（一）本基金的信息披露应符合《基金法》、《运作办法》、《信息披露办法》、《流动性风险管理规定》、《基金合同》及其他有关规定。相关法律法规关于信息披露的规定发生变化时，本基金从其最新规定。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（24）本基金推出新业务或服务；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13、基金投资股指期货情况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股指期货，基金管理人需按照法规要求在季度报告、中期报告、年度报告等定期报告和招募说明书（更新）等文件中披露股指期货交易情况，包括交易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14、基金投资港股通标的股票情况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本基金可投资港股通标的股票，基金应当在季度报告、中期报告、年度报告等定期报告和招募说明书（更新）等文件中披露港股通标的股票的投资情况。法律法规或中国证监会另有规定的，从其规定。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基金信息披露义务人公开披露基金信息，应当符合中国证监会相关基金信息披露内容与格式准则等法律法规的规定。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各类基金份额的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基金管理人、基金托管人应当在规定报刊中选择一家披露信息的报刊。基金管理人、基金托管人应当向中国证监会基金电子披露网站报送拟披露的基金信息，并保证相关报送信息的真实、准确、完整、及时。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依法必须披露的信息发布后，基金管理人、基金托管人应当按照相关法律法规规定将信息置备于各自办公场所，供社会公众查阅、复制。</w:t>
      </w:r>
    </w:p>
    <w:p>
      <w:pPr>
        <w:pStyle w:val="2"/>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1、本基金实施侧袋机制的，管理费、托管费等按主袋账户基金资产净值作为基数计提。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46"/>
      <w:bookmarkStart w:id="41" w:name="_Toc256000019"/>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不超过3个月开始办理赎回，具体业务办理时间在赎回开始公告中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基金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属于混合型基金，股票投资（含存托凭证）占基金资产的比例为60%-95%，其中投资于港股通标的股票的比例占股票资产的0%-50%。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4、投资股指期货的特定风险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（2）流动性风险是指由于股指期货合约无法及时变现所带来的风险。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（5）信用风险是指期货经纪公司违约而产生损失的风险。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7、投资港股通标的股票的特定风险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（1）港股交易失败风险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（2）汇率风险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（3）境外市场的风险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以上所述因素可能会给本基金投资带来特殊交易风险。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但根据监管机构、司法机关等有权机关的要求提供，或因审计、法律等外部专业顾问提供服务需要提供的情况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（19）面临解散、依法被撤销或者被依法宣告破产时，及时报告中国证监会和银行业监督管理机构，并通知基金托管人；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（4）根据相关市场规则，为基金开设资金账户、证券账户、期货结算账户等投资所需账户，为基金办理证券、期货交易资金清算；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（6）按规定开设基金财产的资金账户、证券账户和期货结算账户等投资所需账户，按照《基金合同》的约定，根据基金管理人的投资指令，及时办理清算、交割事宜；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但根据监管机构、司法机关等有权机关的要求提供，或因审计、法律等外部专业顾问提供服务需要提供的情况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（8）复核、审查基金管理人计算的基金资产净值、各类基金份额净值、基金份额申购、赎回价格；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5）调整基金管理人、基金托管人的报酬标准或提高销售服务费率；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1）调低基金销售服务费率；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3）在法律法规和《基金合同》规定的范围内调整本基金的申购费率、在对现有基金份额持有人利益无实质性不利影响的前提下变更收费方式；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6）在法律法规允许的情况下，且在对现有基金份额持有人利益无实质性不利影响的前提下，在履行适当程序后，基金推出新业务或服务；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7）在符合法律法规及本基金合同规定、并且对基金份额持有人利益无实质性不利影响的前提下，增加或调整本基金份额类别的设置、对基金份额分类办法及规则进行调整；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各方当事人同意，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《基金合同》受中国法律（为本基金合同之目的，不含港澳台地区法律）管辖并从其解释。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《基金合同》正本一式三份，除上报有关监管机构一式一份外，基金管理人、基金托管人各持有一份，每份具有同等的法律效力。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6" w:name="_Toc256000049"/>
      <w:bookmarkStart w:id="47" w:name="_Toc256000022"/>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 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办公地址：上海博成路1388号浦银中心A栋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法定代表人：张为忠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成立日期：1992年10月19日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基金托管业务资格批准机关：中国证监会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基金托管业务资格文号：证监基金字[2003]105号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批准设立机关和批准设立文号：中国人民银行银复（1992）350号文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组织形式：股份有限公司（上市）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注册资本：人民币293.52亿元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经营期限：永久存续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1、基金托管人对基金管理人的投资行为行使监督权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（1）基金托管人根据有关法律法规的规定和《基金合同》的约定，对下述基金投资范围、投资对象进行监督。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本基金将投资于以下金融工具：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本基金不得投资于相关法律、法规、部门规章及《基金合同》禁止投资的投资工具。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（2）基金托管人根据有关法律法规的规定及《基金合同》的约定对下述基金投融资比例进行监督：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1）按法律法规的规定及《基金合同》的约定，本基金的投资资产配置比例为：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因基金规模或市场变化等因素导致投资组合不符合上述规定的，基金管理人应在合理的期限内调整基金的投资组合，以符合上述比例限定。法律法规另有规定时，从其规定。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2）根据法律法规的规定及《基金合同》的约定，本基金投资组合遵循以下投资限制：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a.股票投资（含存托凭证）占基金资产的比例为60%-95%，其中投资于港股通标的股票的比例占股票资产的0%-50%；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f.本基金持有的全部资产支持证券，其市值不得超过基金资产净值的20％；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g.本基金持有的同一（指同一信用级别）资产支持证券的比例，不得超过该资产支持证券规模的10％；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i.本基金应投资于信用级别评级为BBB以上（含BBB）的资产支持证券。基金持有资产支持证券期间，如果其信用等级下降、不再符合投资标准，应在评级报告发布之日起3个月内予以全部卖出；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j.基金财产参与股票发行申购，本基金所申报的金额不超过本基金的总资产，本基金所申报的股票数量不超过拟发行股票公司本次发行股票的总量；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l.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m.本基金与私募类证券资管产品及中国证监会认定的其他主体为交易对手开展逆回购交易的，可接受质押品的资质要求应当与基金合同约定的投资范围保持一致；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n.本基金参与股指期货交易，则：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o.本基金资产总值不超过基金资产净值的140%；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p.本基金投资存托凭证的比例限制依照境内上市交易的股票执行；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q.法律法规及中国证监会规定的和《基金合同》约定的其他投资限制。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b、i、l、m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法律法规或监管部门取消或者变更上述限制，如适用于本基金，基金管理人在履行适当程序后，则本基金投资不再受相关限制或以变更后的规定为准。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（3）基金托管人根据有关法律法规的规定及《基金合同》的约定对下述基金投资禁止行为进行监督：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根据法律法规的规定及《基金合同》的约定，本基金禁止从事下列行为：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如法律、行政法规或监管部门取消或变更上述禁止性规定，如适用于本基金，基金管理人在履行适当程序后，本基金可不受上述规定的限制或以变更后的规定为准。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（4）基金托管人依据有关法律法规的规定和《基金合同》的约定对于基金关联投资限制进行监督。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基金合同》有关于基金从事关联交易的规定，基金管理人和基金托管人事先相互提供关联方清单及关联关系（以下称“关联交易名单”）。双方有责任确保向对方提供的关联交易名单的真实性、准确性、完整性，并负责及时将更新后的名单发送给对方。名单变更后双方应及时发送对方，经对方确认后，新的关联交易名单开始生效。基金托管人仅按基金管理人提供的基金关联方名单为限，进行监督。如果基金托管人在运作中严格遵循了监督流程，基金管理人仍违规进行关联交易，并造成基金资产损失的，由基金管理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（5）基金托管人依据有关法律法规的规定和《基金合同》的约定对基金管理人参与银行间债券市场进行监督。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基金托管人根据基金管理人提供的银行间债券市场交易对手名单进行监督。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（6）基金托管人依据有关法律法规的规定和《基金合同》的约定，对基金银行存款业务进行监督。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加强对基金投资银行存款风险的评估与研究，严格测算与控制投资银行存款的风险敞口，针对不同类型存款银行建立相关投资限制制度。对于基金投资的银行存款，由于存款银行发生信用风险事件而造成损失时，如果基金托管人在运作过程中遵循有关法律法规的规定和《基金合同》的约定监督流程，则对于由于存款银行信用风险引起的损失，不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（7）基金托管人对基金投资流通受限证券的监督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如下所指“流通受限证券”与本协议以及基金合同所指“流动性受限资产”定义存在不同。就流动性受限资产定义，请参照基金合同的“第二部分 释义”部分。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的流通受限证券包括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相应责任。如因基金管理人原因导致本基金出现损失的，基金托管人不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应在基金投资非公开发行股票后按照相关法律法规规定，在中国证监会规定媒介披露所投资非公开发行股票的名称、数量、总成本、账面价值，以及总成本和账面价值占基金资产净值的比例、锁定期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未遵守相关制度、流动性风险处置方案以及投资额度和比例限制要求，导致基金出现风险使基金托管人承担连带赔偿责任的，若基金托管人此前已切实履行监督职责的，基金管理人应赔偿基金托管人由此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①中国证监会批准发行非公开发行股票的批准文件。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②有关非公开发行股票的发行数量、发行价格、锁定期等发行资料。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③基金拟认购的数量、价格、总成本、账面价值。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④该基金投资流通受限证券的投资额度和投资比例控制。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相应责任，并有权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如基金管理人和基金托管人无法就上述问题达成一致，应及时上报中国证监会请求解决。基金托管人履行了本协议规定的监督职责后，不承担相应责任。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6）相关法律法规对基金投资流通受限证券有新规定的，从其规定。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相应责任。如因基金管理人原因导致基金出现损失的，基金托管人不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2、基金托管人应当依照法律法规和基金合同约定，加强对侧袋机制启用、特定资产处置和信息披露等方面的复核和监督。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在限期内，基金托管人有权随时对通知事项进行复查，督促基金管理人改正。基金管理人对基金托管人通知的违规事项未能在限期内纠正的，基金托管人应报告中国证监会。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对于必须于估值完成后方可获知的监控指标或依据交易程序已经成交的投资指令，基金托管人发现该投资指令违反法律法规或者违反《基金合同》约定的，应当立即通知基金管理人，并报告中国证监会。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基金托管人发现基金管理人有重大违规行为，应立即报告中国证监会，同时通知基金管理人限期纠正。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基金托管人履行托管职责情况进行核查，核查事项包括但不限于基金托管人是否安全保管基金财产、是否分别开设基金财产的资金账户、证券账户、期货结算账户及投资所需其他账户、是否复核基金管理人计算的基金资产净值和各类基金份额净值、是否根据基金管理人指令办理清算交收、进行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（3）基金托管人按照规定为托管的基金财产开设资金账户、证券账户、期货结算账户及投资所需其他账户。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（4）基金托管人对所托管的不同基金财产分别设置账户，与基金托管人的其他业务和其他基金的托管业务实行严格的分账管理，独立核算，确保基金财产的完整与独立。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2、募集资金的验证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募集期内销售机构按销售服务协议的约定，将认购资金划入基金管理人在具有托管资格的商业银行开设的“交银施罗德基金管理有限公司基金认购专户”。该账户由基金管理人开立并管理。基金募集期满或基金管理人宣布停止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若基金募集期限届满，未能达到《基金合同》生效的条件，由基金管理人按规定办理退款事宜，基金托管人应提供充分协助。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3、基金资产托管专户的开立和管理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的名义在其营业机构开设资产托管专户（亦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一切货币收支活动，均需通过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资产托管专户的管理应符合《人民币银行结算账户管理办法》、《人民币利率管理规定》、《支付结算办法》以及银行业监督管理机构的其他有关规定。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4、基金证券账户与结算备付金账户的开设和管理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基金托管人以基金托管人和本基金联名的方式在中国证券登记结算有限责任公司上海分公司/深圳分公司开立专门的证券账户。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基金证券账户的开立和原始开户材料的保管由基金托管人负责，账户资产的管理和运用由基金管理人负责。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的名义在中国证券登记结算有限责任公司上海分公司/深圳分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5、银行间市场债券托管和资金结算专户的开立和管理及市场准入备案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6、期货结算账户的开立和管理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基金管理人应当代表本基金，按照相关规定开立期货结算账户、期货资金账户，在中国金融期货交易所获取交易编码。期货结算账户名称、期货资金账户名称及交易编码对应名称应按照有关规定设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（1）因业务发展而需要开立的其它账户，可以根据《基金合同》或有关法律法规的规定，经基金管理人和基金托管人协商一致后，由基金托管人负责为基金开立。新账户按有关规则使用并管理。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8、基金投资银行存款账户的开立和管理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基金投资银行定期存款，基金管理人与基金托管人应比照相关规定，就本基金投资银行存款业务签订书面协议。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存款账户必须以基金名义开立，账户名称为基金名称，存款账户开户文件上加盖预留印鉴及基金管理人公章。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本基金投资银行存款时，基金管理人应当与存款银行签订具体存款协议，明确存款的类型、期限、利率、金额、账号、对账方式、支取方式、账户管理等细则。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为防范特殊情况下的流动性风险，定期存款协议中应当约定提前支取条款。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基金所投资定期存款存续期间，基金管理人、基金托管人应当与存款银行建立定期对账机制，确保基金银行存款业务账目及核对的真实、准确。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9、基金财产投资的有关实物证券、银行定期存款存单等有价凭证的保管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由基金托管人存放于基金托管人的保管库；其中实物证券也可存入中央国债登记结算有限责任公司、中国证券登记结算有限责任公司上海分公司/深圳分公司、银行间市场清算所股份有限公司或票据营业中心的代保管库。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或保管的实物证券、银行定期存款存单对应的财产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30个工作日内通过专人送达、挂号邮寄等安全方式将合同原件送达基金托管人处。合同原件应存放于基金管理人和基金托管人各自文件保管部门，保管期限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对于无法取得二份以上的正本的，基金管理人应向基金托管人提供与合同原件核对一致的并加盖基金管理人公章的合同传真件或复印件，未经双方协商一致，合同原件不得转移。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（五）基金资产净值计算、估值和会计核算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1、基金资产净值的计算、复核的时间和程序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基金管理人应对基金资产估值，但基金管理人根据法律法规或基金合同的规定暂停估值时除外。估值原则应符合《基金合同》、《证券投资基金会计核算业务指引》及其他法律、法规的规定。基金管理人应于每个工作日交易结束后计算当日的各类基金份额净值和基金资产净值并以双方认可的方式发送给基金托管人。基金托管人对净值计算结果复核后以双方认可的方式发送给基金管理人，由基金管理人按约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等法律法规，基金管理人计算并公告基金净值信息，基金托管人复核、审查基金管理人计算的基金净值信息。本基金的基金会计责任方是基金管理人，就与本基金有关的会计问题，如经相关各方在平等基础上充分讨论后，仍无法达成一致的意见，按照基金管理人对基金净值信息的计算结果对外予以公布。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估值原则应符合《基金合同》、《证券投资基金会计核算业务指引》及其他法律法规的规定的约定。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当相关法律法规或《基金合同》规定的估值方法不能客观反映基金财产公允价值时，基金管理人可根据具体情况，并与基金托管人商定后，按最能反映公允价值的价格估值。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本基金实施侧袋机制的，应根据基金合同的约定对主袋账户资产进行估值并披露主袋账户的基金净值信息，暂停披露侧袋账户份额净值。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基金份额净值小数点后4位以内(含第4位)发生估值错误时，视为基金份额净值错误；基金份额净值计算出现错误时，基金管理人应当立即予以纠正，通报基金托管人，并采取合理的措施防止损失进一步扩大；错误偏差达到该类基金份额净值的0.25%时，基金管理人应当通报基金托管人并报中国证监会备案；错误偏差达到该类基金份额净值的0.5%时，基金管理人应当公告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4）由于基金管理人提供的信息错误（包括但不限于基金申购或赎回金额等），导致基金份额净值计算错误而引起的基金份额持有人和基金财产的损失，由基金管理人负责赔付。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（5）前述内容如法律法规或者监管部门另有规定的，从其规定。如果行业另有通行做法，双方当事人应本着平等和保护基金份额持有人利益的原则进行协商。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7、基金定期报告、基金招募说明书的编制和复核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基金财务报表由基金管理人和基金托管人每月分别独立编制。月度报表的编制，应于每月终了后5个工作日内完成。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招募说明书的信息发生重大变更的，基金管理人应当在三个工作日内，更新基金招募说明书并登载在规定网站上；基金招募说明书其他信息发生变更的，基金管理人至少每年更新一次。基金管理人在季度结束之日起15个工作日内完成季度报告编制并公告；在上半年结束之日起两个月内完成中期报告编制并公告；在每年结束之日起三个月内完成年度报告编制并公告。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每月结束后5个工作日内完成月度报告，在月度报告完成当日，对报告加盖公章后，以加密传真方式将有关报告提供基金托管人复核；基金托管人在3个工作日内进行复核，并将复核结果及时书面通知基金管理人。基金管理人在每季度结束后7个工作日内完成季度报告，在季度报告完成当日，将有关报告提供基金托管人复核，基金托管人在收到后7个工作日内进行复核，并将复核结果书面通知基金管理人。基金管理人在基金会计年度前六个月结束后30日内完成中期报告，在中期报告完成当日，将有关报告提供基金托管人复核，基金托管人在收到后30日内进行复核，并将复核结果书面通知基金管理人。基金管理人在基金会计年度结束后45日内完成年度报告，在年度报告完成当日，将有关报告提供基金托管人复核，基金托管人在收到后45日内复核，并将复核结果书面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基金托管人在对财务会计报告、中期报告或年度报告复核完毕后，需盖章确认或出具相应的复核确认书，以备有权机构对相关文件审核时提示。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基金的基金登记机构根据基金管理人的指令编制和保管，基金管理人应按照目前相关规则保管基金份额持有人名册。保管方式可以采用电子或文档的形式。保管期限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托管人编制中期报告和年度报告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1、本协议适用中华人民共和国法律（为本协议之目的，在此不包括香港、澳门特别行政区和台湾地区法律），并从其解释。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2、双方当事人同意，因本协议而产生的或与本协议有关的一切争议，除经友好协商可以解决的，任何一方均有权将争议提交上海国际经济贸易仲裁委员会，根据该会届时有效的仲裁规则进行仲裁，仲裁的地点在上海市，仲裁裁决是终局性的并对双方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（八）托管协议的变更、终止与基金财产的清算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本协议双方当事人经协商一致，可以对协议的内容进行变更。变更后的托管协议，其内容不得与《基金合同》的规定有任何冲突，基金托管协议的变更按规定报中国证监会备案。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发生以下情况，本托管协议终止：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2）基金托管人解散、依法被撤销、破产或有其他基金托管人接管基金资产；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3）基金管理人解散、依法被撤销、破产或有其他基金管理人接管基金管理权；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4）发生法律法规或《基金合同》规定的终止事项。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（2）在基金财产清算小组接管基金财产之前，基金管理人和基金托管人应按照《基金合同》和本托管协议的规定继续履行保护基金财产安全的职责。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（7）基金财产按下列顺序清偿：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1）支付清算费用；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2）交纳所欠税款；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3）清偿基金债务；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基金财产未按前款1）－3）项规定清偿前，不分配给基金份额持有人。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服务，个人投资者可以直接通过本基金管理人的网上直销交易平台办理开户和本基金的申购、赎回、定期定额投资、转换等业务等。通过网上直销交易平台办理本基金申购和定期定额投资业务的个人投资者将享受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51"/>
      <w:bookmarkStart w:id="51" w:name="_Toc256000024"/>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交银施罗德远见成长混合型证券投资基金（A类份额）基金产品资料概要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交银施罗德远见成长混合型证券投资基金（C类份额）基金产品资料概要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交银施罗德远见成长混合型证券投资基金基金合同及招募说明书提示性公告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交银施罗德远见成长混合型证券投资基金托管协议</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交银施罗德远见成长混合型证券投资基金基金份额发售公告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交银施罗德远见成长混合型证券投资基金基金合同摘要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交银施罗德远见成长混合型证券投资基金基金合同</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交银施罗德远见成长混合型证券投资基金招募说明书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交银施罗德基金管理有限公司关于增加交银施罗德远见成长混合型证券投资基金销售机构的公告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2025-11-07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交银施罗德远见成长混合型证券投资基金基金合同生效公告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2025-11-18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交银施罗德基金管理有限公司关于交银施罗德远见成长混合型证券投资基金开放日常申购、赎回、转换、定期定额投资业务的公告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交银施罗德远见成长混合型证券投资基金2026年第1季度报告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交银施罗德远见成长混合型证券投资基金2026年中期报告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53"/>
      <w:bookmarkStart w:id="55" w:name="_Toc256000026"/>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（一）中国证监会准予交银施罗德远见成长混合型证券投资基金募集注册的文件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（二）《交银施罗德远见成长混合型证券投资基金基金合同》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（三）《交银施罗德远见成长混合型证券投资基金托管协议》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（六）关于申请募集注册交银施罗德远见成长混合型证券投资基金的法律意见书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141</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交银施罗德远见成长混合型证券投资基金招募说明书（更新）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交银施罗德远见成长混合型证券投资基金招募说明书（更新）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C174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142</Pages>
  <Words>13948</Words>
  <Characters>79510</Characters>
  <Lines>662</Lines>
  <Paragraphs>186</Paragraphs>
  <TotalTime>54</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2026-09-29T08:41:06Z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2E14C7491AF544ACB3AFF9B2745831BA</vt:lpwstr>
  </property>
</Properties>
</file>