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交银施罗德裕隆纯债债券型证券投资基金（D类份额）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交银裕隆纯债债券D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022155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中国邮政储蓄银行股份有限公司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动态调整大类金融资产比例，自上而下决定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1、大类资产配置；2、债券投资策略；3、资产支持证券投资策略。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详见《交银施罗德裕隆纯债债券型证券投资基金招募说明书》第十部分“基金的投资”。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2、本基金自2024年9月20日起，开始销售D类份额，基金份额类别首次确认当年净值增长率按实际存续期计算。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700元每笔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投资资产支持证券，资产支持证券具有一定的价格波动风险、流动性风险、信用风险、提前偿付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●《交银施罗德裕隆纯债债券型证券投资基金基金合同》、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《交银施罗德裕隆纯债债券型证券投资基金托管协议》、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《交银施罗德裕隆纯债债券型证券投资基金招募说明书》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52B09"/>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7402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638</Words>
  <Characters>3638</Characters>
  <Lines>30</Lines>
  <Paragraphs>8</Paragraphs>
  <TotalTime>0</TotalTime>
  <ScaleCrop>false</ScaleCrop>
  <LinksUpToDate>false</LinksUpToDate>
  <CharactersWithSpaces>4268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2026-09-30T06:47:00Z</dcterms:created>
  <dc:creator>Cc</dc:creator>
  <cp:lastModifiedBy>haotingting</cp:lastModifiedBy>
  <dcterms:modified xsi:type="dcterms:W3CDTF">2026-09-30T06:58:51Z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DE841D0B92E74CF4861FC32DECCD919C</vt:lpwstr>
  </property>
</Properties>
</file>