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交银施罗德启欣混合型证券投资基金招募说明书（更新）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256000000"/>
      <w:bookmarkStart w:id="1" w:name="_Toc324920538"/>
      <w:bookmarkStart w:id="2" w:name="_Toc496884613"/>
      <w:bookmarkStart w:id="3" w:name="_Toc256000027"/>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启欣混合型证券投资基金（以下简称“本基金”）经2020年8月20日中国证券监督管理委员会（以下简称“中国证监会”）证监许可【2020】1900号文准予募集注册。本基金基金合同于2020年10月28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实施过程中产生的基金管理风险；流动性风险（包括实施侧袋机制时的特定风险）；信用风险；投资资产支持证券的特定风险；投资股指期货的特定风险；投资流通受限证券的特定风险；投资科创板股票的特定风险；连续五十个工作日出现基金份额持有人数量不满200人或基金资产净值低于5000万元情形时，基金管理人可依基金合同约定提前终止基金合同的风险；投资本基金的其他风险等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本基金是一只混合型基金，其预期风险和预期收益高于债券型基金和货币市场基金，低于股票型基金。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10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20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_Toc256000033 \h </w:instrText>
      </w:r>
      <w:r>
        <w:fldChar w:fldCharType="separate"/>
      </w:r>
      <w:r>
        <w:rPr>
          <w:rStyle w:val="18"/>
        </w:rPr>
        <w:t>51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七、基金合同的生效</w:t>
      </w:r>
      <w:r>
        <w:rPr>
          <w:rStyle w:val="18"/>
        </w:rPr>
        <w:tab/>
      </w:r>
      <w:r>
        <w:fldChar w:fldCharType="begin"/>
      </w:r>
      <w:r>
        <w:rPr>
          <w:rStyle w:val="18"/>
        </w:rPr>
        <w:instrText xml:space="preserve"> PAGEREF _Toc256000034 \h </w:instrText>
      </w:r>
      <w:r>
        <w:fldChar w:fldCharType="separate"/>
      </w:r>
      <w:r>
        <w:rPr>
          <w:rStyle w:val="18"/>
        </w:rPr>
        <w:t>52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_Toc256000035 \h </w:instrText>
      </w:r>
      <w:r>
        <w:fldChar w:fldCharType="separate"/>
      </w:r>
      <w:r>
        <w:rPr>
          <w:rStyle w:val="18"/>
        </w:rPr>
        <w:t>53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_Toc256000036 \h </w:instrText>
      </w:r>
      <w:r>
        <w:fldChar w:fldCharType="separate"/>
      </w:r>
      <w:r>
        <w:rPr>
          <w:rStyle w:val="18"/>
        </w:rPr>
        <w:t>65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_Toc256000037 \h </w:instrText>
      </w:r>
      <w:r>
        <w:fldChar w:fldCharType="separate"/>
      </w:r>
      <w:r>
        <w:rPr>
          <w:rStyle w:val="18"/>
        </w:rPr>
        <w:t>72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_Toc256000038 \h </w:instrText>
      </w:r>
      <w:r>
        <w:fldChar w:fldCharType="separate"/>
      </w:r>
      <w:r>
        <w:rPr>
          <w:rStyle w:val="18"/>
        </w:rPr>
        <w:t>84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_Toc256000039 \h </w:instrText>
      </w:r>
      <w:r>
        <w:fldChar w:fldCharType="separate"/>
      </w:r>
      <w:r>
        <w:rPr>
          <w:rStyle w:val="18"/>
        </w:rPr>
        <w:t>86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_Toc256000040 \h </w:instrText>
      </w:r>
      <w:r>
        <w:fldChar w:fldCharType="separate"/>
      </w:r>
      <w:r>
        <w:rPr>
          <w:rStyle w:val="18"/>
        </w:rPr>
        <w:t>87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十四、基金收益与分配</w:t>
      </w:r>
      <w:r>
        <w:rPr>
          <w:rStyle w:val="18"/>
        </w:rPr>
        <w:tab/>
      </w:r>
      <w:r>
        <w:fldChar w:fldCharType="begin"/>
      </w:r>
      <w:r>
        <w:rPr>
          <w:rStyle w:val="18"/>
        </w:rPr>
        <w:instrText xml:space="preserve"> PAGEREF _Toc256000041 \h </w:instrText>
      </w:r>
      <w:r>
        <w:fldChar w:fldCharType="separate"/>
      </w:r>
      <w:r>
        <w:rPr>
          <w:rStyle w:val="18"/>
        </w:rPr>
        <w:t>93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_Toc256000042 \h </w:instrText>
      </w:r>
      <w:r>
        <w:fldChar w:fldCharType="separate"/>
      </w:r>
      <w:r>
        <w:rPr>
          <w:rStyle w:val="18"/>
        </w:rPr>
        <w:t>95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_Toc256000043 \h </w:instrText>
      </w:r>
      <w:r>
        <w:fldChar w:fldCharType="separate"/>
      </w:r>
      <w:r>
        <w:rPr>
          <w:rStyle w:val="18"/>
        </w:rPr>
        <w:t>98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_Toc256000044 \h </w:instrText>
      </w:r>
      <w:r>
        <w:fldChar w:fldCharType="separate"/>
      </w:r>
      <w:r>
        <w:rPr>
          <w:rStyle w:val="18"/>
        </w:rPr>
        <w:t>99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十八、侧袋机制</w:t>
      </w:r>
      <w:r>
        <w:rPr>
          <w:rStyle w:val="18"/>
        </w:rPr>
        <w:tab/>
      </w:r>
      <w:r>
        <w:fldChar w:fldCharType="begin"/>
      </w:r>
      <w:r>
        <w:rPr>
          <w:rStyle w:val="18"/>
        </w:rPr>
        <w:instrText xml:space="preserve"> PAGEREF _Toc256000045 \h </w:instrText>
      </w:r>
      <w:r>
        <w:fldChar w:fldCharType="separate"/>
      </w:r>
      <w:r>
        <w:rPr>
          <w:rStyle w:val="18"/>
        </w:rPr>
        <w:t>106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109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二十、基金合同的变更、终止与基金财产的清算</w:t>
      </w:r>
      <w:r>
        <w:rPr>
          <w:rStyle w:val="18"/>
        </w:rPr>
        <w:tab/>
      </w:r>
      <w:r>
        <w:fldChar w:fldCharType="begin"/>
      </w:r>
      <w:r>
        <w:rPr>
          <w:rStyle w:val="18"/>
        </w:rPr>
        <w:instrText xml:space="preserve"> PAGEREF _Toc256000047 \h </w:instrText>
      </w:r>
      <w:r>
        <w:fldChar w:fldCharType="separate"/>
      </w:r>
      <w:r>
        <w:rPr>
          <w:rStyle w:val="18"/>
        </w:rPr>
        <w:t>119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138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151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153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154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155</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启欣混合型证券投资基金招募说明书》（以下简称“本招募说明书”）依据《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风险管理规定》”）和其他相关法律法规的规定以及《交银施罗德启欣混合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1、基金或本基金：指交银施罗德启欣混合型证券投资基金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2、基金管理人或本基金管理人：指交银施罗德基金管理有限公司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3、基金托管人：指中国农业银行股份有限公司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4、基金合同或《基金合同》：指《交银施罗德启欣混合型证券投资基金基金合同》及对基金合同的任何有效修订和补充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5、托管协议：指基金管理人与基金托管人就本基金签订之《交银施罗德启欣混合型证券投资基金托管协议》及对该托管协议的任何有效修订和补充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6、招募说明书、本招募说明书或《招募说明书》：指《交银施罗德启欣混合型证券投资基金招募说明书》及其更新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7、基金份额发售公告：指《交银施罗德启欣混合型证券投资基金基金份额发售公告》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8、基金产品资料概要：指《交银施罗德启欣混合型证券投资基金基金产品资料概要》及其更新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11、《销售办法》：指《证券投资基金销售管理办法》及颁布机关对其不时做出的修订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16、银行业监督管理机构：指中国人民银行和/或中国银行保险监督管理委员会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21、人民币合格境外机构投资者：指按照《人民币合格境外机构投资者境内证券投资试点办法》及相关法律法规规定，运用来自境外的人民币资金进行境内证券投资的境外法人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22、投资人、投资者：指个人投资者、机构投资者、合格境外机构投资者和人民币合格境外机构投资者以及法律法规或中国证监会允许购买证券投资基金的其他投资人的合称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37、开放日：指为投资人办理基金份额申购、赎回或其他业务的工作日（若该工作日为非港股通交易日，则本基金可不开放）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39、《业务规则》：指中国证券登记结算有限责任公司相关业务规则及其不时做出的修订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49、基金资产总值：指基金拥有的各类有价证券、股指期货合约、银行存款本息、基金应收申购款及其他资产的价值总和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53、港股通：指内地投资者委托内地证券公司，经由内地证券交易所在香港设立的证券交易服务公司，向香港联合交易所进行申报，买卖规定范围内的香港联合交易所上市的股票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中先生:基金经理。复旦大学金融学硕士、南京大学工学学士，17年证券投资行业从业经验。2009年至2010年任野村证券亚太区股票研究部研究助理，2010年至2013年任中银国际证券研究部研究员、高级经理，2013年至2015年任瑞银证券研究部行业分析师、董事。2015年加入交银施罗德基金管理有限公司，现任跨境投资部基金经理。曾任交银施罗德启道混合型证券投资基金（2021年01月28日至2026年07月22日）、交银施罗德环球精选价值证券投资基金（2015年12月12日至2024年06月06日）、交银施罗德全球自然资源证券投资基金（2015年12月12日至2019年09月19日）的基金经理。现任交银施罗德成长动力一年持有期混合型证券投资基金（2021年06月11日至今）、交银施罗德启欣混合型证券投资基金（2020年10月28日至今）、交银施罗德创新成长混合型证券投资基金（2018年09月27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名称：中国农业银行股份有限公司（简称中国农业银行）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（二）基金托管人的内部风险控制制度说明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1、电话提示。对媒体和舆论反映集中的问题，电话提示基金管理人；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3、书面报告。对投资比例超标、清算资金透支以及其他涉嫌违规交易等行为，书面提示有关基金管理人并报中国证监会。</w:t>
      </w:r>
    </w:p>
    <w:p>
      <w:pPr>
        <w:pStyle w:val="2"/>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联系人：贺倩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法定代表人：朱鹤新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电话：（010）89936330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联系人：丰靖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（8）名称：中国民生银行股份有限公司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法定代表人：洪崎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传真：（010）57092611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（10）名称：东莞农村商业银行股份有限公司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法定代表人：王耀球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电话：（0769）22866254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传真：（0769）22866282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联系人：林培珊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客户服务电话：（0769）961122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（11）名称：厦门银行股份有限公司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厦门银行股份有限公司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400-858-8888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www.xmbankonline.com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（12）名称：东吴证券股份有限公司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住所：苏州工业园区星阳街5号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法定代表人：范力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电话：0512-62938521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传真：0512-62938527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联系人：陆晓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网址：www.dwjq.com.cn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（14）名称：中国邮政储蓄银行股份有限公司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传真：（010）68858117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联系人：陈春林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网址：www.psbc.com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（18）名称：招商证券股份有限公司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办公地址：深圳市福田区益田路江苏大厦A座38-45层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法定代表人：朱江涛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电话：（0755）82943666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传真：（0755）82943636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联系人：黄婵君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客户服务电话：400-8888-111，95565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网址：www.newone.com.cn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（25）名称：民生证券股份有限公司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住所：北京市东城区建国门内大街28号民生金融中心A座16层--18层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办公地址：北京市东城区建国门内大街28号民生金融中心A座16层--18层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法定代表人：冯鹤年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电话：（010）85127561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传真：（010）85127641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联系人：周照清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网址：www.mszq.com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（27）名称：山西证券股份有限公司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法定代表人：侯巍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电话：0351—8686815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联系人：谢武兵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客户服务电话：400-666-1618、95573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网址：www.i618.com.cn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（32）名称：大同证券有限责任公司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注册地址：山西省大同市城区迎宾街15号桐城中央21层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办公地址：太原市长治路 111 号山西世贸中心 A 座 F12、F13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邮政编码：030600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法定代表人：董祥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 话：（0351）4130322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 真：（0351）7219891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客服电话：4007121212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网址：www.dtsbc.com.cn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（35）名称：中原证券股份有限公司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住所：郑州市郑东新区商务外环路10号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办公地址：郑州市郑东新区商务外环路10号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法定代表人：菅明军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联系人：程月艳 李盼盼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电话：0371-69099881/2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网址：https://www.ccnew.com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（37）名称：金融街证券股份有限公司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法定代表人：祝艳辉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联系人：熊丽、王捷勋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联系电话：0471-4968480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网址：www.cnht.com.cn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（40）名称：第一创业证券股份有限公司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法定代表人：刘学民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电话：（0755）25832852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传真：（0755）25831718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联系人：崔国良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网址：www.firstcapital.com.cn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（41）名称：德邦证券股份有限公司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住所：上海市普陀区曹杨路510号南半幢9楼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办公地址：上海市福山路500号城建大厦26楼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法定代表人：姚文平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电话：（021）68761616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传真：（021）68767981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网址：www.tebon.com.cn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（42）名称：华龙证券股份有限公司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传真：（0931）4890628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联系人：李昕田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客户服务电话：4006898888、（0931）4890208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网址：www.hlzqgs.com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（46）名称：江海证券有限公司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住所：黑龙江省哈尔滨市香坊区赣水路56号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法定代表人：孙名扬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电话：（0451）85863719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传真：（0451）82287211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网址：www.jhzq.com.cn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（48）名称：长城国瑞证券有限公司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电话：0592-2079658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传真：0592-5162590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联系人：陈月月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客户服务电话：400-0099-886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网址：www.gwgsc.com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（50）名称：联储证券有限责任公司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住所：深圳市福田区福田街道岗厦社区深南大道南侧金地中心大厦9楼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办公地址：北京市朝阳区安定路5号院3号楼中建财富国际中心27层联储证券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法定代表人：吕春卫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传真：010-86499401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祝博文、张婉婷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 400-620-6868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www.lczq.com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（51）名称：国联民生证券股份有限公司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住所：江苏省无锡市金融一街8号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办公地址：江苏省无锡市金融一街8号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联系电话：0510-82832051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传真：0510-82830162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网址：www.glsc.com.cn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（94）名称：博时财富基金销售有限公司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（95）名称：上海中欧财富基金销售有限公司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（96）名称：深圳前海微众银行股份有限公司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（97）名称：中国人寿保险股份有限公司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（98）名称：易方达财富管理基金销售（广州）有限公司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住所：广州市南沙区横沥镇期航二街2号101房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办公地址：广东省广州市天河区珠江东路30号广州银行大厦41楼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电话：020-85102688-7498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联系人：吕晋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客户服务电话：4001608888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网址：www.efundcf.com.cn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经办律师：黎明、丁媛</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名称：毕马威华振会计师事务所(特殊普通合伙)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住所：北京市东城区东长安街1号东方广场2座办公楼8层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办公地址：中国上海南京西路1266号恒隆广场2期25楼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执行事务合伙人：邹俊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电话：+86 (21) 2212 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传真：+86 (21) 6288 1889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联系人：侯雯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经办注册会计师：王国蓓、侯雯</w:t>
      </w:r>
    </w:p>
    <w:p>
      <w:pPr>
        <w:pStyle w:val="2"/>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本基金由基金管理人依照《基金法》、《运作办法》、《销售办法》、基金合同及其他有关规定，并经中国证监会2020年8月20日证监许可【2020】1900号文准予募集注册。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本基金为契约型开放式混合型基金。基金存续期间为不定期。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本基金自2020年10月19日至2020年10月23日进行发售，本基金设立募集期共募集5,701,316,781.26份基金份额，有效认购户数为62,636户。</w:t>
      </w:r>
    </w:p>
    <w:p>
      <w:pPr>
        <w:pStyle w:val="2"/>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七、基金合同的生效</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根据有关规定，本基金满足基金合同生效条件，基金合同已于2020年10月28日正式生效。自基金合同生效之日起，本基金管理人正式开始管理本基金。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50个工作日出现前述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法律法规或中国证监会另有规定时，从其规定。</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本基金除基金管理人之外的其他销售机构参见本招募说明书“五、相关服务机构”章节或拨打本公司客户服务电话进行咨询。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投资人应通过上述销售机构办理基金申购、赎回业务的营业场所或按上述销售机构提供的其他方式进行申购或赎回。本基金管理人可根据情况变更或增减基金销售机构，并在管理人网站公示。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本基金已于2021年1月20日起开放申购、赎回业务。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3、最低保留余额的限制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本基金基金份额的申购费用由基金份额申购人承担，不列入基金财产，主要用于本基金的市场推广、销售、登记结算等各项费用。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投资人可以多次申购本基金，申购费用按每笔申购申请单独计算。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本基金的申购费率如下：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因红利自动再投资而产生的基金份额，不收取相应的申购费用。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1）全国社会保障基金；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2）可以投资基金的地方社会保障基金；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3）企业年金单一计划以及集合计划；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4）企业年金理事会委托的特定客户资产管理计划；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5）企业年金养老金产品。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通过基金管理人直销柜台申购本基金基金份额的养老金客户特定申购费率如下表：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特定申购费率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0.12%</w:t>
            </w:r>
          </w:p>
        </w:tc>
      </w:tr>
      <w:tr>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赎回费用由赎回基金份额的基金份额持有人承担，在基金份额持有人赎回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对持续持有期大于等于6个月的投资人，将赎回费总额的25%计入基金财产。上述“月”指的是30个自然日。未归入基金财产的部分用于支付登记费和其他必要的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30日（含）—1年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1年（含）—2年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2年以上（含）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上表中的“年”指的是365个自然日。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（1）申购的有效份额为净申购金额除以当日的基金份额净值，有效份额单位为份，申购份额计算结果按四舍五入方法，保留到小数点后2位，由此产生的收益或损失由基金财产承担。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为按实际确认的有效赎回份额乘以当日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申购份额=（申购总金额-申购费用）/T日基金份额净值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例三：某投资者（非养老金客户）投资40,000元申购本基金，假设申购当日基金份额净值为1.0400元，申购费率为1.5%，则其可得到的申购份额为：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净申购金额=40,000/（1+1.5%）=39,408.87元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申购费用=40,000-39,408.87=591.13元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申购份额=（40,000-591.13）/1.0400=37,893.14份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即：该投资者（非养老金客户）投资40,000元申购本基金，假设申购当日基金份额净值为1.0400元，则其可得到37,893.14份基金份额。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例四：某养老金客户投资100,000元通过基金管理人的直销柜台申购本基金，假设申购当日基金份额净值为1.0400元，申购费率为0.6%，则其可得到的申购份额为：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净申购金额=100,000/（1+0.6%）=99,403.58元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申购费用=100,000-99,403.58=596.42元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申购份额=（100,000-596.42）/1.0400=95,580.37份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即：该养老金客户投资100,000元通过基金管理人的直销柜台申购本基金，假设申购当日基金份额净值为1.0400元，则其可得到95,580.37份基金份额。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例五：某投资者赎回10,000份基金份额，持有60日，对应的赎回费率为0.5%，假设赎回当日基金份额净值是1.0160元，则其可得到的赎回金额为：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赎回费用=10,000.00×1.0160×0.5%＝50.80元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赎回金额=10,000.00×1.0160-50.80＝10,109.20元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即：某投资者赎回10,000份基金份额，持有60日，对应的赎回费率为0.5%，假设赎回当日基金份额净值是1.0160元，则其可得到的赎回金额为10,109.20元。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基金份额净值＝基金资产净值总额/发行在外的基金份额总数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包括该日）内公告。遇特殊情况，经履行适当程序，可以适当延迟计算或公告。本基金份额净值的计算，保留到小数点后4位，小数点后第5位四舍五入，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3、证券/期货交易所交易时间非正常停市或者港股通临时停市，导致基金管理人无法计算当日基金资产净值。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8、港股通交易每日额度不足。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6、8、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3、证券/期货交易所交易时间非正常停市或者港股通临时停市，导致基金管理人无法计算当日基金资产净值。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当发生上述巨额赎回并延期办理时，基金管理人应当通过邮寄、传真、刊登公告或者通知销售机构代为告知等方式在3个交易日内通知基金份额持有人，说明有关处理方法，并在2日内在规定媒介上刊登公告。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2、如发生暂停的时间为1日，基金管理人应于重新开放日，在规定媒介上刊登基金重新开放申购或赎回公告，并公布最近1个开放日的基金份额净值。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本基金2021年1月16日刊登公告自2021年1月20日起开通定期定额投资计划业务，具体开通销售机构名单和业务规则参见相关公告。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（十七）实施侧袋机制期间本基金的申购与赎回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（十八）其他业务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2021年1月16日刊登公告自2021年1月20日起开放日常转换业务。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在合理控制风险并保持基金资产良好流动性的前提下，充分发挥专业研究与管理能力，追求超越业绩比较基准的投资回报，力争实现基金资产的长期稳健增值。</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中小板、创业板及其他经中国证监会核准或注册上市的股票）、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投资占基金资产的比例为60%-95%，其中投资于港股通标的股票的比例占股票资产的0%-50%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券；在保持总体风险水平相对稳定的基础上，力争获取投资组合的较高回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1、大类资产配置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以长期历史数据为基础，运用稳健的投资理念和严谨的分析方法对经济基本面进行深入的定量和定性分析，确定基金资产在沪深A股、港股、债券及货币市场工具等各类别资产的初步分配比例。同时，再辅以投资时钟模型以及周期轮动理论“自上而下”对各类资产配比进行灵活调整，及时应对市场变化，在有效规避或控制市场风险的基础上，为投资者获取稳定的投资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（1）定量筛选指标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■盈利能力指标：如市盈率（P/E）、市现率（P/Cash Flow）、股价与每股自由现金流比率（P/FCF）、市销率（P/S）、股价与每股息税前利润比率（P/EBIT）等；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■经营效率指标：如净资产收益率（ROE）、资产收益率（ROA）、经营资产回报率（Return on operating assets）等；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■财务状况指标：如资产负债率（D/A）、流动比率等。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（2）价值评估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（3）港股通标的股票投资策略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本基金可通过内地与香港股票市场交易互联互通机制投资于香港股票市场。本基金优先将基本面健康、业绩向上弹性较大、具有估值优势的港股纳入本基金的股票投资组合。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以期获取债券市场的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5、股指期货投资策略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（1）股票投资占基金资产的比例为60%-95%，其中投资于港股通标的股票的比例占股票资产的0%-50%；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股指期货合约需缴纳的交易保证金后，本基金持有的现金或者到期日在一年以内的政府债券的投资比例合计不低于基金资产净值的5%，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（3）本基金持有一家公司发行的证券（同一家公司在内地和香港同时上市的A+H 股合计计算），其市值不超过基金资产净值的10％；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（4）本基金管理人管理的全部基金持有一家公司发行的证券（同一家公司在内地和香港同时上市的A+H 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沪深300指数收益率×70%+恒生指数收益率×5%+中证综合债券指数收益率×25%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沪深300指数是沪深证券交易所第一次联合发布的反映A股市场整体走势的指数，由中证指数有限公司编制和维护，是在上海和深圳证券市场中选取300只A股作为样本编制而成。该指数样本对沪深市场的覆盖度高，具有良好的市场代表性，投资者可以方便地从报纸、互联网等财经媒体中获取。沪深300指数引进国际指数编制和管理的经验，编制方法清晰透明，具有独立性和良好的市场流动性；与市场整体表现具有较高的相关度，且指数历史表现强于市场平均收益水平，适合作为本基金A股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恒生指数是由恒生指数服务有限公司编制，以香港股票市场中的50 家上市股票为成份股样本，以其发行量为权数的加权平均股价指数，是反映香港股市价幅趋势最有影响的一种股价指数。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综合债券指数是综合反映银行间债券市场和沪深交易所债券市场国债、金融债、企业债、央行票据及短期融资券整体走势的跨市场债券指数，该指数旨在更全面地反映我国债券市场的整体价格变动趋势，具有较强的市场代表性，适合作为本基金债券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根据本基金的投资范围和投资比例，选用上述业绩比较基准能够客观、合理地反映本基金的风险收益特征。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上述基准指数停止计算编制或更改名称，或者今后法律法规发生变化，又或者市场推出更具权威、且更能够表征本基金风险收益特征的指数，则本基金管理人可与本基金托管人协商一致并按照监管部门要求履行适当程序后，调整或变更本基金的业绩比较基准并及时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本基金是一只混合型基金，其预期风险和预期收益高于债券型基金和货币市场基金，低于股票型基金。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b w:val="0"/>
          <w:bCs/>
          <w:szCs w:val="24"/>
        </w:rPr>
      </w:pPr>
      <w:bookmarkStart w:id="56" w:name="_GoBack"/>
      <w:r>
        <w:rPr>
          <w:rFonts w:hint="eastAsia" w:ascii="宋体" w:hAnsi="宋体"/>
          <w:b w:val="0"/>
          <w:bCs/>
          <w:kern w:val="0"/>
          <w:sz w:val="24"/>
        </w:rPr>
        <w:t>侧袋账户的实施条件、实施程序、运作安排、投资安排、特定资产的处置变现和支付等对投资者权益有重大影响的事项详见本招募说明书“侧袋机制”部分的规定。</w:t>
      </w:r>
    </w:p>
    <w:bookmarkEnd w:id="56"/>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769,502,028.33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78.93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769,502,028.33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78.93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176,850,860.92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18.14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28,593,728.56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974,946,617.81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注：本基金本报告期末通过港股通机制投资香港股票的公允价值为312,055,255.07元，占基金资产净值比例为33.53%。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36,149.82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399,967,977.43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42.98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13,744,068.55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43,696,994.00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457,446,773.26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公允价值（人民币）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信息技术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103,826,336.72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通信服务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86,446,138.77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可选消费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72,484,901.49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7.79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40,816,921.61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能源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8,480,956.48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0.91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312,055,255.07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33.53</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注：本报告采用中证CICS一级分类标准编制。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00700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腾讯控股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197,700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73,801,961.58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7.93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55,118,000.00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300750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宁德时代</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125,580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49,354,195.80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600519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贵州茅台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38,630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45,795,478.70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001979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招商蛇口</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6,795,800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43,696,994.00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00268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金蝶国际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41,134,528.00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09992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泡泡玛特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297,105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39,920,419.74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300502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新易盛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38,908,700.00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4.18</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02423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贝壳-W</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1,119,962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36,536,226.90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3.93</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03690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美团-W</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547,342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32,564,481.75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2025年12月31日,央行重庆市分行公示渝银罚决字[2025]35号行政处罚决定书，给予美团旗下重庆美团三快小额贷款有限公司56.7万元人民币的罚款行政处罚。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2026年4月17日，市场监管总局依法对上海寻梦信息技术有限公司（拼多多）,北京三快科技有限公司（美团）,北京京东叁佰陆拾度电子商务有限公司（京东）,上海拉扎斯信息科技有限公司（原饿了么，现淘宝闪购）,北京抖音科技有限公司（抖音）,浙江淘宝网络有限公司（淘宝）,浙江天猫网络有限公司（天猫）等7家电商平台“幽灵外卖”系列案，依据《中华人民共和国食品安全法》第一百三十一条,《中华人民共和国电子商务法》第八十三条的规定作出行政处罚决定，并处以罚没款共计35.97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606,079.11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26,895,986.19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988,597.87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103,065.39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28,593,728.56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8.18%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-14.30%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-19.25%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5.33%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0.54%</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8.85%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13.98%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-5.13%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17.95%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13.66%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-7.50%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-11.76%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-8.38%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-5.56%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2020年度（自基金合同生效起至2020年12月31日）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8.33%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-5.52%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注：本基金的业绩比较基准为沪深300指数收益率×70%+恒生指数收益率×5%+中证综合债券指数收益率×25%，每日进行再平衡过程。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交银施罗德启欣混合型证券投资基金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(2020年10月28日至2026年06月30日)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6" w:name="_Toc256000039"/>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基金资产总值是指基金拥有的各类有价证券、股指期货合约、银行存款本息、基金应收申购款及其他资产的价值总和。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期货结算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基金所拥有的股票、债券、股指期货合约和其他投资等持续以公允价值计量的金融资产及负债。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（2）交易所上市交易或挂牌转让的固定收益品种（另有规定的除外），选取估值日第三方估值机构提供的相应品种当日的估值净价进行估值；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上市交易的可转换债券以每日收盘价作为估值全价；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（4）交易所上市不存在活跃市场的有价证券，采用估值技术确定公允价值。交易所市场挂牌转让的资产支持证券，采用估值技术确定公允价值；估值技术难以确定和计量其公允价值的，按成本估值；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（2）首次公开发行未上市的股票、债券，采用估值技术确定公允价值，在估值技术难以可靠计量公允价值的情况下，按成本估值；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6、估值计算中涉及港币对人民币汇率的，将依据下列信息提供机构所提供的汇率为基准：当日中国人民银行公布的人民币与港币的中间价。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（3）前述内容如法律法规或者监管部门另有规定的，从其规定。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1、基金管理人或基金托管人按估值方法的第5项进行估值时，所造成的误差不作为基金资产估值错误处理。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2、对于因税收规定调整或其他原因导致基金实际交纳税金与基金按照权责发生制进行估值的应交税金有差异的，相关估值调整不作为基金资产估值错误处理。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由于不可抗力原因，或由于证券/期货交易所、证券/期货经纪机构、登记结算公司及存款银行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30" w:name="_Toc256000041"/>
      <w:bookmarkStart w:id="31" w:name="_Toc256000014"/>
      <w:r>
        <w:rPr>
          <w:rFonts w:ascii="宋体" w:hAnsi="宋体"/>
          <w:sz w:val="30"/>
        </w:rPr>
        <w:t>十四、基金收益与分配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1、在符合有关基金分红条件的前提下，本基金管理人可以根据实际情况进行收益分配，具体分配方案以公告为准，若《基金合同》生效不满3个月可不进行收益分配；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2、本基金收益分配方式分两种：现金分红与红利再投资，投资者可选择现金红利或将现金红利自动转为基金份额进行再投资；若投资者不选择，本基金默认的收益分配方式是现金分红；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3、基金收益分配后基金份额净值不能低于面值；即基金收益分配基准日的基金份额净值减去每单位基金份额收益分配金额后不能低于面值；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本基金收益分配方案由基金管理人拟定，并由基金托管人复核，依照《信息披露办法》的有关规定在规定媒介公告。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基金份额。红利再投资的计算方法，依照《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6、基金的证券/期货交易费用；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9、因投资港股通标的股票而产生的各项合理费用；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H＝E×1.2%÷当年天数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基金管理费每日计提，按月支付。由基金管理人向基金托管人发送基金管理费划付指令，经基金托管人复核后于次月首日起3个工作日内从基金财产中一次性支付给基金管理人。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本基金的托管费按前一日基金资产净值的0.2%的年费率计提。托管费的计算方法如下：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基金托管费每日计提，按月支付。由基金管理人向基金托管人发送基金托管费划付指令，经基金托管人复核后于次月首日起3个工作日内从基金财产中一次性支付给基金托管人。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（3）上述“（一）基金费用的种类”中第3－10项费用，根据有关法规及相应协议规定，按费用实际支出金额列入当期费用，由基金托管人从基金财产中支付。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基金财产投资的相关税收，由基金份额持有人承担，基金管理人或者其他扣缴义务人按照国家有关税收征收的规定代扣代缴。</w:t>
      </w:r>
    </w:p>
    <w:p>
      <w:pPr>
        <w:pStyle w:val="2"/>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3、基金管理人认为有充足理由更换会计师事务所，须通报基金托管人。更换会计师事务所需按照《信息披露办法》的有关规定在规定媒介公告。</w:t>
      </w:r>
    </w:p>
    <w:p>
      <w:pPr>
        <w:pStyle w:val="2"/>
        <w:snapToGrid w:val="0"/>
        <w:spacing w:before="240" w:beforeLines="0" w:after="0"/>
        <w:rPr>
          <w:rFonts w:ascii="宋体" w:hAnsi="宋体"/>
          <w:szCs w:val="30"/>
        </w:rPr>
      </w:pPr>
      <w:r>
        <w:br w:type="page"/>
      </w:r>
      <w:bookmarkStart w:id="36" w:name="_Toc256000044"/>
      <w:bookmarkStart w:id="37" w:name="_Toc256000017"/>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（一）本基金的信息披露应符合《基金法》、《运作办法》、《信息披露办法》、《流动性风险管理规定》、《基金合同》及其他有关规定。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三日前，将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《基金合同》生效后，在开始办理基金份额申购或者赎回前，基金管理人应当至少每周在规定网站披露一次基金份额净值和基金份额累计净值。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在开始办理基金份额申购或者赎回后，基金管理人应当在不晚于每个开放日的次日，通过规定网站、基金销售机构网站或者营业网点披露开放日的基金份额净值和基金份额累计净值。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基金管理人应当在不晚于半年度和年度最后一日的次日，在规定网站披露半年度和年度最后一日的基金份额净值和基金份额累计净值。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（16）基金份额净值计价错误达基金份额净值百分之零点五；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（21）基金管理人采用摆动定价机制进行估值；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（24）《基金合同》生效后，连续30个工作日、40个工作日、45个工作日出现基金份额持有人数量不满200人或者基金资产净值低于5000万元情形的，基金管理人应当发布提示性公告；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12、基金投资资产支持证券情况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13、基金投资股指期货情况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14、投资港股通标的股票相关公告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基金应当在季度报告、中期报告、年度报告等定期报告和招募说明书（更新）等文件中披露港股通标的股票的投资情况。法律法规或中国证监会另有规定的，从其规定。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基金信息披露义务人公开披露基金信息，应当符合中国证监会相关基金信息披露内容与格式准则等法律法规规定。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依法必须披露的信息发布后，基金管理人、基金托管人应当按照相关法律法规规定将信息置备于各自办公场所，供社会公众查阅、复制。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（八）暂停或延迟披露基金相关信息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1、不可抗力；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3、法律法规、中国证监会规定或基金合同的情况。</w:t>
      </w:r>
    </w:p>
    <w:p>
      <w:pPr>
        <w:pStyle w:val="2"/>
        <w:snapToGrid w:val="0"/>
        <w:spacing w:before="240" w:beforeLines="0" w:after="0"/>
        <w:rPr>
          <w:rFonts w:ascii="宋体" w:hAnsi="宋体"/>
          <w:szCs w:val="30"/>
        </w:rPr>
      </w:pPr>
      <w:r>
        <w:br w:type="page"/>
      </w:r>
      <w:bookmarkStart w:id="38" w:name="_Toc256000045"/>
      <w:bookmarkStart w:id="39" w:name="_Toc256000018"/>
      <w:r>
        <w:rPr>
          <w:rFonts w:ascii="宋体" w:hAnsi="宋体"/>
          <w:sz w:val="30"/>
        </w:rPr>
        <w:t>十八、侧袋机制</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自基金合同生效之日起不超过3个月开始办理申购和赎回业务，具体业务办理时间在申购赎回开始公告中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暂停接受赎回申请、部分延期赎回、收取短期赎回费、摆动定价、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 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3、本基金可投资港股通标的股票，会面临港股通机制下因投资环境、投资标的、市场制度以及交易规则等差异带来的特有风险，具体如下：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（1）港股交易失败风险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（2）汇率风险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（3）境外市场的风险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2）香港市场交易规则有别于内地A股市场规则，此外，在“内地与香港股票市场交易互联互通机制”下参与香港股票投资还将面临包括但不限于如下特殊风险：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a）香港市场实行T+0回转交易机制（即当日买入的股票，在交收前可以于当日卖出），且证券交易价格并无涨跌幅上下限的规定，因此每日涨跌幅空间相对较大，可能表现出比A股更为剧烈的股价波动；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以上所述因素可能会给本基金投资带来特殊交易风险。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5、基金合同提前终止风险。连续50个工作日出现基金份额持有人数量不满200人或者基金资产净值低于5000万元情形的，基金管理人提前终止基金合同，不需召开基金份额持有人大会。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6、投资股指期货的特定风险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（2）流动性风险是指由于股指期货合约无法及时变现所带来的风险。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（5）信用风险是指期货经纪公司违约而产生损失的风险。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7、投资流通受限证券的特定风险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47"/>
      <w:bookmarkStart w:id="43" w:name="_Toc256000020"/>
      <w:r>
        <w:rPr>
          <w:rFonts w:ascii="宋体" w:hAnsi="宋体"/>
          <w:sz w:val="30"/>
        </w:rPr>
        <w:t>二十、基金合同的变更、终止与基金财产的清算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2、关于《基金合同》变更的基金份额持有人大会决议自生效后方可执行，并自决议生效后依照《信息披露办法》的规定在规定媒介公告。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4）根据相关市场规则，为基金开设资金账户、证券账户、期货结算账户等投资所需账户，为基金办理证券交易资金清算；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6）按规定开设基金财产的资金账户、证券账户等投资所需账户，按照《基金合同》的约定，根据基金管理人的投资指令，及时办理清算、交割事宜；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（1）当出现或需要决定下列事由之一的，应当召开基金份额持有人大会，法律法规和中国证监会另有规定的除外：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1）终止《基金合同》，基金合同另有约定的除外；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8）变更基金投资目标、范围或策略，基金合同另有约定的除外；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9）变更基金份额持有人大会程序，基金合同另有约定的除外；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2）在法律法规和《基金合同》规定的范围内调整本基金的申购费率、调低赎回费率、在对现有基金份额持有人利益无实质性不利影响的前提下变更收费方式；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3）因相应的法律法规、登记机构的相关业务规则发生变动而应当对《基金合同》进行修改；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基金份额持有人大会的决议，召集人应当自通过之日起5日内报中国证监会备案。基金份额持有人大会的决议自表决通过之日起生效。法律法规另有规定的，从其规定。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（2）关于《基金合同》变更的基金份额持有人大会决议自生效后方可执行，并自决议生效后依照《信息披露办法》的规定在规定媒介公告。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《基金合同》受中国法律（不含港澳台地区立法）管辖。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（五）基金合同存放及投资者取得基金合同的方式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《基金合同》可印制成册，供投资者在基金管理人、基金托管人、销售机构的办公场所和营业场所查阅。</w:t>
      </w:r>
    </w:p>
    <w:p>
      <w:pPr>
        <w:pStyle w:val="2"/>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 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 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办公地址：北京市西城区复兴门内大街28号凯晨世贸中心东座九层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邮政编码：100031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基金托管资格批准文号：中国证监会证监基字[1998]23号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中小板、创业板及其他经中国证监会核准或注册上市的股票）、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投资占基金资产的比例为60%-95%，其中投资于港股通标的股票的比例占股票资产的0%-50%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2、基金托管人根据有关法律法规的规定及基金合同的约定，对基金投资、融资比例进行监督。基金托管人按下述比例和调整期限进行监督：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1、股票投资占基金资产的比例为60%-95%，其中投资于港股通标的股票的比例占股票资产的0%-50%；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股指期货合约需缴纳的交易保证金后，本基金持有的现金或者到期日在一年以内的政府债券的投资比例合计不低于基金资产净值的5%，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3、本基金持有一家公司发行的证券（同一家公司在内地和香港同时上市的A+H 股合计计算），其市值不超过基金资产净值的10％；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4、本基金管理人管理的、且由本基金托管人托管的全部基金持有一家公司发行的证券（同一家公司在内地和香港同时上市的A+H 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8、本基金管理人管理的、且由本基金托管人托管的全部基金投资于同一原始权益人的各类资产支持证券，不得超过其各类资产支持证券合计规模的10％；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管理人管理的、且由本基金托管人托管的全部开放式基金（包括开放式基金以及处于开放期的定期开放基金）持有一家上市公司发行的可流通股票，不得超过该上市公司可流通股票的15%；本基金管理人管理的、且由本基金托管人托管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3、基金托管人根据有关法律法规的规定及基金合同的约定，对本协议第十五条第（十一）项基金投资禁止行为进行监督。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有关基金从事的关联交易的规定，基金管理人和基金托管人应事先相互提供与本机构有控股关系的股东或与本机构有其他重大利害关系的公司名单及其更新，并以双方约定的方式提交，确保所提供的关联交易名单的真实性、完整性、全面性。基金管理人有责任保管真实、完整、全面的关联交易名单，并负责及时更新该名单。名单变更后基金管理人应及时发送基金托管人，基金托管人应及时确认已知名单的变更。如果基金托管人在运作中严格遵循了监督流程，基金管理人仍违规进行关联交易，并造成基金资产损失的，由基金管理人承担责任，基金托管人并有权向中国证监会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2个工作日内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5、基金托管人根据有关法律法规的规定及基金合同的约定，对基金管理人投资银行存款进行监督。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基金投资银行存款的，基金管理人应根据法律法规的规定及基金合同的约定，建立投资制度、审慎选择存款银行，做好风险控制；并按照基金托管人的要求配合基金托管人完成相关业务办理。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如果基金管理人未经基金托管人的审核擅自将不实的业绩表现数据印制在宣传推介材料上，则基金托管人对此不承担任何责任，并将在发现后立即报告中国证监会。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（1）基金投资流通受限证券，应遵守《关于基金投资非公开发行股票等流通受限证券有关问题的通知》等有关法律法规规定。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基金托管人据此监督基金管理人的流通受限证券投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（4）在投资流通受限证券之前，基金管理人应至少提前一个交易日向基金托管人提供有关流通受限证券的相关信息，具体应当包括但不限于如下文件（如有）：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应保证基金投资的流通受限证券登记存管在本基金名下，并保证基金托管人能够正常查询。因基金管理人原因产生的流通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如果基金管理人未按照本协议的约定向基金托管人报送相关数据或者报送了虚假的数据，导致基金托管人不能履行托管人职责的，基金管理人应依法承担相应法律后果。除基金托管人未能依据法律法规、基金合同及本协议履行职责外，因投资流通受限证券产生的损失，基金托管人按照本协议履行监督职责后不承担上述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在下一工作日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基金托管人安全保管基金财产、开设基金财产的资金账户、证券账户等投资所需账户、协助开立股指期货业务相关账户及交易编码、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（3）基金托管人按照规定开设基金财产的资金账户、证券账户等投资所需账户、协助开立股指期货业务相关账户及交易编码。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申购、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2、基金募集期间及募集资金的验资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（1）基金募集期间的认购款项应存于专用账户。该账户由基金管理人或基金管理人委托的登记机构开立并管理。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满或基金停止募集时，募集的基金份额总额、基金募集金额、基金份额持有人人数符合《基金法》、《运作办法》等有关规定后，基金管理人应将募集到的属于基金财产的全部资金划入基金托管人为本基金开立的基金托管资金账户，同时在规定时间内，聘请符合《中华人民共和国证券法》规定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（3）若基金募集期限届满，未能达到基金备案的条件，由基金管理人按规定办理退款等事宜，基金托管人应提供充分协助。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（1）基金托管人应负责本基金的资金账户的开设和管理。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资金账户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（4）基金托管资金账户的开立和管理应符合相关法律法规的有关规定。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4、基金证券账户和结算备付金账户的开立和管理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（1）基金托管人在中国证券登记结算有限责任公司上海分公司、深圳分公司为本基金开立基金托管人与基金联名的证券账户。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5、债券托管专户的开设和管理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托管人根据中国人民银行、中央国债登记结算有限责任公司、银行间市场清算所股份有限公司的有关规定，以本基金的名义在中央国债登记结算有限责任公司、银行间市场清算所股份有限公司开立债券托管与结算账户，并代表基金进行银行间市场债券的结算。基金管理人代表基金签订全国银行间债券市场债券回购主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（1）因业务发展需要而开立的其他账户，可以根据法律法规和基金合同的规定，在基金管理人和基金托管人商议后开立。新账户按有关规则使用并管理。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15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（五）基金资产净值计算与复核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依据基金合同和相关法律法规的规定对外公布。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（六）基金份额持有人名册的登记与保管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登记机构编制，由基金管理人审核并提交基金托管人保管。基金托管人有权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本协议受中国法律（不含港澳台地区立法）管辖。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本协议双方当事人经协商一致，可以对协议进行修改。修改后的新协议，其内容不得与基金合同的规定有任何冲突。基金托管协议的变更应报中国证监会备案。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（2）基金托管人解散、依法被撤销、破产或由其他基金托管人接管基金资产；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（3）基金管理人解散、依法被撤销、破产或由其他基金管理人接管基金管理权；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（4）发生法律法规、中国证监会或基金合同规定的其他终止事项。</w:t>
      </w:r>
    </w:p>
    <w:p>
      <w:pPr>
        <w:pStyle w:val="2"/>
        <w:snapToGrid w:val="0"/>
        <w:spacing w:before="240" w:beforeLines="0" w:after="0"/>
        <w:rPr>
          <w:rFonts w:ascii="宋体" w:hAnsi="宋体"/>
          <w:szCs w:val="30"/>
        </w:rPr>
      </w:pPr>
      <w:r>
        <w:br w:type="page"/>
      </w:r>
      <w:bookmarkStart w:id="48" w:name="_Toc256000050"/>
      <w:bookmarkStart w:id="49" w:name="_Toc256000023"/>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业务，个人投资者可以直接通过本基金管理人网站的网上直销交易平台办理开户和本基金的申购、赎回、定期定额投资和转换等业务。通过网上直销交易平台办理本基金的申购和定期定额投资业务的个人投资者将享受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在条件成熟的时候，本基金管理人将根据基金网上直销业务的发展状况，适时调整可用于基金网上直销交易平台的银行卡种类，敬请投资人留意相关公告。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（四）基金红利再投资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时，基金份额持有人持有的基金份额可选择现金红利或选择红利再投将现金红利自动转为基金份额进行再投资，若投资人不选择，本基金默认的收益分配方式是现金分红；再投资红利按红利再投日（即除息日）除息后的基金份额净值自动转为基金份额，并免收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51"/>
      <w:bookmarkStart w:id="51" w:name="_Toc256000024"/>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交银施罗德基金管理有限公司关于旗下基金所持停牌股票估值调整的公告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交银施罗德启欣混合型证券投资基金2026年中期报告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和营业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26"/>
      <w:bookmarkStart w:id="55" w:name="_Toc256000053"/>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（一）中国证监会准予交银施罗德启欣混合型证券投资基金募集注册的文件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（二）《交银施罗德启欣混合型证券投资基金基金合同》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（三）《交银施罗德启欣混合型证券投资基金托管协议》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（六）关于申请募集注册交银施罗德启欣混合型证券投资基金的法律意见书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155</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交银施罗德启欣混合型证券投资基金招募说明书（更新）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交银施罗德启欣混合型证券投资基金招募说明书（更新）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0291F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qFormat/>
    <w:uiPriority w:val="0"/>
    <w:pPr>
      <w:jc w:val="left"/>
    </w:pPr>
  </w:style>
  <w:style w:type="paragraph" w:styleId="7">
    <w:name w:val="Balloon Text"/>
    <w:basedOn w:val="1"/>
    <w:semiHidden/>
    <w:qFormat/>
    <w:uiPriority w:val="0"/>
    <w:rPr>
      <w:sz w:val="18"/>
      <w:szCs w:val="18"/>
    </w:rPr>
  </w:style>
  <w:style w:type="paragraph" w:styleId="8">
    <w:name w:val="footer"/>
    <w:basedOn w:val="1"/>
    <w:link w:val="37"/>
    <w:unhideWhenUsed/>
    <w:qFormat/>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qFormat/>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qFormat/>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qFormat/>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qFormat/>
    <w:uiPriority w:val="99"/>
    <w:rPr>
      <w:sz w:val="18"/>
      <w:szCs w:val="18"/>
    </w:rPr>
  </w:style>
  <w:style w:type="character" w:customStyle="1" w:styleId="35">
    <w:name w:val="副标题 Char"/>
    <w:link w:val="11"/>
    <w:qFormat/>
    <w:uiPriority w:val="0"/>
    <w:rPr>
      <w:rFonts w:ascii="Cambria" w:hAnsi="Cambria" w:cs="Times New Roman"/>
      <w:b/>
      <w:bCs/>
      <w:kern w:val="28"/>
      <w:sz w:val="32"/>
      <w:szCs w:val="32"/>
    </w:rPr>
  </w:style>
  <w:style w:type="character" w:customStyle="1" w:styleId="36">
    <w:name w:val="文档结构图 Char"/>
    <w:link w:val="5"/>
    <w:semiHidden/>
    <w:qFormat/>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qFormat/>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156</Pages>
  <Words>13948</Words>
  <Characters>79510</Characters>
  <Lines>662</Lines>
  <Paragraphs>186</Paragraphs>
  <TotalTime>5</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2026-09-28T06:05:24Z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91D60A2CE19042A697BDC0A3F97CDD5C</vt:lpwstr>
  </property>
</Properties>
</file>