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224808">
      <w:pPr>
        <w:rPr>
          <w:sz w:val="32"/>
        </w:rPr>
      </w:pPr>
    </w:p>
    <w:p w:rsidR="00C92FC0" w:rsidRPr="00EB07BC" w:rsidRDefault="00224808">
      <w:pPr>
        <w:rPr>
          <w:sz w:val="32"/>
        </w:rPr>
      </w:pPr>
    </w:p>
    <w:p w:rsidR="00C92FC0" w:rsidRPr="00EB07BC" w:rsidRDefault="00224808">
      <w:pPr>
        <w:rPr>
          <w:sz w:val="32"/>
        </w:rPr>
      </w:pPr>
    </w:p>
    <w:p w:rsidR="00EF491C" w:rsidRDefault="00EF491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F491C" w:rsidRDefault="00EF491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F491C" w:rsidRDefault="00EF491C">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F491C" w:rsidRDefault="004C51DD">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交银施罗德稳利中短债债券型证券投资基金</w:t>
      </w:r>
    </w:p>
    <w:p w:rsidR="00EF491C" w:rsidRDefault="004C51DD">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EF491C" w:rsidRDefault="00EF491C">
      <w:pPr>
        <w:snapToGrid w:val="0"/>
        <w:spacing w:line="360" w:lineRule="auto"/>
        <w:jc w:val="center"/>
        <w:rPr>
          <w:rFonts w:ascii="宋体" w:hAnsi="宋体"/>
          <w:b/>
          <w:sz w:val="30"/>
          <w:szCs w:val="30"/>
        </w:rPr>
      </w:pPr>
    </w:p>
    <w:p w:rsidR="00EF491C" w:rsidRDefault="00EF49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F491C" w:rsidRDefault="00EF49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F491C" w:rsidRDefault="00EF49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F491C" w:rsidRDefault="00EF49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F491C" w:rsidRDefault="00EF49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F491C" w:rsidRDefault="00EF49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F491C" w:rsidRDefault="004C51D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EF491C" w:rsidRDefault="004C51D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EF491C" w:rsidRDefault="00EF49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F491C" w:rsidRDefault="00EF491C">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F491C" w:rsidRDefault="004C51DD">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EF491C" w:rsidRDefault="00EF491C">
      <w:pPr>
        <w:autoSpaceDE w:val="0"/>
        <w:autoSpaceDN w:val="0"/>
        <w:adjustRightInd w:val="0"/>
        <w:snapToGrid w:val="0"/>
        <w:spacing w:line="360" w:lineRule="auto"/>
        <w:ind w:left="1347" w:rightChars="6" w:right="13"/>
        <w:rPr>
          <w:rFonts w:ascii="宋体" w:hAnsi="宋体"/>
          <w:kern w:val="0"/>
          <w:sz w:val="32"/>
          <w:szCs w:val="32"/>
        </w:rPr>
        <w:sectPr w:rsidR="00EF491C">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EF491C" w:rsidRDefault="004C51DD">
      <w:pPr>
        <w:pStyle w:val="1"/>
        <w:snapToGrid w:val="0"/>
        <w:spacing w:beforeLines="0" w:before="240" w:after="240"/>
        <w:rPr>
          <w:rFonts w:ascii="宋体" w:hAnsi="宋体"/>
          <w:kern w:val="0"/>
        </w:rPr>
      </w:pPr>
      <w:bookmarkStart w:id="0" w:name="_Toc324920538"/>
      <w:bookmarkStart w:id="1" w:name="_Toc496884613"/>
      <w:bookmarkStart w:id="2" w:name="_Toc241672093"/>
      <w:r>
        <w:rPr>
          <w:rFonts w:ascii="Times New Roman" w:hAnsi="Times New Roman"/>
          <w:kern w:val="0"/>
        </w:rPr>
        <w:lastRenderedPageBreak/>
        <w:t>重要提示</w:t>
      </w:r>
      <w:bookmarkEnd w:id="0"/>
      <w:bookmarkEnd w:id="1"/>
      <w:bookmarkEnd w:id="2"/>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交银施罗德稳利中短债债券型证券投资基金（以下简称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1984</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日正式生效。</w:t>
      </w:r>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w:t>
      </w:r>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资产支持证券的特有风险；连续五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万元情形时基金管理人提前终止基金合同的风险；投资本基金特有的其他风险等等。</w:t>
      </w:r>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投资有风险，投资人在投资本基金前应认真阅读本基金的招募说明书和基金合同等信息披露文件，自主判断基金的投资价值，自主作出投资决策，自行承担</w:t>
      </w:r>
      <w:r>
        <w:rPr>
          <w:rFonts w:ascii="Times New Roman" w:hAnsi="Times New Roman"/>
          <w:kern w:val="0"/>
          <w:sz w:val="24"/>
        </w:rPr>
        <w:lastRenderedPageBreak/>
        <w:t>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EF491C" w:rsidRDefault="004C51D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EF491C" w:rsidRDefault="00EF491C">
      <w:pPr>
        <w:autoSpaceDE w:val="0"/>
        <w:autoSpaceDN w:val="0"/>
        <w:adjustRightInd w:val="0"/>
        <w:snapToGrid w:val="0"/>
        <w:spacing w:before="51" w:line="360" w:lineRule="auto"/>
        <w:ind w:left="120" w:rightChars="6" w:right="13" w:firstLine="480"/>
        <w:rPr>
          <w:rFonts w:ascii="宋体" w:hAnsi="宋体"/>
          <w:kern w:val="0"/>
          <w:szCs w:val="24"/>
        </w:rPr>
        <w:sectPr w:rsidR="00EF491C">
          <w:headerReference w:type="default" r:id="rId14"/>
          <w:pgSz w:w="11920" w:h="16840"/>
          <w:pgMar w:top="1440" w:right="1680" w:bottom="280" w:left="1680" w:header="0" w:footer="1073" w:gutter="0"/>
          <w:pgNumType w:start="1"/>
          <w:cols w:space="720"/>
        </w:sectPr>
      </w:pPr>
    </w:p>
    <w:p w:rsidR="00224808" w:rsidRPr="00224808" w:rsidRDefault="004C51DD" w:rsidP="00224808">
      <w:pPr>
        <w:pStyle w:val="ad"/>
        <w:snapToGrid w:val="0"/>
        <w:spacing w:after="240" w:line="360" w:lineRule="auto"/>
        <w:jc w:val="center"/>
        <w:rPr>
          <w:rFonts w:ascii="宋体" w:hAnsi="宋体"/>
          <w:noProof/>
          <w:sz w:val="24"/>
        </w:rPr>
      </w:pPr>
      <w:r w:rsidRPr="00224808">
        <w:rPr>
          <w:rFonts w:ascii="宋体" w:hAnsi="宋体"/>
          <w:color w:val="000000"/>
          <w:position w:val="-4"/>
          <w:sz w:val="24"/>
          <w:szCs w:val="30"/>
        </w:rPr>
        <w:lastRenderedPageBreak/>
        <w:t>目</w:t>
      </w:r>
      <w:r w:rsidRPr="00224808">
        <w:rPr>
          <w:rFonts w:ascii="宋体" w:hAnsi="宋体"/>
          <w:color w:val="000000"/>
          <w:position w:val="-4"/>
          <w:sz w:val="24"/>
          <w:szCs w:val="30"/>
        </w:rPr>
        <w:tab/>
        <w:t>录</w:t>
      </w:r>
      <w:r w:rsidR="00224808" w:rsidRPr="00224808">
        <w:rPr>
          <w:rFonts w:ascii="宋体" w:hAnsi="宋体"/>
          <w:color w:val="000000"/>
          <w:position w:val="-4"/>
          <w:sz w:val="24"/>
          <w:szCs w:val="30"/>
        </w:rPr>
        <w:fldChar w:fldCharType="begin"/>
      </w:r>
      <w:r w:rsidR="00224808" w:rsidRPr="00224808">
        <w:rPr>
          <w:rFonts w:ascii="宋体" w:hAnsi="宋体"/>
          <w:color w:val="000000"/>
          <w:position w:val="-4"/>
          <w:sz w:val="24"/>
          <w:szCs w:val="30"/>
        </w:rPr>
        <w:instrText xml:space="preserve"> TOC \o "1-3" \f - \h \t "-1" </w:instrText>
      </w:r>
      <w:r w:rsidR="00224808" w:rsidRPr="00224808">
        <w:rPr>
          <w:rFonts w:ascii="宋体" w:hAnsi="宋体"/>
          <w:color w:val="000000"/>
          <w:position w:val="-4"/>
          <w:sz w:val="24"/>
          <w:szCs w:val="30"/>
        </w:rPr>
        <w:fldChar w:fldCharType="separate"/>
      </w:r>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093" w:history="1">
        <w:r w:rsidRPr="00224808">
          <w:rPr>
            <w:rStyle w:val="aa"/>
            <w:rFonts w:ascii="宋体" w:hAnsi="宋体" w:hint="eastAsia"/>
            <w:noProof/>
            <w:kern w:val="0"/>
            <w:sz w:val="24"/>
          </w:rPr>
          <w:t>重要提示</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_Toc241672093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094" w:history="1">
        <w:r w:rsidRPr="00224808">
          <w:rPr>
            <w:rStyle w:val="aa"/>
            <w:rFonts w:ascii="宋体" w:hAnsi="宋体" w:hint="eastAsia"/>
            <w:noProof/>
            <w:sz w:val="24"/>
          </w:rPr>
          <w:t>一、绪言</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_Toc241672094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4</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095" w:history="1">
        <w:r w:rsidRPr="00224808">
          <w:rPr>
            <w:rStyle w:val="aa"/>
            <w:rFonts w:ascii="宋体" w:hAnsi="宋体" w:hint="eastAsia"/>
            <w:noProof/>
            <w:sz w:val="24"/>
          </w:rPr>
          <w:t>二、释义</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_Toc241672095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5</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096" w:history="1">
        <w:r w:rsidRPr="00224808">
          <w:rPr>
            <w:rStyle w:val="aa"/>
            <w:rFonts w:ascii="宋体" w:hAnsi="宋体" w:hint="eastAsia"/>
            <w:noProof/>
            <w:sz w:val="24"/>
          </w:rPr>
          <w:t>三、基金管理人</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_Toc241672096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10</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097" w:history="1">
        <w:r w:rsidRPr="00224808">
          <w:rPr>
            <w:rStyle w:val="aa"/>
            <w:rFonts w:ascii="宋体" w:hAnsi="宋体" w:hint="eastAsia"/>
            <w:noProof/>
            <w:sz w:val="24"/>
          </w:rPr>
          <w:t>四、基金托管人</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_Toc241672097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18</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098" w:history="1">
        <w:r w:rsidRPr="00224808">
          <w:rPr>
            <w:rStyle w:val="aa"/>
            <w:rFonts w:ascii="宋体" w:hAnsi="宋体" w:hint="eastAsia"/>
            <w:noProof/>
            <w:sz w:val="24"/>
          </w:rPr>
          <w:t>五、相关服务机构</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_Toc241672098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22</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099" w:history="1">
        <w:r w:rsidRPr="00224808">
          <w:rPr>
            <w:rStyle w:val="aa"/>
            <w:rFonts w:ascii="宋体" w:hAnsi="宋体" w:hint="eastAsia"/>
            <w:noProof/>
            <w:sz w:val="24"/>
          </w:rPr>
          <w:t>六、基金的募集</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_Toc241672099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47</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0" w:history="1">
        <w:r w:rsidRPr="00224808">
          <w:rPr>
            <w:rStyle w:val="aa"/>
            <w:rFonts w:ascii="宋体" w:hAnsi="宋体" w:hint="eastAsia"/>
            <w:noProof/>
            <w:sz w:val="24"/>
          </w:rPr>
          <w:t>七、基金合同的生效</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_Toc241672100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48</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1" w:history="1">
        <w:r w:rsidRPr="00224808">
          <w:rPr>
            <w:rStyle w:val="aa"/>
            <w:rFonts w:ascii="宋体" w:hAnsi="宋体" w:hint="eastAsia"/>
            <w:noProof/>
            <w:sz w:val="24"/>
          </w:rPr>
          <w:t>八、基金份额的申购与赎回</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_Toc241672101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49</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2" w:history="1">
        <w:r w:rsidRPr="00224808">
          <w:rPr>
            <w:rStyle w:val="aa"/>
            <w:rFonts w:ascii="宋体" w:hAnsi="宋体" w:hint="eastAsia"/>
            <w:noProof/>
            <w:sz w:val="24"/>
          </w:rPr>
          <w:t>九、基金的转换</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_Toc241672102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63</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3" w:history="1">
        <w:r w:rsidRPr="00224808">
          <w:rPr>
            <w:rStyle w:val="aa"/>
            <w:rFonts w:ascii="宋体" w:hAnsi="宋体" w:hint="eastAsia"/>
            <w:noProof/>
            <w:sz w:val="24"/>
          </w:rPr>
          <w:t>十、基金的投资</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_Toc241672103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68</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4" w:history="1">
        <w:r w:rsidRPr="00224808">
          <w:rPr>
            <w:rStyle w:val="aa"/>
            <w:rFonts w:ascii="宋体" w:hAnsi="宋体" w:hint="eastAsia"/>
            <w:noProof/>
            <w:sz w:val="24"/>
          </w:rPr>
          <w:t>十一、基金的业绩</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_Toc241672104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78</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5" w:history="1">
        <w:r w:rsidRPr="00224808">
          <w:rPr>
            <w:rStyle w:val="aa"/>
            <w:rFonts w:ascii="宋体" w:hAnsi="宋体" w:hint="eastAsia"/>
            <w:noProof/>
            <w:sz w:val="24"/>
          </w:rPr>
          <w:t>十二、基金的财产</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_Toc241672105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82</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6" w:history="1">
        <w:r w:rsidRPr="00224808">
          <w:rPr>
            <w:rStyle w:val="aa"/>
            <w:rFonts w:ascii="宋体" w:hAnsi="宋体" w:hint="eastAsia"/>
            <w:noProof/>
            <w:sz w:val="24"/>
          </w:rPr>
          <w:t>十三、基金资产的估值</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_Toc241672106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83</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7" w:history="1">
        <w:r w:rsidRPr="00224808">
          <w:rPr>
            <w:rStyle w:val="aa"/>
            <w:rFonts w:ascii="宋体" w:hAnsi="宋体" w:hint="eastAsia"/>
            <w:noProof/>
            <w:sz w:val="24"/>
          </w:rPr>
          <w:t>十四、基金收益与分配</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_Toc241672107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88</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8" w:history="1">
        <w:r w:rsidRPr="00224808">
          <w:rPr>
            <w:rStyle w:val="aa"/>
            <w:rFonts w:ascii="宋体" w:hAnsi="宋体" w:hint="eastAsia"/>
            <w:noProof/>
            <w:sz w:val="24"/>
          </w:rPr>
          <w:t>十五、基金的费用与税收</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_Toc241672108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90</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09" w:history="1">
        <w:r w:rsidRPr="00224808">
          <w:rPr>
            <w:rStyle w:val="aa"/>
            <w:rFonts w:ascii="宋体" w:hAnsi="宋体" w:hint="eastAsia"/>
            <w:noProof/>
            <w:sz w:val="24"/>
          </w:rPr>
          <w:t>十六、基金的会计与审计</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_Toc241672109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93</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0" w:history="1">
        <w:r w:rsidRPr="00224808">
          <w:rPr>
            <w:rStyle w:val="aa"/>
            <w:rFonts w:ascii="宋体" w:hAnsi="宋体" w:hint="eastAsia"/>
            <w:noProof/>
            <w:sz w:val="24"/>
          </w:rPr>
          <w:t>十七、基金的信息披露</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_Toc241672110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94</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1" w:history="1">
        <w:r w:rsidRPr="00224808">
          <w:rPr>
            <w:rStyle w:val="aa"/>
            <w:rFonts w:ascii="宋体" w:hAnsi="宋体" w:hint="eastAsia"/>
            <w:noProof/>
            <w:sz w:val="24"/>
          </w:rPr>
          <w:t>十八、侧袋机制</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_Toc241672111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100</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2" w:history="1">
        <w:r w:rsidRPr="00224808">
          <w:rPr>
            <w:rStyle w:val="aa"/>
            <w:rFonts w:ascii="宋体" w:hAnsi="宋体" w:hint="eastAsia"/>
            <w:noProof/>
            <w:sz w:val="24"/>
          </w:rPr>
          <w:t>十九、风险揭示</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_Toc241672112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103</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3" w:history="1">
        <w:r w:rsidRPr="00224808">
          <w:rPr>
            <w:rStyle w:val="aa"/>
            <w:rFonts w:ascii="宋体" w:hAnsi="宋体" w:hint="eastAsia"/>
            <w:noProof/>
            <w:sz w:val="24"/>
          </w:rPr>
          <w:t>二十、基金合同的变更、终止与基金财产的清算</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_Toc241672113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110</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4" w:history="1">
        <w:r w:rsidRPr="00224808">
          <w:rPr>
            <w:rStyle w:val="aa"/>
            <w:rFonts w:ascii="宋体" w:hAnsi="宋体" w:hint="eastAsia"/>
            <w:noProof/>
            <w:sz w:val="24"/>
          </w:rPr>
          <w:t>二十一、基金合同内容摘要</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_Toc241672114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112</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5" w:history="1">
        <w:r w:rsidRPr="00224808">
          <w:rPr>
            <w:rStyle w:val="aa"/>
            <w:rFonts w:ascii="宋体" w:hAnsi="宋体" w:hint="eastAsia"/>
            <w:noProof/>
            <w:sz w:val="24"/>
          </w:rPr>
          <w:t>二十二、托管协议的内容摘要</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_Toc241672115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129</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6" w:history="1">
        <w:r w:rsidRPr="00224808">
          <w:rPr>
            <w:rStyle w:val="aa"/>
            <w:rFonts w:ascii="宋体" w:hAnsi="宋体" w:hint="eastAsia"/>
            <w:noProof/>
            <w:sz w:val="24"/>
          </w:rPr>
          <w:t>二十三、对基金份额持有人的服务</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_Toc241672116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147</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7" w:history="1">
        <w:r w:rsidRPr="00224808">
          <w:rPr>
            <w:rStyle w:val="aa"/>
            <w:rFonts w:ascii="宋体" w:hAnsi="宋体" w:hint="eastAsia"/>
            <w:noProof/>
            <w:sz w:val="24"/>
          </w:rPr>
          <w:t>二十四、其他应披露事项</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_Toc241672117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149</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8" w:history="1">
        <w:r w:rsidRPr="00224808">
          <w:rPr>
            <w:rStyle w:val="aa"/>
            <w:rFonts w:ascii="宋体" w:hAnsi="宋体" w:hint="eastAsia"/>
            <w:noProof/>
            <w:sz w:val="24"/>
          </w:rPr>
          <w:t>二十五、招募说明书的存放及查阅方式</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_Toc241672118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153</w:t>
        </w:r>
        <w:r w:rsidRPr="00224808">
          <w:rPr>
            <w:rFonts w:ascii="宋体" w:hAnsi="宋体"/>
            <w:noProof/>
            <w:sz w:val="24"/>
          </w:rPr>
          <w:fldChar w:fldCharType="end"/>
        </w:r>
      </w:hyperlink>
    </w:p>
    <w:p w:rsidR="00224808" w:rsidRPr="00224808" w:rsidRDefault="00224808" w:rsidP="00224808">
      <w:pPr>
        <w:pStyle w:val="10"/>
        <w:tabs>
          <w:tab w:val="right" w:leader="dot" w:pos="8550"/>
        </w:tabs>
        <w:spacing w:line="360" w:lineRule="auto"/>
        <w:rPr>
          <w:rFonts w:ascii="宋体" w:hAnsi="宋体" w:cstheme="minorBidi"/>
          <w:noProof/>
          <w:sz w:val="24"/>
        </w:rPr>
      </w:pPr>
      <w:hyperlink w:anchor="_Toc241672119" w:history="1">
        <w:r w:rsidRPr="00224808">
          <w:rPr>
            <w:rStyle w:val="aa"/>
            <w:rFonts w:ascii="宋体" w:hAnsi="宋体" w:hint="eastAsia"/>
            <w:noProof/>
            <w:sz w:val="24"/>
          </w:rPr>
          <w:t>二十六、备查文件</w:t>
        </w:r>
        <w:r w:rsidRPr="00224808">
          <w:rPr>
            <w:rFonts w:ascii="宋体" w:hAnsi="宋体"/>
            <w:noProof/>
            <w:sz w:val="24"/>
          </w:rPr>
          <w:tab/>
        </w:r>
        <w:r w:rsidRPr="00224808">
          <w:rPr>
            <w:rFonts w:ascii="宋体" w:hAnsi="宋体"/>
            <w:noProof/>
            <w:sz w:val="24"/>
          </w:rPr>
          <w:fldChar w:fldCharType="begin"/>
        </w:r>
        <w:r w:rsidRPr="00224808">
          <w:rPr>
            <w:rFonts w:ascii="宋体" w:hAnsi="宋体"/>
            <w:noProof/>
            <w:sz w:val="24"/>
          </w:rPr>
          <w:instrText xml:space="preserve"> PAGEREF _Toc241672119 \h </w:instrText>
        </w:r>
        <w:r w:rsidRPr="00224808">
          <w:rPr>
            <w:rFonts w:ascii="宋体" w:hAnsi="宋体"/>
            <w:noProof/>
            <w:sz w:val="24"/>
          </w:rPr>
        </w:r>
        <w:r w:rsidRPr="00224808">
          <w:rPr>
            <w:rFonts w:ascii="宋体" w:hAnsi="宋体"/>
            <w:noProof/>
            <w:sz w:val="24"/>
          </w:rPr>
          <w:fldChar w:fldCharType="separate"/>
        </w:r>
        <w:r w:rsidRPr="00224808">
          <w:rPr>
            <w:rFonts w:ascii="宋体" w:hAnsi="宋体"/>
            <w:noProof/>
            <w:sz w:val="24"/>
          </w:rPr>
          <w:t>154</w:t>
        </w:r>
        <w:r w:rsidRPr="00224808">
          <w:rPr>
            <w:rFonts w:ascii="宋体" w:hAnsi="宋体"/>
            <w:noProof/>
            <w:sz w:val="24"/>
          </w:rPr>
          <w:fldChar w:fldCharType="end"/>
        </w:r>
      </w:hyperlink>
    </w:p>
    <w:p w:rsidR="00EF491C" w:rsidRPr="00224808" w:rsidRDefault="00224808" w:rsidP="00224808">
      <w:pPr>
        <w:pStyle w:val="ad"/>
        <w:snapToGrid w:val="0"/>
        <w:spacing w:after="240" w:line="360" w:lineRule="auto"/>
        <w:jc w:val="center"/>
        <w:rPr>
          <w:rFonts w:ascii="宋体" w:hAnsi="宋体"/>
          <w:color w:val="000000"/>
          <w:sz w:val="24"/>
        </w:rPr>
      </w:pPr>
      <w:r w:rsidRPr="00224808">
        <w:rPr>
          <w:rFonts w:ascii="宋体" w:hAnsi="宋体"/>
          <w:color w:val="000000"/>
          <w:position w:val="-4"/>
          <w:sz w:val="24"/>
          <w:szCs w:val="30"/>
        </w:rPr>
        <w:fldChar w:fldCharType="end"/>
      </w:r>
      <w:bookmarkStart w:id="3" w:name="_GoBack"/>
      <w:bookmarkEnd w:id="3"/>
    </w:p>
    <w:p w:rsidR="00EF491C" w:rsidRDefault="00EF491C">
      <w:pPr>
        <w:autoSpaceDE w:val="0"/>
        <w:autoSpaceDN w:val="0"/>
        <w:adjustRightInd w:val="0"/>
        <w:snapToGrid w:val="0"/>
        <w:spacing w:line="360" w:lineRule="auto"/>
        <w:ind w:left="120" w:rightChars="6" w:right="13"/>
        <w:rPr>
          <w:rFonts w:ascii="宋体" w:hAnsi="宋体"/>
          <w:kern w:val="0"/>
          <w:szCs w:val="24"/>
        </w:rPr>
        <w:sectPr w:rsidR="00EF491C">
          <w:pgSz w:w="11920" w:h="16840"/>
          <w:pgMar w:top="1480" w:right="1680" w:bottom="280" w:left="1680" w:header="0" w:footer="1073" w:gutter="0"/>
          <w:cols w:space="720"/>
        </w:sectPr>
      </w:pPr>
    </w:p>
    <w:p w:rsidR="00EF491C" w:rsidRDefault="004C51DD">
      <w:pPr>
        <w:pStyle w:val="1"/>
        <w:snapToGrid w:val="0"/>
        <w:spacing w:beforeLines="0" w:before="240" w:after="240"/>
        <w:rPr>
          <w:rFonts w:ascii="宋体" w:hAnsi="宋体"/>
          <w:szCs w:val="30"/>
        </w:rPr>
      </w:pPr>
      <w:bookmarkStart w:id="4" w:name="_Toc241672094"/>
      <w:r>
        <w:rPr>
          <w:rFonts w:ascii="Times New Roman" w:hAnsi="Times New Roman"/>
          <w:sz w:val="30"/>
        </w:rPr>
        <w:lastRenderedPageBreak/>
        <w:t>一、绪言</w:t>
      </w:r>
      <w:bookmarkEnd w:id="4"/>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利中短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稳利中短债债券型证券投资基金基金合同》（以下简称“基金合同”）编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5" w:name="_Toc241672095"/>
      <w:r>
        <w:rPr>
          <w:rFonts w:ascii="Times New Roman" w:hAnsi="Times New Roman"/>
          <w:sz w:val="30"/>
        </w:rPr>
        <w:lastRenderedPageBreak/>
        <w:t>二、释义</w:t>
      </w:r>
      <w:bookmarkEnd w:id="5"/>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1、基金或本基金：指交银施罗德稳利中短债债券型证券投资基金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3、基金托管人：指中信银行股份有限公司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4、基金合同：指《交银施罗德稳利中短债债券型证券投资基金基金合同》及对基金合同的任何有效修订和补充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5、托管协议：指基金管理人与基金托管人就本基金签订之《交银施罗德稳利中短债债券型证券投资基金托管协议》及对该托管协议的任何有效修订和补充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6、招募说明书或本招募说明书：指《交银施罗德稳利中短债债券型证券投资基金招募说明书》及其更新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7、基金产品资料概要：指《交银施罗德稳利中短债债券型证券投资基金基金产品资料概要》及其更新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8、基金份额发售公告：指《交银施罗德稳利中短债债券型证券投资基金基金份额发售公告》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49、基金资产总值：指基金拥有的各类有价证券、银行存款本息、基金应收申购款及其他资产的价值总和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53、指定媒介：指中国证监会指定的用以进行信息披露的全国性报刊及指定互联网网站（包括基金管理人网站、基金托管人网站、中国证监会基金电子披露网站）等媒介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54、销售服务费：指从基金财产中计提的，用于本基金市场推广、销售以及基金份额持有人服务的费用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55、A类基金份额：指在投资人认购/申购时收取认购/申购费用、赎回时收取赎回费用且不从本类别基金资产中计提销售服务费的基金份额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56、C类基金份额：指在投资人认购/申购时不收取认购/申购费用、赎回时收取赎回费用，并从本类别基金资产中计提销售服务费的基金份额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57、E类基金份额：指在投资人申购时不收取申购费用、赎回时收取赎回费用，并从本类别基金资产中计提销售服务费的基金份额；E类基金份额与C类基金份额设置不同的销售服务费、赎回费收取标准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w:t>
      </w:r>
      <w:r>
        <w:rPr>
          <w:rFonts w:ascii="宋体" w:hAnsi="宋体"/>
          <w:sz w:val="24"/>
        </w:rPr>
        <w:lastRenderedPageBreak/>
        <w:t>及非公开发行股票、资产支持证券、因发行人债务违约无法进行转让或交易的债券等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6" w:name="_Toc241672096"/>
      <w:r>
        <w:rPr>
          <w:rFonts w:ascii="Times New Roman" w:hAnsi="Times New Roman"/>
          <w:sz w:val="30"/>
        </w:rPr>
        <w:lastRenderedPageBreak/>
        <w:t>三、基金管理人</w:t>
      </w:r>
      <w:bookmarkEnd w:id="6"/>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基金经理。香港大学工商管理硕士、北京大学经济学、管理学双学士。18年证券投资行业从业经验。2008年至2012年任中海基金管理有限公司交易员。2012年加入交银施罗德基金管理有限公司，曾任中央交易室交易员，现任固定收益部基金经理。曾任交银施罗德理财21天债券型证券投资基金(2015年05月27日至2020年07月27日)、交银施罗德货币市场证券投资基金(2015年05月27日至2019年08月02日)、交银施罗德现金宝货币市场基金(2015年05月27日至2019年08月02日)、交银施罗德丰泽收益债券型证券投资基金(2015年07月25日至2018年03月18日)、交银施罗德裕通纯债债券型证券投资基金(2015年12月29日至2019年10月23日)、交银施罗德天鑫宝货币市场基金(2016年12月07日至2019年08月02日)、交银施罗德境尚收益债券型证券投资基金(2017年03月03日至2024年04月12日)、交银施罗德稳鑫短债债券型证券投资基金(2019年01月24日至2024年11月09日)、交银施罗德中高等级信用债债券型证券投资基金(2020年07月28日至2022年07月05日)、交银施罗德稳安30天滚动持有债券型证券投资基金(2022年11月24日至2026年03月11日)、交银施罗德丰盈收益债券型证券投资基金(2024年12月04日至2025年12月27日)的基金经理。现任交银施罗德丰享收益债券型证券投资基金(2015年07月25日至今)、交银施罗德活期通货币市场基金(2016年07月27日至今)、交银施罗德天利宝货币市场基金(2016年10月19日至今)、交银施罗德裕隆纯债债券型证券投资基金(2016年11月28日至今)、交银施罗德天益宝货币市场基金(2016年12月20日至今)、交银施罗德稳利中短债债券型证券投资基金(2019年12月13日至今)、交银施罗德稳益短债债券型证券投资基金(2022年09月21日至今)、交银施罗德稳安60天滚动持有债券型证券投资基金(2023年11月16日至今)、交银施罗德双轮动债券型证券投资基金(2025年12月27日至今)、交银施罗德120天滚动持有债券型证券投资基金(2026年03月11日至今)的基金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侯嘉仪女士:基金经理。南开大学金融学学士。历任申银万国证券股份有限公司财富管理中心投资顾问助理。2013年加入交银施罗德基金管理有限公司，历任中</w:t>
      </w:r>
      <w:r>
        <w:rPr>
          <w:rFonts w:ascii="宋体" w:hAnsi="宋体"/>
          <w:sz w:val="24"/>
        </w:rPr>
        <w:lastRenderedPageBreak/>
        <w:t>央交易室交易员、固定收益部基金经理助理，现任固定收益部基金经理。现任交银施罗德裕隆纯债债券型证券投资基金(2026年09月30日至今)、交银施罗德稳利中短债债券型证券投资基金(2026年09月30日至今)的基金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w:t>
      </w:r>
      <w:r>
        <w:rPr>
          <w:rFonts w:ascii="宋体" w:hAnsi="宋体"/>
          <w:sz w:val="24"/>
        </w:rPr>
        <w:lastRenderedPageBreak/>
        <w:t>发生；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（3）独立性原则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风险管理部负责制定公司风险管理政策和防范及控制措施，汇总公司业务所有的风险信息，独立识别、评估各类风险，提出风险控制建议，使公司在一种风险管理和控制的环境中实现业务目标。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（5）建立有效的内部监控系统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7" w:name="_Toc241672097"/>
      <w:r>
        <w:rPr>
          <w:rFonts w:ascii="Times New Roman" w:hAnsi="Times New Roman"/>
          <w:sz w:val="30"/>
        </w:rPr>
        <w:lastRenderedPageBreak/>
        <w:t>四、基金托管人</w:t>
      </w:r>
      <w:bookmarkEnd w:id="7"/>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 1987年，是中国改革开放中最早成立的新兴商业银行之一，是中国最早参与国内外金融市场融资的商业银行，并以屡创中国现代金融史上多个第一而蜚声海内外，为中国经济建设作出了积极贡献。2007年4月，本行实现在上海证</w:t>
      </w:r>
      <w:r>
        <w:rPr>
          <w:rFonts w:ascii="宋体" w:hAnsi="宋体"/>
          <w:sz w:val="24"/>
        </w:rPr>
        <w:lastRenderedPageBreak/>
        <w:t>券交易所和香港联合交易所A+H股同步上市。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 家营业网点和1家私人银行中心。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w:t>
      </w:r>
      <w:r>
        <w:rPr>
          <w:rFonts w:ascii="宋体" w:hAnsi="宋体"/>
          <w:sz w:val="24"/>
        </w:rPr>
        <w:lastRenderedPageBreak/>
        <w:t>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截至2025年第三季度末，中信银行托管429只公开募集证券投资基金，以及基金公司、证券公司资产管理产品、信托产品、企业年金、股权基金、QDII等其他托管资产，托管总规模达到17.88万亿元人民币。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8" w:name="_Toc241672098"/>
      <w:r>
        <w:rPr>
          <w:rFonts w:ascii="Times New Roman" w:hAnsi="Times New Roman"/>
          <w:sz w:val="30"/>
        </w:rPr>
        <w:lastRenderedPageBreak/>
        <w:t>五、相关服务机构</w:t>
      </w:r>
      <w:bookmarkEnd w:id="8"/>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（2）名称：中信银行股份有限公司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住所：北京市东城区朝阳门北大街9号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（4）名称：宁波银行股份有限公司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（5）名称：中国农业银行股份有限公司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传真：010-68121816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（6）名称：上海浦东发展银行股份有限公司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（7）名称：兴业银行股份有限公司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（8）名称：华夏银行股份有限公司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（9）名称：中国光大银行股份有限公司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法定代表人：李晓鹏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（10）名称：中国邮政储蓄银行股份有限公司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（11）名称：平安银行股份有限公司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（12）名称：江苏银行股份有限公司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客户服务电话：95319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（13）名称：国联民生证券股份有限公司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（14）名称：中国银河证券股份有限公司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（15）名称：华泰证券股份有限公司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（16）名称：广发证券股份有限公司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法定代表人：林传辉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（17）名称：平安证券股份有限公司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（18）名称：华宝证券股份有限公司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（19）名称：国信证券股份有限公司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联系人：于智勇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（20）名称：兴业证券股份有限公司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（21）名称：长城证券有限责任公司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（22）名称：国金证券股份有限公司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（23）名称：中信建投证券股份有限公司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办公地址：北京市朝阳门内大街188号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（24）名称：南京证券股份有限公司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（25）名称：东方财富证券股份有限公司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（26）名称：山西证券股份有限公司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客户服务电话：400-666-1618、95573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（27）名称：华龙证券股份有限公司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（28）名称：海通证券股份有限公司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（29）名称：中泰证券股份有限公司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（30）名称：东方证券股份有限公司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住所：上海市中山南路318号2号楼22层-29层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（31）名称：西部证券股份有限公司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（32）名称：国新证券股份有限公司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（33）名称：华福证券有限责任公司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客户服务电话：（0591）95547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（34）名称：中信证券（山东）有限责任公司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（36）名称：中信证券华南股份有限公司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（37）名称：国泰海通证券股份有限公司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法定代表人：朱健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（38）名称：开源证券股份有限公司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（39）名称：国投证券股份有限公司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（40）名称：东莞证券股份有限公司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（41）名称：申万宏源证券有限公司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（42）名称：申万宏源西部证券有限公司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（43）名称：华西证券股份有限公司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（44）名称：中国中金财富证券有限公司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法定代表人：高涛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（45）名称：上海基煜基金销售有限公司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（46）名称：大连网金基金销售有限公司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（47）名称：京东肯特瑞基金销售有限公司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传真：010-89189566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（48）名称：上海大智慧基金销售有限公司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（49）名称：珠海盈米基金销售有限公司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（50）名称：北京度小满基金销售有限公司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公司网址：www.baiyingfund.com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（51）名称：北京汇成基金销售有限公司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（52）名称：中证金牛（北京）基金销售有限公司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（53）名称：奕丰基金销售有限公司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（54）名称：上海天天基金销售有限公司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住所：上海市徐汇区龙田路190号2号楼2层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（55）名称：上海好买基金销售有限公司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（56）名称：蚂蚁（杭州）基金销售有限公司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（57）名称：和耕传承基金销售有限公司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（58）名称：南京苏宁基金销售有限公司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（59）名称：上海利得基金销售有限公司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（60）名称：上海证达通基金销售有限公司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客户服务电话：021-20538880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（61）名称：上海联泰基金销售有限公司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（62）名称：上海挖财基金销售有限公司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（63）名称：北京创金启富基金销售有限公司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（64）名称：阳光人寿保险股份有限公司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（65）名称：北京雪球基金销售有限公司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（66）名称：上海长量基金销售有限公司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（67）名称：腾安基金销售（深圳）有限公司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办公地址：深圳市南山区海天二路33号腾讯滨海大厦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（68）名称：中国人寿保险股份有限公司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（69）名称：上海万得基金销售有限公司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（70）名称：嘉实财富管理有限公司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（71）名称：济安财富（北京）基金销售有限公司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（72）名称：博时财富基金销售有限公司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（73）名称：诺亚正行基金销售有限公司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（74）名称：泛华普益基金销售有限公司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法定代表人：于海锋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（75）名称：深圳众禄基金销售股份有限公司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（76）名称：玄元保险代理有限公司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（77）名称：中信期货有限公司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传真：021-60819988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（78）名称：上海华夏财富投资管理有限公司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（79）名称：浙江同花顺基金销售有限公司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（80）名称：上海攀赢基金销售有限公司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电话：（021）61055461</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9" w:name="_Toc241672099"/>
      <w:r>
        <w:rPr>
          <w:rFonts w:ascii="Times New Roman" w:hAnsi="Times New Roman"/>
          <w:sz w:val="30"/>
        </w:rPr>
        <w:lastRenderedPageBreak/>
        <w:t>六、基金的募集</w:t>
      </w:r>
      <w:bookmarkEnd w:id="9"/>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本基金由基金管理人依照《基金法》、《运作办法》、《销售办法》、基金合同及其他有关规定，并经中国证监会2019年10月24日证监许可【2019】1984号文准予募集注册。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本基金于2019年12月2日进行发售，本基金设立募集期共募集991,472,171.16份基金份额，有效认购户数为3904户。</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0" w:name="_Toc241672100"/>
      <w:r>
        <w:rPr>
          <w:rFonts w:ascii="Times New Roman" w:hAnsi="Times New Roman"/>
          <w:sz w:val="30"/>
        </w:rPr>
        <w:lastRenderedPageBreak/>
        <w:t>七、基金合同的生效</w:t>
      </w:r>
      <w:bookmarkEnd w:id="10"/>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根据有关规定，本基金满足基金合同生效条件，基金合同已于2019年12月13日正式生效。自基金合同生效之日起，本基金管理人正式开始管理本基金。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1" w:name="_Toc241672101"/>
      <w:r>
        <w:rPr>
          <w:rFonts w:ascii="Times New Roman" w:hAnsi="Times New Roman"/>
          <w:sz w:val="30"/>
        </w:rPr>
        <w:lastRenderedPageBreak/>
        <w:t>八、基金份额的申购与赎回</w:t>
      </w:r>
      <w:bookmarkEnd w:id="11"/>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网上直销交易平台网址：www.fund001.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本基金A类基金份额和C类基金份额已于2020年6月15日起开放申购业务。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本基金A类基金份额和C类基金份额已于2020年1月20日起开放赎回业务。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本基金E类基金份额已于2024年6月4日起开放申购、赎回业务。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w:t>
      </w:r>
      <w:r>
        <w:rPr>
          <w:rFonts w:ascii="宋体" w:hAnsi="宋体"/>
          <w:sz w:val="24"/>
        </w:rPr>
        <w:lastRenderedPageBreak/>
        <w:t>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w:t>
      </w:r>
      <w:r>
        <w:rPr>
          <w:rFonts w:ascii="宋体" w:hAnsi="宋体"/>
          <w:sz w:val="24"/>
        </w:rPr>
        <w:lastRenderedPageBreak/>
        <w:t>效。投资者赎回申请生效后，基金管理人将在T＋7日（包括该日）内支付赎回款项。在发生巨额赎回或基金合同载明的其他暂停赎回或延缓支付赎回款项的情形时，款项的支付办法参照基金合同有关条款处理。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C类基金份额和E类基金份额。投资人申购A类基金份额在申购时支付申购费用、赎回时收取赎回费用；申购C类基金份额或E类基金份额不支付申购费用、赎回时收取赎回费用，并从该类别基金资产中计提销售服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w:t>
      </w:r>
      <w:r>
        <w:rPr>
          <w:rFonts w:ascii="宋体" w:hAnsi="宋体"/>
          <w:sz w:val="24"/>
        </w:rPr>
        <w:lastRenderedPageBreak/>
        <w:t>于本基金的市场推广、销售、登记结算等各项费用。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w:t>
      </w:r>
      <w:r>
        <w:rPr>
          <w:rFonts w:ascii="宋体" w:hAnsi="宋体"/>
          <w:sz w:val="24"/>
        </w:rPr>
        <w:lastRenderedPageBreak/>
        <w:t>卡交易金额限额请参阅本基金管理人网站。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C类基金份额或E类基金份额收取赎回费用，该费用随基金份额的持有时间递减。本基金A类基金份额、C类基金份额和E类基金份额的赎回费用由该类基金份额的基金份额持有人承担，对各类基金份额持有人收取的赎回费均全额计入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EF491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w:t>
            </w: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EF491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F491C" w:rsidRDefault="00EF491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F491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F491C" w:rsidRDefault="00EF491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本基金E类基金份额的赎回费率如下：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EF491C">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EF491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F491C" w:rsidRDefault="00EF491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F491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F491C" w:rsidRDefault="00EF491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EF491C">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F491C" w:rsidRDefault="00EF491C">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且对现有基金份额持有人利益无实质性不利影响的情况下，根据市场情况制定基金促销计划，针对投资人定期和不定期地开展基金促销活动。在基金促销活动期间，基金管理人可以按中国证监会要求履行必要手续后，对投资人适当调低基金销售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C类基金份额或E类基金份额的有效份额为净申购金额除以当日该类基金份额的基金份额净值，有效份额单位为份，申购份额计算结果按四舍五入方法，保留到小数点后2位，由此产生的收益或损失由基金财产承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（2）A类基金份额、C类基金份额或E类基金份额的赎回金额为按实际确认的有</w:t>
      </w:r>
      <w:r>
        <w:rPr>
          <w:rFonts w:ascii="宋体" w:hAnsi="宋体"/>
          <w:sz w:val="24"/>
        </w:rPr>
        <w:lastRenderedPageBreak/>
        <w:t>效赎回份额乘以当日该类基金份额的基金份额净值并扣除相应的费用（如有），赎回金额单位为元。赎回金额计算结果按四舍五入方法，保留到小数点后2位，由此产生的收益或损失由基金财产承担。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例一：某投资者（非养老金客户）投资100,000元申购本基金的A类基金份额，假设申购当日A类基金份额净值为1.0400元，申购费率为0.3%，则其可得到的申购份额为：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净申购金额=100,000/（1+0.3%）=99,700.90元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申购费用=100,000-99,700.90=299.10元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申购份额=（100,000-299.10）/1.0400=95,866.25份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即：某投资者（非养老金客户）投资100,000元申购本基金，假设申购当日A类基金份额净值为1.0400元，如果其选择申购A类基金份额，则其可得到95,866.25份A类基金份额。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例二：某养老金客户投资100,000元通过基金管理人的直销柜台申购本基金的A类基金份额，假设申购当日A类基金份额净值为1.0400元，申购费率为0.12%，则其可得到的申购份额为：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净申购金额=100,000/（1+0.12%）=99,880.14元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申购费用=100,000-99,880.14=119.86元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申购份额=（100,000-119.86）/1.0400=96,038.60份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w:t>
      </w:r>
      <w:r>
        <w:rPr>
          <w:rFonts w:ascii="宋体" w:hAnsi="宋体"/>
          <w:sz w:val="24"/>
        </w:rPr>
        <w:lastRenderedPageBreak/>
        <w:t>基金份额，假设申购当日A类基金份额净值为1.0400元，则其可得到96,038.60份A类基金份额。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（3）E类基金份额的申购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如果投资者选择申购E类基金份额，则申购份额的计算方法如下：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申购份额=申购总金额/T日E类基金份额净值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例四：某投资者投资100,000元申购本基金的E类基金份额，假设申购当日E类基金份额净值为1.0400元，则其可得到的申购份额为：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即：投资者投资100,000元申购本基金的E类基金份额，假设申购当日E类基金份额净值为1.0400元，则其可得到96,153.85份E类基金份额。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C类基金份额或E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例五：某投资者赎回100,000份A类基金份额，持有5日，对应的赎回费率为</w:t>
      </w:r>
      <w:r>
        <w:rPr>
          <w:rFonts w:ascii="宋体" w:hAnsi="宋体"/>
          <w:sz w:val="24"/>
        </w:rPr>
        <w:lastRenderedPageBreak/>
        <w:t>1.5%，假设赎回当日A类基金份额净值是1.0160元，则其可得到的赎回金额为：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赎回费用=100,000×1.0160×1.5%＝1,524.00元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赎回金额=100,000×1.0160-1,524.00＝100,076.00元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即：投资者赎回100,000份A类基金份额，持有5日，对应的赎回费率为1.5%，假设赎回当日A类基金份额净值是1.0160元，则其可得到的赎回金额为100,076.00元。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例六：某投资者赎回100,000份C类基金份额，持有50日，对应的赎回费率为0，假设赎回当日C类基金份额净值是1.0160元，则其可得到的赎回金额为：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即：投资者赎回100,000份C类基金份额，持有50日，对应的赎回费率为0，假设赎回当日C类基金份额净值是1.0160元，则其可得到的赎回金额为101,600.00元。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（3）E类基金份额的赎回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投资者赎回E类基金份额，赎回金额的计算方法如下：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赎回费用=赎回份额×T日E类基金份额净值×赎回费率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赎回金额=赎回份额×T日E类基金份额净值—赎回费用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例七：某投资者在持有期限为5天时赎回100,000份E类基金份额，对应的赎回费率为1.5%，假设赎回当日E类基金份额净值是1.0160元，则其可得到的赎回金额为：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赎回费用=100,000×1.0160×1.5%＝1,524.00元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赎回金额=100,000×1.0160-1,524.00＝100,076.00元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即：投资者在持有期限为5天时赎回100,000份E类基金份额，对应的赎回费率为1.5%，假设赎回当日E类基金份额净值是1.0160元，则其可得到的赎回金额为100,076.00元。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A类基金份额净值＝A类基金份额的基金资产净值总额/发行在外的A类基金份额总数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E类基金份额净值＝E类基金份额的基金资产净值总额/发行在外的E类基金份额总数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C类基金份额和E类基金份额的份额净值的计算，保留到小数点后4位，小数点后第5位四舍五入，由此产生的收益或损失由基金财产承担。T日的各类基金份额净值在当天收市后计算，并在T+1日（包括该日）内公告。遇特殊情况，经履行适当程序，可以适当延迟计算或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1、巨额赎回的认定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w:t>
      </w:r>
      <w:r>
        <w:rPr>
          <w:rFonts w:ascii="宋体" w:hAnsi="宋体"/>
          <w:sz w:val="24"/>
        </w:rPr>
        <w:lastRenderedPageBreak/>
        <w:t>“（1）全额赎回”或“（2）部分延期赎回”的约定方式与其他基金份额持有人的赎回申请一并办理。但是，如基金份额持有人在当日选择取消赎回，则其当日未获受理的部分赎回申请将被撤销。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当发生上述巨额赎回并延期办理时，基金管理人应当通过邮寄、传真、刊登公告或者通知销售机构代为告知等方式在3个交易日内通知基金份额持有人，说明有关处理方法，并在两日内在指定媒介上刊登公告。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2、如发生暂停的时间为1日，基金管理人应于重新开放日，在指定媒介上刊登基金重新开放申购或赎回公告，并公布最近1个开放日的各类基金份额净值。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他非交易过户。无论在上述何种情况下，接受划转的主体必须是依法可以持有本基金基金份额的投资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基金份额持有人可办理已持有基金份额在不同销售机构之间的转托管，基金销售机构可以按照规定的标准收取转托管费。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6月12日刊登公告自2020年6月15日起开通A类基金份额和C类基金份额的定期定额投资计划业务，本基金2024年6月3日刊登公告自2024年6月4日起增设E类基金份额并开通E类基金份额的定期定额投资计划业务，具体开通销售机构名单和业务规则参见相关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2" w:name="_Toc241672102"/>
      <w:r>
        <w:rPr>
          <w:rFonts w:ascii="Times New Roman" w:hAnsi="Times New Roman"/>
          <w:sz w:val="30"/>
        </w:rPr>
        <w:lastRenderedPageBreak/>
        <w:t>九、基金的转换</w:t>
      </w:r>
      <w:bookmarkEnd w:id="12"/>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本基金2022年4月1日刊登公告自2022年4月7日起开放A类基金份额和C类基金份额的日常转换业务。本基金2024年6月3日刊登公告自2024年6月4日起增设E类基金份额并开通E类基金份额的日常转换业务。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（四）基金转换的数额限制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w:t>
      </w:r>
      <w:r>
        <w:rPr>
          <w:rFonts w:ascii="宋体" w:hAnsi="宋体"/>
          <w:sz w:val="24"/>
        </w:rPr>
        <w:lastRenderedPageBreak/>
        <w:t>优惠，优惠费率只适用于转出与转入基金申购补差费用，转出基金的赎回费用无优惠。可通过网上直销交易平台办理的转换业务范围及转换费率优惠的具体情况请参阅本基金管理人网站。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5、本基金管理人可以根据法律法规及基金合同的规定对上述转换费用收费方式和费率进行调整，并应于调整后的收费方式和费率实施前依照《信息披露办法》的有关规定在中国证监会规定媒介上公告。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转出基金申购费用=101,000×0.30%/（1+0.30%）=302.09元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w:t>
      </w:r>
      <w:r>
        <w:rPr>
          <w:rFonts w:ascii="宋体" w:hAnsi="宋体"/>
          <w:sz w:val="24"/>
        </w:rPr>
        <w:lastRenderedPageBreak/>
        <w:t>金的基金份额，但收益部分不收取转换费用。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3" w:name="_Toc241672103"/>
      <w:r>
        <w:rPr>
          <w:rFonts w:ascii="Times New Roman" w:hAnsi="Times New Roman"/>
          <w:sz w:val="30"/>
        </w:rPr>
        <w:lastRenderedPageBreak/>
        <w:t>十、基金的投资</w:t>
      </w:r>
      <w:bookmarkEnd w:id="13"/>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在严格控制风险和保持较高流动性的前提下，力求获得高于业绩比较基准的投资收益。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允许投资的其他金融工具。本基金不投资于股票等资产，也不投资于可转换债券（可分离交易可转债的纯债部分除外）、可交换债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中短期债券的比例不低于非现金资产的80%。本基金持有的现金或到期日在一年以内的政府债券的比例合计不低于基金资产净值的5%，其中现金不包括结算备付金、存出保证金、应收申购款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中短期债券是指剩余期限不超过三年（含）的债券资产，包括国债、金融债、央行票据、地方政府债、政府支持债、政府支持机构债、企业债、公司债、可分离交易可转债的纯债部分、公开发行的次级债、短期融资券、超短期融资券、中期票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w:t>
      </w:r>
      <w:r>
        <w:rPr>
          <w:rFonts w:ascii="宋体" w:hAnsi="宋体"/>
          <w:sz w:val="24"/>
        </w:rPr>
        <w:lastRenderedPageBreak/>
        <w:t>性、供求关系和收益率水平等，自下而上精选投资标的。本基金采用的主要策略包括：</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（1）久期调整策略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②信用债券筛选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（1）本基金投资于债券资产的比例不低于基金资产的80%，其中投资于中短期债券的比例不低于非现金资产的80%；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（2）本基金持有的现金或者到期日在一年以内的政府债券的投资比例合计不低于基金资产净值的5%，其中现金不包括结算备付金、存出保证金、应收申购款等；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w:t>
      </w:r>
      <w:r>
        <w:rPr>
          <w:rFonts w:ascii="宋体" w:hAnsi="宋体"/>
          <w:sz w:val="24"/>
        </w:rPr>
        <w:lastRenderedPageBreak/>
        <w:t>金资产净值的10％；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11）、（12）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w:t>
      </w:r>
      <w:r>
        <w:rPr>
          <w:rFonts w:ascii="宋体" w:hAnsi="宋体"/>
          <w:sz w:val="24"/>
        </w:rPr>
        <w:lastRenderedPageBreak/>
        <w:t>规或监管部门取消上述限制，如适用于本基金，基金管理人在履行适当程序后，则本基金投资不再受相关限制。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中债总财富（1-3年）指数收益率×80%+一年期定期存款利率（税后）×20%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总财富（1-3年）指数是由中央国债登记结算有限责任公司编制的中债总财富细分指数之一。该指数同时覆盖了上海证券交易所、深圳证券交易所、银行间以及银行柜台债券市场上的待偿期限在1-3年（含1年）的国债、央行票据、政策性金融债，能较好地反映中短期债券市场的整体收益情况。银行一年期定期存款税后利率为中国人民银行公开发布，具有较强的权威性和市场影响力。基于本基金的投资范围和投资比例限制，选取上述业绩比较基准作为衡量本基金比较基准较为合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w:t>
      </w:r>
      <w:r>
        <w:rPr>
          <w:rFonts w:ascii="宋体" w:hAnsi="宋体"/>
          <w:sz w:val="24"/>
        </w:rPr>
        <w:lastRenderedPageBreak/>
        <w:t>或者市场推出更具权威、且更能够表征本基金风险收益特征的指数，则本基金管理人可与本基金托管人协商一致后，调整或变更本基金的业绩比较基准并及时公告，而无需召开基金份额持有人大会。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（七）基金管理人代表基金行使股东或债权人权利的处理原则及方法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本基金托管人中信银行股份有限公司根据本基金合同规定，于2025年10月27日复核了本报告中的财务指标、净值表现和投资组合报告等内容，保证复核内容不存在虚假记载、误导性陈述或者重大遗漏。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本报告期为2025年07月01日起至09月30日止。本报告财务资料未经审计师审计。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15,988,652,589.84</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99.48</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15,937,639,072.93</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99.16</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51,013,516.91</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73,667,984.18</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10,302,633.41</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16,072,623,207.43</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9,519,672.13</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5,650,049,342.47</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40.19</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1,194,716,583.55</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8.50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2,954,449,457.70</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21.01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776,205,597.83</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5.52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6,385,787,261.83</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45.42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161,627,740.97</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1.15</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15,937,639,072.93</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113.36</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220313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进出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2,600,000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266,187,643.84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1.89</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220412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农发</w:t>
            </w: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2,400,000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245,653,150.68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1.75</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180411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r>
              <w:rPr>
                <w:rFonts w:ascii="Times New Roman" w:hAnsi="Times New Roman"/>
                <w:color w:val="000000"/>
                <w:kern w:val="0"/>
                <w:sz w:val="25"/>
                <w:szCs w:val="24"/>
              </w:rPr>
              <w:t>农发</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207,679,452.05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1.48</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232380026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厦门国际二级资本债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1,900,000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199,879,843.84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1.42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1,900,000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192,411,698.63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1.37</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数量（份）</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146688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华瑞</w:t>
            </w:r>
            <w:r>
              <w:rPr>
                <w:rFonts w:ascii="Times New Roman" w:hAnsi="Times New Roman"/>
                <w:color w:val="000000"/>
                <w:kern w:val="0"/>
                <w:sz w:val="25"/>
                <w:szCs w:val="24"/>
              </w:rPr>
              <w:t>2A</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50,119,301.37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263898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嘉诚</w:t>
            </w:r>
            <w:r>
              <w:rPr>
                <w:rFonts w:ascii="Times New Roman" w:hAnsi="Times New Roman"/>
                <w:color w:val="000000"/>
                <w:kern w:val="0"/>
                <w:sz w:val="25"/>
                <w:szCs w:val="24"/>
              </w:rPr>
              <w:t>10</w:t>
            </w:r>
            <w:r>
              <w:rPr>
                <w:rFonts w:ascii="Times New Roman" w:hAnsi="Times New Roman"/>
                <w:color w:val="000000"/>
                <w:kern w:val="0"/>
                <w:sz w:val="25"/>
                <w:szCs w:val="24"/>
              </w:rPr>
              <w:t>优</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894,215.54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w:t>
      </w:r>
      <w:r>
        <w:rPr>
          <w:rFonts w:ascii="宋体" w:hAnsi="宋体"/>
          <w:sz w:val="24"/>
        </w:rPr>
        <w:lastRenderedPageBreak/>
        <w:t>查，或在报告编制日前一年内受到公开谴责、处罚的情形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2024年12月27日,国家金融监督管理总局北京监管局公示京金罚决字[2024]43号行政处罚决定书,给予国家开发银行60万元人民币的行政处罚。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2025年07月25日,国家外汇管理局北京市分局公示京汇罚[2025]30号行政处罚决定书,给予国家开发银行罚没合计1394.42万元人民币的行政处罚。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　</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2025年06月27日,国家金融监督管理总局公示行政处罚,给予中国进出口银行1810万元人民币的行政处罚。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2025年09月12日,国家金融监督管理总局公示行政处罚,给予中国进出口银行130万元人民币的行政处罚。　</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2025年01月27日,央行公示银罚决字[2024]44号行政处罚决定书,给予中国民生银行股份有限公司1705.5万元人民币的行政处罚，并没收违法所得99.07万元。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2025年09月12日,国家金融监督管理总局公示行政处罚,给予中国民生银行股份有限公司590万元人民币的行政处罚。　</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2025年08月01日,国家金融监督管理总局公示行政处罚,给予中国农业发展银行1020万元人民币的行政处罚。　</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2025年04月03日,国家金融监督管理总局公示行政处罚,给予中国信达资产管理股份有限公司90万元人民币的行政处罚。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67,813.11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10,234,795.30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10,302,633.41</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4" w:name="_Toc241672104"/>
      <w:r>
        <w:rPr>
          <w:rFonts w:ascii="Times New Roman" w:hAnsi="Times New Roman"/>
          <w:sz w:val="30"/>
        </w:rPr>
        <w:lastRenderedPageBreak/>
        <w:t>十一、基金的业绩</w:t>
      </w:r>
      <w:bookmarkEnd w:id="14"/>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（1）交银稳利中短债债券A：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3.61%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3.43%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5.10%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2.61%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5.13%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3.27%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1.86%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（2）交银稳利中短债债券C：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3.19%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3.43%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2.61%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4.70%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3.27%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2.66%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2.37%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（3）交银稳利中短债债券E：</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EF491C">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年（自基金份额类别首次确认起至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1.93%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注：基金的业绩比较基准为中债总财富（1-3年）指数收益率×80%+一年期定期存款利率（税后）×20%，每日进行再平衡过程。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EF491C" w:rsidRDefault="004C51D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交银施罗德稳利中短债债券型证券投资基金</w:t>
      </w:r>
    </w:p>
    <w:p w:rsidR="00EF491C" w:rsidRDefault="004C51D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EF491C" w:rsidRDefault="004C51D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（2019年12月13日至2025年09月30日）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（1）交银稳利中短债债券A</w:t>
      </w:r>
    </w:p>
    <w:p w:rsidR="00EF491C" w:rsidRDefault="002248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（2）交银稳利中短债债券C</w:t>
      </w:r>
    </w:p>
    <w:p w:rsidR="00EF491C" w:rsidRDefault="002248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（3）交银稳利中短债债券E</w:t>
      </w:r>
    </w:p>
    <w:p w:rsidR="00EF491C" w:rsidRDefault="002248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2、本基金自2024年6月4日起，开始销售E类份额，投资者提交的申购申请于2024年6月5日确认并将有效份额登记在册。</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5" w:name="_Toc241672105"/>
      <w:r>
        <w:rPr>
          <w:rFonts w:ascii="Times New Roman" w:hAnsi="Times New Roman"/>
          <w:sz w:val="30"/>
        </w:rPr>
        <w:lastRenderedPageBreak/>
        <w:t>十二、基金的财产</w:t>
      </w:r>
      <w:bookmarkEnd w:id="15"/>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6" w:name="_Toc241672106"/>
      <w:r>
        <w:rPr>
          <w:rFonts w:ascii="Times New Roman" w:hAnsi="Times New Roman"/>
          <w:sz w:val="30"/>
        </w:rPr>
        <w:lastRenderedPageBreak/>
        <w:t>十三、基金资产的估值</w:t>
      </w:r>
      <w:bookmarkEnd w:id="16"/>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基金所拥有的债券和其他投资等持续以公允价值计量的金融资产及负债。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（1）交易所市场上市实行净价交易或挂牌转让的固定收益品种（另有规定的</w:t>
      </w:r>
      <w:r>
        <w:rPr>
          <w:rFonts w:ascii="宋体" w:hAnsi="宋体"/>
          <w:sz w:val="24"/>
        </w:rPr>
        <w:lastRenderedPageBreak/>
        <w:t>除外），选取第三方估值机构提供的相应品种当日的估值净价进行估值；交易所上市实行全价交易的债券（可转债除外），选取第三方估值机构提供的估值全价减去估值全价中所含的债券应收利息得到的净价进行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（2）交易所上市交易的可转换债券以每日收盘价作为估值全价；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（3）交易所上市不存在活跃市场的有价证券，采用估值技术确定公允价值。交易所市场挂牌转让的资产支持证券，采用估值技术确定公允价值，在估值技术难以可靠计量公允价值的情况下，按成本估值。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4、如有确凿证据表明按上述方法进行估值不能客观反映其公允价值的，基金管理人可根据具体情况与基金托管人商定后，按最能反映公允价值的价格估值。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各类基金份额的基金份额净值是按照每个工作日闭市后，任一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w:t>
      </w:r>
      <w:r>
        <w:rPr>
          <w:rFonts w:ascii="宋体" w:hAnsi="宋体"/>
          <w:sz w:val="24"/>
        </w:rPr>
        <w:lastRenderedPageBreak/>
        <w:t>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w:t>
      </w:r>
      <w:r>
        <w:rPr>
          <w:rFonts w:ascii="宋体" w:hAnsi="宋体"/>
          <w:sz w:val="24"/>
        </w:rPr>
        <w:lastRenderedPageBreak/>
        <w:t>告，并报中国证监会备案。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7" w:name="_Toc241672107"/>
      <w:r>
        <w:rPr>
          <w:rFonts w:ascii="Times New Roman" w:hAnsi="Times New Roman"/>
          <w:sz w:val="30"/>
        </w:rPr>
        <w:lastRenderedPageBreak/>
        <w:t>十四、基金收益与分配</w:t>
      </w:r>
      <w:bookmarkEnd w:id="17"/>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1、由于本基金A类基金份额不收取销售服务费，C类基金份额和E类基金份额收取销售服务费，各基金份额类别对应的可供分配利润将有所不同；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C类基金份额和E类基金份额分别选择不同的收益分配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4、本基金同一基金份额类别的每一基金份额享有同等分配权；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w:t>
      </w:r>
      <w:r>
        <w:rPr>
          <w:rFonts w:ascii="宋体" w:hAnsi="宋体"/>
          <w:sz w:val="24"/>
        </w:rPr>
        <w:lastRenderedPageBreak/>
        <w:t>构可将基金份额持有人的现金红利自动转为相应类别的基金份额。红利再投资的计算方法，依照《业务规则》执行。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8" w:name="_Toc241672108"/>
      <w:r>
        <w:rPr>
          <w:rFonts w:ascii="Times New Roman" w:hAnsi="Times New Roman"/>
          <w:sz w:val="30"/>
        </w:rPr>
        <w:lastRenderedPageBreak/>
        <w:t>十五、基金的费用与税收</w:t>
      </w:r>
      <w:bookmarkEnd w:id="18"/>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9、本基金从C类基金份额、E类基金份额的基金财产中计提的销售服务费；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本基金的管理费按前一日基金资产净值的0.2%年费率计提。管理费的计算方法如下：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基金管理费每日计提，按月支付。由基金管理人向基金托管人发送基金管理费划付指令，经基金托管人复核无误后于次月首日起3个工作日内从基金资产中一次性支付给基金管理人。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本基金的托管费按前一日基金资产净值的0.08%的年费率计提。托管费的计算方法如下：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H＝E×0.08%÷当年天数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基金托管费每日计提，按月支付。由基金管理人向基金托管人发送基金托管费划付指令，经基金托管人复核无误后于次月首日起3个工作日内从基金资产中一次性支付给基金托管人。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（3）C类基金份额、E类基金份额的销售服务费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C类基金份额的销售服务费按前一日C类基金资产净值的0.4%年费率计提。计算方法如下：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无误后于次月首日起3个工作日内从基金资产中一次性支付给基金管理人，由基金管理人代付给销售机构。若遇法定节假日、休息日或不可抗力致使无法按时支付的，顺延至最近可支付日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E类基金份额的销售服务费按前一日E类基金资产净值的0.35%年费率计提。计算方法如下：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H＝E×0.35%÷当年天数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H为E类基金份额每日应计提的销售服务费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E为E类基金份额前一日基金资产净值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类基金份额销售服务费每日计提，按月支付。由基金管理人向基金托管人发送销售服务费划付指令，经基金托管人复核无误后于次月首日起3个工作日内从基金资产中一次性支付给基金管理人，由基金管理人代付给销售机构。若遇法定节假日、休息日或不可抗力致使无法按时支付的，顺延至最近可支付日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本基金的销售服务费将专门用于本基金的推广、销售与基金份额持有人服务。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w:t>
      </w:r>
      <w:r>
        <w:rPr>
          <w:rFonts w:ascii="宋体" w:hAnsi="宋体"/>
          <w:sz w:val="24"/>
        </w:rPr>
        <w:lastRenderedPageBreak/>
        <w:t>规及相应协议规定，按费用实际支出金额列入当期费用，由基金托管人从基金财产中支付。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19" w:name="_Toc241672109"/>
      <w:r>
        <w:rPr>
          <w:rFonts w:ascii="Times New Roman" w:hAnsi="Times New Roman"/>
          <w:sz w:val="30"/>
        </w:rPr>
        <w:lastRenderedPageBreak/>
        <w:t>十六、基金的会计与审计</w:t>
      </w:r>
      <w:bookmarkEnd w:id="19"/>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0" w:name="_Toc241672110"/>
      <w:r>
        <w:rPr>
          <w:rFonts w:ascii="Times New Roman" w:hAnsi="Times New Roman"/>
          <w:sz w:val="30"/>
        </w:rPr>
        <w:lastRenderedPageBreak/>
        <w:t>十七、基金的信息披露</w:t>
      </w:r>
      <w:bookmarkEnd w:id="20"/>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合同》终止的，基金管理人不再更新基金招募说明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合同终止的，基金管理人不再更新基金产品资料概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w:t>
      </w:r>
      <w:r>
        <w:rPr>
          <w:rFonts w:ascii="宋体" w:hAnsi="宋体"/>
          <w:sz w:val="24"/>
        </w:rPr>
        <w:lastRenderedPageBreak/>
        <w:t>至少每周在指定网站分别披露一次A类基金份额和C类基金份额所对应的基金份额净值和基金份额累计净值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的A类基金份额、C类基金份额和E类基金份额所对应的基金份额净值和基金份额累计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基金管理人应当在不晚于半年度和年度最后一日的次日，在指定网站披露半年度和年度最后一日A类基金份额、C类基金份额和E类基金份额所对应的基金份额净值和基金份额累计净值。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w:t>
      </w:r>
      <w:r>
        <w:rPr>
          <w:rFonts w:ascii="宋体" w:hAnsi="宋体"/>
          <w:sz w:val="24"/>
        </w:rPr>
        <w:lastRenderedPageBreak/>
        <w:t>编制临时报告书，并登载在指定报刊和指定网站上。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10、基金投资资产支持证券情况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11、实施侧袋机制期间的信息披露</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基金管理人、基金托管人应当在指定报刊中选择披露信息的报刊。基金管理人、基金托管人应当向中国证监会基金电子披露网站报送拟披露的基金信息，并保证相关报送信息的真实、准确、完整、及时。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1" w:name="_Toc241672111"/>
      <w:r>
        <w:rPr>
          <w:rFonts w:ascii="Times New Roman" w:hAnsi="Times New Roman"/>
          <w:sz w:val="30"/>
        </w:rPr>
        <w:lastRenderedPageBreak/>
        <w:t>十八、侧袋机制</w:t>
      </w:r>
      <w:bookmarkEnd w:id="21"/>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EF491C" w:rsidRDefault="004C51DD">
      <w:pPr>
        <w:pStyle w:val="1"/>
        <w:snapToGrid w:val="0"/>
        <w:spacing w:beforeLines="0" w:before="240" w:after="240"/>
        <w:rPr>
          <w:rFonts w:ascii="宋体" w:hAnsi="宋体"/>
          <w:szCs w:val="30"/>
        </w:rPr>
      </w:pPr>
      <w:bookmarkStart w:id="22" w:name="_Toc241672112"/>
      <w:r>
        <w:rPr>
          <w:rFonts w:ascii="Times New Roman" w:hAnsi="Times New Roman"/>
          <w:sz w:val="30"/>
        </w:rPr>
        <w:lastRenderedPageBreak/>
        <w:t>十九、风险揭示</w:t>
      </w:r>
      <w:bookmarkEnd w:id="22"/>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w:t>
      </w:r>
      <w:r>
        <w:rPr>
          <w:rFonts w:ascii="宋体" w:hAnsi="宋体"/>
          <w:sz w:val="24"/>
        </w:rPr>
        <w:lastRenderedPageBreak/>
        <w:t>市的债券和货币市场工具等），同时本基金基于分散投资的原则在个券方面未有高集中度的特征，综合评估在正常市场环境下本基金的流动性风险适中。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w:t>
      </w:r>
      <w:r>
        <w:rPr>
          <w:rFonts w:ascii="宋体" w:hAnsi="宋体"/>
          <w:sz w:val="24"/>
        </w:rPr>
        <w:lastRenderedPageBreak/>
        <w:t>虑主袋账户资产，基金业绩指标应当以主袋账户资产为基准，因此本基金披露的业绩指标不能反映特定资产的真实价值及变化情况。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4、基金合同提前终止风险。连续五十个工作日出现基金份额持有人数量不满200人或者基金资产净值低于5000万元情形的，基金管理人提前终止基金合同，不需召开基金份额持有人大会。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w:t>
      </w:r>
      <w:r>
        <w:rPr>
          <w:rFonts w:ascii="宋体" w:hAnsi="宋体"/>
          <w:sz w:val="24"/>
        </w:rPr>
        <w:lastRenderedPageBreak/>
        <w:t>完善产生的风险；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3" w:name="_Toc241672113"/>
      <w:r>
        <w:rPr>
          <w:rFonts w:ascii="Times New Roman" w:hAnsi="Times New Roman"/>
          <w:sz w:val="30"/>
        </w:rPr>
        <w:lastRenderedPageBreak/>
        <w:t>二十、基金合同的变更、终止与基金财产的清算</w:t>
      </w:r>
      <w:bookmarkEnd w:id="23"/>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4" w:name="_Toc241672114"/>
      <w:r>
        <w:rPr>
          <w:rFonts w:ascii="Times New Roman" w:hAnsi="Times New Roman"/>
          <w:sz w:val="30"/>
        </w:rPr>
        <w:lastRenderedPageBreak/>
        <w:t>二十一、基金合同内容摘要</w:t>
      </w:r>
      <w:bookmarkEnd w:id="24"/>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基金份额持有人大会由基金份额持有人组成，基金份额持有人的合法授权代表有权代表基金份额持有人出席会议并表决。基金份额持有人持有的每一基金份额拥有平等的投票权。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（1）当出现或需要决定下列事由之一的，应当召开基金份额持有人大会，法律法规、中国证监会和基金合同另有规定的除外：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4）因相应的法律法规、登记机构的相关业务规则发生变动而应当对《基金合同》进行修改；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w:t>
      </w:r>
      <w:r>
        <w:rPr>
          <w:rFonts w:ascii="宋体" w:hAnsi="宋体"/>
          <w:sz w:val="24"/>
        </w:rPr>
        <w:lastRenderedPageBreak/>
        <w:t>金管理人；基金托管人决定召集的，应当自出具书面决定之日起60日内召开。并告知基金管理人，基金管理人应当配合；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基金份额持有人大会可通过现场开会方式、通讯开会方式或法律法规、监管机构允许的其他方式召开，会议的召开方式由会议召集人确定。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w:t>
      </w:r>
      <w:r>
        <w:rPr>
          <w:rFonts w:ascii="宋体" w:hAnsi="宋体"/>
          <w:sz w:val="24"/>
        </w:rPr>
        <w:lastRenderedPageBreak/>
        <w:t>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w:t>
      </w:r>
      <w:r>
        <w:rPr>
          <w:rFonts w:ascii="宋体" w:hAnsi="宋体"/>
          <w:sz w:val="24"/>
        </w:rPr>
        <w:lastRenderedPageBreak/>
        <w:t>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w:t>
      </w:r>
      <w:r>
        <w:rPr>
          <w:rFonts w:ascii="宋体" w:hAnsi="宋体"/>
          <w:sz w:val="24"/>
        </w:rPr>
        <w:lastRenderedPageBreak/>
        <w:t>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（五）基金合同存放地和投资者取得基金合同的方式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5" w:name="_Toc241672115"/>
      <w:r>
        <w:rPr>
          <w:rFonts w:ascii="Times New Roman" w:hAnsi="Times New Roman"/>
          <w:sz w:val="30"/>
        </w:rPr>
        <w:lastRenderedPageBreak/>
        <w:t>二十二、托管协议的内容摘要</w:t>
      </w:r>
      <w:bookmarkEnd w:id="25"/>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w:t>
      </w:r>
      <w:r>
        <w:rPr>
          <w:rFonts w:ascii="宋体" w:hAnsi="宋体"/>
          <w:sz w:val="24"/>
        </w:rPr>
        <w:lastRenderedPageBreak/>
        <w:t>售汇业务；代理开放式基金业务；办理黄金业务；黄金进出口；开展证券投资基金、企业年金基金、保险资金、合格境外机构投资者托管业务；经国务院银行业监督管理机构批准的其他业务。（市场主体依法自主选择经营项目，开展经营活动；依法须经批准的项目，经相关部门批准后依批准的内容开展经营活动；不得从事国家和本市产业政策禁止和限制类项目的经营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以及法律法规允许投资的其他金融工具。本基金不投资于股票等资产，也不投资于可转换债券（可分离交易可转债的纯债部分除外）、可交换债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中短期债券的比例不低于非现金资产的80%。本基金持有的现金或到期日在一年以内的政府债券的比例合计不低于基金资产净值的5%，其中现金不包括结算备付金、存出保证金、应收申购款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中短期债券是指剩余期限不超过三年（含）的债券资产，包括国债、金融债、央行票据、地方政府债、政府支持债、政府支持机构债、企业债、公司债、可分离交易可转债的纯债部分、公开发行的次级债、短期融资券、超短期融资券、中期票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1）本基金投资于债券资产的比例不低于基金资产的80%，其中投资于中短期债券的比例不低于非现金资产的80%；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2）本基金持有的现金或者到期日在一年以内的政府债券的投资比例合计不低于基金资产净值的5%，其中现金不包括结算备付金、存出保证金、应收申购款等；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4）本基金管理人管理的全部基金持有一家公司发行的证券，不超过该证券的10％，完全按照有关指数的构成比例进行证券投资的基金品种可以不受此条款规定的比例限制；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10）本基金进入全国银行间同业市场进行债券回购的资金余额不得超过基金资产净值的40%，进入全国银行间同业市场进行债券回购的最长期限为1年，债券回购到期后不得展期；</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13）本基金资产总值不超过基金资产净值的140%；</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14）法律法规及中国证监会规定的和《基金合同》约定的其他投资限制。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除上述2）、9）、11）、12）情形之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w:t>
      </w:r>
      <w:r>
        <w:rPr>
          <w:rFonts w:ascii="宋体" w:hAnsi="宋体"/>
          <w:sz w:val="24"/>
        </w:rPr>
        <w:lastRenderedPageBreak/>
        <w:t>资进行监督。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在发行时明确一定期限锁定期的可交易证券，不包括由于发布重大消息或其他原因而临时停牌的证券、已发行未上市证券、回购交易中的质押券等流通受限证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2）如未来有关监管部门发布的法律法规对证券投资基金投资中期票据另有规定的，从其约定。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w:t>
      </w:r>
      <w:r>
        <w:rPr>
          <w:rFonts w:ascii="宋体" w:hAnsi="宋体"/>
          <w:sz w:val="24"/>
        </w:rPr>
        <w:lastRenderedPageBreak/>
        <w:t>和核查。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遵守中华人民共和国反洗钱法律法规，不参与涉嫌洗钱、恐怖融资、扩散融资等违法犯罪活动；主动配合基金托管人客户身份识别与尽职调查，提供真实、准确、完整客户资料，遵守基金托管人反洗钱与反恐怖融资相关管理规定。对具备合理理由怀疑涉嫌洗钱、恐怖融资的客户，基金托管人将按照中国人民银行反洗钱监管规定采取必要管控措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w:t>
      </w:r>
      <w:r>
        <w:rPr>
          <w:rFonts w:ascii="宋体" w:hAnsi="宋体"/>
          <w:sz w:val="24"/>
        </w:rPr>
        <w:lastRenderedPageBreak/>
        <w:t>户、复核基金管理人计算的基金资产净值和各类基金份额净值、根据基金管理人指令办理清算交收、相关信息披露和监督基金投资运作等行为。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（四）基金财产保管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（3）基金托管人按照规定开设基金财产的资金账户和证券账户等投资所需账户。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（6）除依据法律法规和基金合同的规定外，基金托管人不得委托第三人托管基金资产。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期货业务资格的会计师事务所进行验资，出具验资报告，出具的验资报告应由参加验资的2名以上（含2名）中国注册会计师签字有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5、债券托管账户的开立和管理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（五）基金资产净值计算、估值和会计核算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各类基金份额的基金份额净值是指每个工作日闭市后，任一类基金份额的基金资产净值除以当日该类基金份额的数值。基金份额净值的计算保留到小数点后4位，小数点后第5位四舍五入，由此产生的误差计入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估值日对基金资产估值，但基金管理人根据法律法规或基金合同的规定暂停估值时除外。估值原则应符合基金合同及相关法律、法规的规定。用于基金信息披露的各类基金份额的基金资产净值和基金份额净值由基金管理人负责计算，基金托管人复核。基金管理人应于每个估值日交易结束后计算当日的各类基金份额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基金所拥有的债券和其他投资等持续以公允价值计量的金融资产及负债。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（2）估值原则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（3）估值方法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市场上市实行净价交易或挂牌转让的固定收益品种（另有规定的除外），选取第三方估值机构提供的相应品种当日的估值净价进行估值；交易所上市实行全价交易的债券（可转债除外），选取第三方估值机构提供的估值全价减去估值全价中所含的债券应收利息得到的净价进行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②交易所上市交易的可转换债券以每日收盘价作为估值全价；</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③交易所上市不存在活跃市场的有价证券，采用估值技术确定公允价值。交易所市场挂牌转让的资产支持证券，采用估值技术确定公允价值，在估值技术难以可靠计量公允价值的情况下，按成本估值。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w:t>
      </w:r>
      <w:r>
        <w:rPr>
          <w:rFonts w:ascii="宋体" w:hAnsi="宋体"/>
          <w:sz w:val="24"/>
        </w:rPr>
        <w:lastRenderedPageBreak/>
        <w:t>有发生大的变动的情况下，按成本估值。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4）如有确凿证据表明按上述方法进行估值不能客观反映其公允价值的，基金管理人可根据具体情况与基金托管人商定后，按最能反映公允价值的价格估值。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6）相关法律法规以及监管部门有强制规定的，从其规定。如有新增事项，按国家最新规定估值。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因基金估值错误给投资人造成损失的应先由基金管理人承担，基金管理人对不应由其承担的责任，有权向过错人追偿。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基金份额净值已由基金托管人复核确认后公告的，由此造成的投资人或基金的损失，应根据法律法规的规定对投资人或基金支付赔偿金，就实际向投资人或基金支付的赔偿金额，基金管理人与基金托管人按照过错程度各自承担相应的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交易所、证券经纪机构或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基金管理人或基金托管人按估值方法的第4）项进行估值的，所造成的误差不作为基金资产估值错误处理。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指定网站上；基金招募说明书其他信息发生变更的，基金管理人至少每年更新一次。《基金合同》终止的，基金管理人不再更新基金招募说明书。基金管理人在季度结束之日起15个工作日内完成季度报告编制并公告；在会计年度半年终了后两个月内完成中期报告编制并公告；在会计年度结束后三个月内完成年度报告编制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w:t>
      </w:r>
      <w:r>
        <w:rPr>
          <w:rFonts w:ascii="宋体" w:hAnsi="宋体"/>
          <w:sz w:val="24"/>
        </w:rPr>
        <w:lastRenderedPageBreak/>
        <w:t>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（七）争议解决方式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（八）托管协议的变更、终止与基金财产的清算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（1）基金财产的清算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w:t>
      </w:r>
      <w:r>
        <w:rPr>
          <w:rFonts w:ascii="宋体" w:hAnsi="宋体"/>
          <w:sz w:val="24"/>
        </w:rPr>
        <w:lastRenderedPageBreak/>
        <w:t>人员组成。基金财产清算小组可以聘用必要的工作人员。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①《基金合同》终止情形出现时，由基金财产清算小组统一接管基金财产；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②对基金财产和债权债务进行清理和确认；</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③对基金财产进行估值和变现；</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④制作清算报告；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⑤聘请会计师事务所对清算报告进行外部审计，聘请律师事务所对清算报告出具法律意见书；</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⑥将清算报告报中国证监会备案并公告；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⑦对基金剩余财产进行分配。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（4）基金财产清算剩余资产的分配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6" w:name="_Toc241672116"/>
      <w:r>
        <w:rPr>
          <w:rFonts w:ascii="Times New Roman" w:hAnsi="Times New Roman"/>
          <w:sz w:val="30"/>
        </w:rPr>
        <w:lastRenderedPageBreak/>
        <w:t>二十三、对基金份额持有人的服务</w:t>
      </w:r>
      <w:bookmarkEnd w:id="26"/>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和C类基金份额的申购、赎回、定期定额投资、转换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时，基金份额持有人持有的基金份额可选择现金红利或选择红利再投将现金红利自动转为相应类别的基金份额进行再投资，若投资人不选择，本基金默认的收益分配方式是现金分红；基金份额持有人可对其持有的各类基金份额分别选择不同的收益分配方式。再投资红利按红利再投日（即除息日）除息后的基金份额净值自动转为相应类别的基金份额，并免收申购费用。</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7" w:name="_Toc241672117"/>
      <w:r>
        <w:rPr>
          <w:rFonts w:ascii="Times New Roman" w:hAnsi="Times New Roman"/>
          <w:sz w:val="30"/>
        </w:rPr>
        <w:lastRenderedPageBreak/>
        <w:t>二十四、其他应披露事项</w:t>
      </w:r>
      <w:bookmarkEnd w:id="27"/>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交银施罗德基金管理有限公司关于开展旗下部分基金销售服务费优惠活动的公告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w:t>
            </w:r>
            <w:r>
              <w:rPr>
                <w:rFonts w:ascii="Times New Roman" w:hAnsi="Times New Roman"/>
                <w:color w:val="000000"/>
                <w:kern w:val="0"/>
                <w:sz w:val="25"/>
                <w:szCs w:val="24"/>
              </w:rPr>
              <w:t>E</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2024-11-27</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交银施罗德基金管理有限公司关于交银施罗德稳利中短债债券型证券投资基金分红公告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2024-12-24</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交银施罗德基金管理有限公司关于增加上海基煜基金销售有限公司为旗下基金的销售机构的公告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2024-12-26</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2024-12-30</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交银施罗德基金管理有限公司关于交银施罗德稳利中短债债券型证券投资基金分红公告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2025-01-15</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交银施罗德基金管理有限公司关于旗下部分基金销售服务费优惠活动结束的公告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交银施罗德基金管理有限公司关于增加上海攀赢基金销售有限公司为旗下基金的销售机构的公告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2025-02-24</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交银施罗德基金管理有限公司关于增加中信建投证券股份有限公司为旗下基金的销售机构的公告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2025-03-18</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交银施罗德基金管理有限公司关于开展旗下部分基金销售服务费优惠活动的公告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2025-03-24</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交银施罗德基金管理有限公司关于交银施罗德稳利中短债债券型证券投资基金分红公告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2025-04-16</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交银施罗德基金管理有限公司关于增加华西证券股份有限公司为旗下基金的销售机构的公告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交银施罗德基金管理有限公司关于增加宁波银行股份有限公司为旗下基金的销售机构的公告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2025-05-27</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交银施罗德基金管理有限公司关于增加上海利得基金销售有限公司为旗下基金的销售机构的公告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34</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交银施罗德基金管理有限公司关于增加上海好买基金销售有限公司为旗下基金的销售机构的公告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2025-07-21</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交银施罗德基金管理有限公司关于增加中国中金财富证券有限公司为旗下基金的销售机构的公告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2025-07-22</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交银施罗德基金管理有限公司关于交银施罗德稳利中短债债券型证券投资基金分红公告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2025-07-23</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交银施罗德稳利中短债债券型证券投资基金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EF491C">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F491C" w:rsidRDefault="004C51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bl>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8" w:name="_Toc241672118"/>
      <w:r>
        <w:rPr>
          <w:rFonts w:ascii="Times New Roman" w:hAnsi="Times New Roman"/>
          <w:sz w:val="30"/>
        </w:rPr>
        <w:lastRenderedPageBreak/>
        <w:t>二十五、招募说明书的存放及查阅方式</w:t>
      </w:r>
      <w:bookmarkEnd w:id="28"/>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C51D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F491C" w:rsidRDefault="004C51DD">
      <w:pPr>
        <w:pStyle w:val="1"/>
        <w:snapToGrid w:val="0"/>
        <w:spacing w:beforeLines="0" w:before="240" w:after="240"/>
        <w:rPr>
          <w:rFonts w:ascii="宋体" w:hAnsi="宋体"/>
          <w:szCs w:val="30"/>
        </w:rPr>
      </w:pPr>
      <w:bookmarkStart w:id="29" w:name="_Toc241672119"/>
      <w:r>
        <w:rPr>
          <w:rFonts w:ascii="Times New Roman" w:hAnsi="Times New Roman"/>
          <w:sz w:val="30"/>
        </w:rPr>
        <w:lastRenderedPageBreak/>
        <w:t>二十六、备查文件</w:t>
      </w:r>
      <w:bookmarkEnd w:id="29"/>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（一）中国证监会准予交银施罗德稳利中短债债券型证券投资基金募集注册的文件</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（二）《交银施罗德稳利中短债债券型证券投资基金基金合同》</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（三）《交银施罗德稳利中短债债券型证券投资基金托管协议》</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EF491C" w:rsidRDefault="004C51D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（六）关于申请募集注册交银施罗德稳利中短债债券型证券投资基金的法律意见书</w:t>
      </w:r>
    </w:p>
    <w:sectPr w:rsidR="00EF491C">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E91" w:rsidRDefault="004C51DD">
      <w:r>
        <w:separator/>
      </w:r>
    </w:p>
  </w:endnote>
  <w:endnote w:type="continuationSeparator" w:id="0">
    <w:p w:rsidR="003B5E91" w:rsidRDefault="004C5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1C" w:rsidRDefault="00EF491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1C" w:rsidRDefault="0022480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EF491C" w:rsidRDefault="004C51D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24808">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1C" w:rsidRDefault="00EF491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1C" w:rsidRDefault="0022480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EF491C" w:rsidRDefault="004C51D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24808">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E91" w:rsidRDefault="004C51DD">
      <w:r>
        <w:separator/>
      </w:r>
    </w:p>
  </w:footnote>
  <w:footnote w:type="continuationSeparator" w:id="0">
    <w:p w:rsidR="003B5E91" w:rsidRDefault="004C51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1C" w:rsidRDefault="00EF491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1C" w:rsidRDefault="004C51DD">
    <w:pPr>
      <w:pStyle w:val="a3"/>
      <w:jc w:val="right"/>
      <w:rPr>
        <w:rFonts w:ascii="宋体" w:hAnsi="宋体"/>
      </w:rPr>
    </w:pPr>
    <w:r>
      <w:rPr>
        <w:rFonts w:ascii="宋体" w:hAnsi="宋体" w:hint="eastAsia"/>
      </w:rPr>
      <w:t>交银施罗德稳利中短债债券型证券投资基金招募说明书更新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1C" w:rsidRDefault="00EF491C">
    <w:pPr>
      <w:pStyle w:val="10"/>
      <w:jc w:val="right"/>
    </w:pPr>
  </w:p>
  <w:p w:rsidR="00EF491C" w:rsidRDefault="00EF491C">
    <w:pPr>
      <w:pStyle w:val="10"/>
      <w:jc w:val="right"/>
    </w:pPr>
  </w:p>
  <w:p w:rsidR="00EF491C" w:rsidRDefault="00EF491C">
    <w:pPr>
      <w:pStyle w:val="a3"/>
      <w:jc w:val="right"/>
    </w:pPr>
  </w:p>
  <w:p w:rsidR="00EF491C" w:rsidRDefault="004C51DD">
    <w:pPr>
      <w:pStyle w:val="a3"/>
      <w:jc w:val="right"/>
      <w:rPr>
        <w:rFonts w:ascii="宋体" w:hAnsi="宋体"/>
      </w:rPr>
    </w:pPr>
    <w:r>
      <w:rPr>
        <w:rFonts w:ascii="宋体" w:hAnsi="宋体" w:hint="eastAsia"/>
      </w:rPr>
      <w:t>交银施罗德稳利中短债债券型证券投资基金招募说明书更新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491C" w:rsidRDefault="00EF491C">
    <w:pPr>
      <w:pStyle w:val="a3"/>
      <w:jc w:val="right"/>
    </w:pPr>
  </w:p>
  <w:p w:rsidR="00EF491C" w:rsidRDefault="00EF491C">
    <w:pPr>
      <w:pStyle w:val="a3"/>
      <w:jc w:val="right"/>
    </w:pPr>
  </w:p>
  <w:p w:rsidR="00EF491C" w:rsidRDefault="00EF491C">
    <w:pPr>
      <w:pStyle w:val="a3"/>
      <w:jc w:val="right"/>
    </w:pPr>
  </w:p>
  <w:p w:rsidR="00EF491C" w:rsidRDefault="004C51DD">
    <w:pPr>
      <w:pStyle w:val="a3"/>
      <w:jc w:val="right"/>
      <w:rPr>
        <w:rFonts w:ascii="宋体" w:hAnsi="宋体"/>
      </w:rPr>
    </w:pPr>
    <w:r>
      <w:rPr>
        <w:rFonts w:ascii="宋体" w:hAnsi="宋体" w:hint="eastAsia"/>
      </w:rPr>
      <w:t>交银施罗德稳利中短债债券型证券投资基金招募说明书更新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4808"/>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5E91"/>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51DD"/>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491C"/>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38F27F94-535F-4D90-9D63-6CD15C61C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16156</Words>
  <Characters>92092</Characters>
  <Application>Microsoft Office Word</Application>
  <DocSecurity>0</DocSecurity>
  <Lines>767</Lines>
  <Paragraphs>216</Paragraphs>
  <ScaleCrop>false</ScaleCrop>
  <Company>Microsoft</Company>
  <LinksUpToDate>false</LinksUpToDate>
  <CharactersWithSpaces>108032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2026-09-30T06:47:00Z</dcterms:created>
  <dcterms:modified xsi:type="dcterms:W3CDTF">2026-09-30T06:47:00Z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