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交银施罗德臻选回报混合型证券投资基金（C类份额）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交银臻选回报混合C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015595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2020-12-23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王艺伟</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2020-12-23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2012-07-13</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本基金在严格控制风险的前提下，充分发挥专业研究与管理能力，追求超越业绩比较基准的投资收益，力争为投资者提供长期稳健的投资回报。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0%-45%（其中投资于港股通标的股票的比例占股票资产的0%-50%），同业存单投资占基金资产的比例不超过20%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沪深300指数收益率×20%+恒生指数收益率×5%+中证综合债券指数收益率×75%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本基金是一只混合型基金，其预期风险和预期收益高于债券型基金和货币市场基金，低于股票型基金。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详见《交银施罗德臻选回报混合型证券投资基金招募说明书》“基金的投资”。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2、本基金自2022年7月12日起，开始销售C类份额，基金份额类别首次确认当年净值增长率按实际存续期计算；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0.99%</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投资有风险，投资者购买基金时应认真阅读本基金的《招募说明书》等销售文件。基金份额持有人须了解并承受以下风险：1、市场风险（1）政策风险、（2）经济周期风险、（3）利率风险、（4）上市公司经营风险、（5）购买力风险2、管理风险3、流动性风险4、信用风险5、本基金的特有风险（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2）对宏观经济趋势、政策以及上市公司基本面研究是否准确、深入，以及对股票的优选和判断是否科学、准确将影响本基金的收益。基本面研究及上市公司分析的错误均可能导致所选择的证券不能完全符合本基金的预期目标。（3）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4）本基金可投资创业板股票，创业板个股上市后的前五个交易日不设价格涨跌幅限制，第六个交易日开始涨跌幅限制比例为20%。6、投资股指期货的特定风险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此外，由于衍生品通常具有杠杆效应，价格波动比标的工具更为剧烈，并且其定价相当复杂，不适当的估值也有可能使基金资产面临损失风险。7、投资资产支持证券的特定风险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8、投资流通受限证券的特定风险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9、投资科创板股票的特定风险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10、投资存托凭证的特定风险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本基金可根据投资策略需要或市场环境的变化，选择将部分基金资产投资于存托凭证或选择不将基金资产投资于存托凭证，基金资产并非必然投资存托凭证。11、本基金法律文件风险收益特征表述与销售机构基金风险评价可能不一致的风险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12、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