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交银施罗德稳利中短债债券型证券投资基金（E类份额）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2026-09-30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2026-10-09</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交银稳利中短债债券E</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021601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2019-12-13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侯嘉仪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2019-12-13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 央行票据、地方政府债、政府支持债、政府支持机构债、企业债、公司债、可分离 交易可转债的纯债部分、公开发行的次级债、短期融资券、超短期融资券、中期票 据)、资产支持证券、债券回购、银行存款(包括定期存款、协议存款、通知存款等)、 同业存单、货币市场工具，以及法律法规允许投资的其他金融工具。本基金不投资 于股票等资产，也不投资于可转换债券(可分离交易可转债的纯债部分除外)、可交 换债券。 如法律法规或监管机构以后允许基金投资其他品种，基金管理人在履行适当程 序后，可以将其纳入投资范围。 基金的投资组合比例为：本基金投资于债券资产的比例不低于基金资产的 80%， 其中投资于中短期债券的比例不低于非现金资产的 80%。本基金持有的现金或到期 日在一年以内的政府债券的比例合计不低于基金资产净值的 5%，其中现金不包括结 算备付金、存出保证金、应收申购款等。 本基金所指的中短期债券是指剩余期限不超过三年(含)的债券资产，包括国 债、金融债、央行票据、地方政府债、政府支持债、政府支持机构债、企业债、公 司债、可分离交易可转债的纯债部分、公开发行的次级债、短期融资券、超短期融 资券、中期票据。 如果法律法规或中国证监会变更投资品种的投资比例限制，基金管理人在履行 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中债总财富（1-3年）指数收益率×80%+一年期定期存款利率（税后）×20%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详见《交银施罗德稳利中短债债券型证券投资基金招募说明书》第十部分“基金的投资”。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2、本基金自2024年6月4日起，开始销售E类份额，投资者提交的申购申请于2024年6月5日被确认并将有效份额登记在册。</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0.08%</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0.35%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投资有风险，投资者购买基金时应认真阅读本基金的《招募说明书》等销售文件。基金份额持有人须了解并承受以下风险：1、市场风险（1）政策风险、（2）经济周期风险、（3）利率风险、（4）信用风险、（5）购买力风险、（6）债券收益率曲线变动风险、（7）再投资风险、（8）经营风险、（9）上市公司经营风险、（10）债券回购风险2、管理风险3、流动性风险4、交易对手违约风险5、本基金的特有风险（1）本基金为债券型基金，投资于债券资产的比例不低于基金资产的80%，因投资固定收益类资产而面临固定收益类资产市场的系统性风险和个券风险；（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4）基金合同提前终止风险。连续五十个工作日出现基金份额持有人数量不满200人或者基金资产净值低于5000万元情形的，基金管理人提前终止基金合同，不需召开基金份额持有人大会。6、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●《交银施罗德稳利中短债债券型证券投资基金基金合同》、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《交银施罗德稳利中短债债券型证券投资基金托管协议》、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《交银施罗德稳利中短债债券型证券投资基金招募说明书》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04676"/>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0285C"/>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563</Words>
  <Characters>3215</Characters>
  <Lines>26</Lines>
  <Paragraphs>7</Paragraphs>
  <TotalTime>0</TotalTime>
  <ScaleCrop>false</ScaleCrop>
  <LinksUpToDate>false</LinksUpToDate>
  <CharactersWithSpaces>3771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2026-09-30T06:47:00Z</dcterms:created>
  <dc:creator>Cc</dc:creator>
  <cp:lastModifiedBy>haotingting</cp:lastModifiedBy>
  <dcterms:modified xsi:type="dcterms:W3CDTF">2026-09-30T06:52:08Z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A22D7B54717E4562B103060180C2504F</vt:lpwstr>
  </property>
</Properties>
</file>