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交银施罗德定期支付双息平衡混合型证券投资基金</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交银定期支付双息平衡混合</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519732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2013-09-04</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徐嘉辰</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2026-08-27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2015-12-09</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基金合同生效后，基金份额持有人数量不满200人或者基金资产净值低于5000万元的，基金管理人应当及时报告中国证监会；连续20个工作日出现前述情形的，基金管理人应当向中国证监会说明原因并报送解决方案。</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本基金精选具有长期增长潜力和较好分红能力的股票，以及具有较高息票率的债券，力争实现基金资产的长期增值。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上市的股票（含中小板、创业板及其他中国证监会允许基金投资的股票、存托凭证）、债券、货币市场工具、权证以及法律法规或中国证监会允许基金投资的其它金融工具（但须符合中国证监会的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组合比例为：股票（含存托凭证）、权证等权益类资产占基金资产净值的30%-70%，其中权证的投资比例不超过基金资产净值的3%；债券、资产支持证券、货币市场工具、银行存款等固定收益类资产和现金不低于基金资产净值的30%，其中现金或到期日在一年以内的政府债券投资比例不低于基金资产净值的5%，现金不包括结算备付金、存出保证金和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如法律法规或监管机构以后允许基金投资其他品种，基金管理人在履行适当程序后，可以将其纳入投资范围，并可依据届时有效的法律法规适时合理地调整投资范围。</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精选具有较好现金分红能力、长期增长潜力且估值水平合理的上市公司以及具有较高息票率的债券，通过在股票和债券等不同类别资产中的平衡配置，追求基金资产在风险可控前提下的持续增值，充分享受股票分红和债券利息的双重收益。</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1、资产配置策略；2、股票投资策略；3、债券投资策略。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50%×中证红利指数收益率+50%×中债综合全价指数收益率</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在证券投资基金中属于较高风险的品种，其长期平均风险和预期收益高于货币市场基金和债券型基金，低于股票型基金。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详见《交银施罗德定期支付双息平衡混合型证券投资基金招募说明书》“基金的投资”。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 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1.41%</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属于混合型基金，通过在股票、债券等各类资产之间进行配置来降低风险，提高收益。如果股票市场和债券市场同时出现下跌，本基金将不能完全抵御两个市场同时下跌的风险，基金净值将出现下降。由于本基金股票投资比例设定了一定上限，因此在股市大幅上涨时本基金也不能完全保证基金净值能够完全跟随或超越大盘走势。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股票资产部分重点投资于红利股票，在选股策略上本基金特有的风险主要来自两个方面：一是对行业及上市公司的基本面研究是否准确、深入，二是对行业和红利股票的优选和判断是否科学、准确。基本面研究及上市企业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6、本基金定期支付相关的特定风险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（1）定期支付不等同于收益分配、（2）年化现金支付比率不代表基金实际投资收益率、（3）定期支付被确认失败的风险、（4）年化现金支付比率发生调整的风险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●《交银施罗德定期支付双息平衡混合型证券投资基金基金合同》、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《交银施罗德定期支付双息平衡混合型证券投资基金托管协议》、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《交银施罗德定期支付双息平衡混合型证券投资基金招募说明书》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