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交银施罗德远见成长混合型证券投资基金（C类份额）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交银远见成长混合C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025953</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上海浦东发展银行股份有限公司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2025-11-17</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郭若</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2025-11-17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2018-01-01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本基金为偏股混合型基金。</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本基金在合理控制风险的前提下，充分发挥专业研究与管理能力，力争为投资者提供长期稳健的投资回报。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1、大类资产配置；2、股票投资策略；3、债券投资策略；4、资产支持证券投资策略；5、股指期货投资策略。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中证800成长指数收益率×70%+中证港股通综合指数（人民币）收益率×5%+中债综合全价指数收益率×25%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本基金是一只混合型基金，其预期风险和预期收益理论上高于债券型基金和货币市场基金，低于股票型基金。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详见《交银施罗德远见成长混合型证券投资基金招募说明书》“基金的投资”。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2、本基金合同于2025年11月17日生效，合同生效当年净值增长率按实际存续期计算。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本基金尚未披露基金年报，暂不披露该内容。</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属于混合型基金，股票投资（含存托凭证）占基金资产的比例为60%-95%，其中投资于港股通标的股票的比例占股票资产的0%-50%。本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（7）投资港股通标的股票的特定风险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通标的股票或选择不将基金资产投资于港股通标的股票，基金资产并非必然投资港股通标的股票。</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上海国际经济贸易仲裁委员会，按照上海国际经济贸易仲裁委员会届时有效的仲裁规则进行仲裁。仲裁地点为上海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●《交银施罗德远见成长混合型证券投资基金基金合同》、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《交银施罗德远见成长混合型证券投资基金托管协议》、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《交银施罗德远见成长混合型证券投资基金招募说明书》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