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交银施罗德创业板50指数型证券投资基金（A类份额）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交银创业板50指数A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007464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2019-11-20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蔡铮</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2009-12-14</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提前终止《基金合同》，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本基金采用指数化投资策略，紧密跟踪创业板50指数，追求跟踪偏离度与跟踪误差最小化。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创业板50指数的成份股（含存托凭证）及其备选成份股（含存托凭证）、其他股票(含中小板、创业板及其他经中国证监会核准上市的股票、存托凭证)、债券(含国债、央行票据、金融债券、政府支持债券、政府支持机构债券、 地方政府债券、企业债券、公司债券、可转换债券(含可分离交易可转换债券的纯债部分)、可交换公司债券、公开发行的次级债券、中期票据、短期融资券、超短期 融资券等)、资产支持证券、货币市场工具、债券回购、同业存单、银行存款(含协 议存款、定期存款及其他银行存款)、股指期货以及法律法规或中国证监会允许基金 投资的其他金融工具。 如法律法规或监管机构以后允许基金投资其他品种，基金管理人在履行适当程序后，可以将其纳入投资范围。 基金的投资组合比例为：本基金投资于创业板 50 指数成份股（含存托凭证）及其备选成份股（含存托凭证）的比例不低于基金资产净值的90%；每个交易日日终在扣除股指期货合约需缴纳的交易保证金后，本基金保留的现金或者投资于到期日在一年以内的政府债券的比例合计不低于基金资产净值的5%，其中现金不包括结算备付金、存出保证金、应收申购款等。 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本基金标的指数为创业板50指数。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1、组合复制策略；2、替代性策略；3、股指期货投资策略；4、资产支持证券投资策略。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创业板50指数收益率×95%＋人民币银行活期存款利率（税后）×5%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高于混合型基金、债券型基金和货币市场基金。本基金为指数型基金，主要采用组合复制策略及适当的替代性策略跟踪创业板50指数，具有与标的指数以及标的指数所代表的股票市场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详见《交银施罗德创业板50指数型证券投资基金招募说明书》“基金的投资”。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2、本基金合同于2019年11月20日生效，合同生效当年净值增长率按实际存续期计算；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0.3%</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31天≤N＜181天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0.1%</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181天≤N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2、本基金管理人对非个人养老金客户实施特定申购费率，请详见本基金招募说明书。销售机构若有其他费率优惠请见基金管理人或其他销售机构的有关公告或通知。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0.66%</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5、本基金投资策略所特有的指数化投资风险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标的指数回报与股票市场平均回报偏离的风险、（2）标的指数波动的风险、（3）基金投资组合回报与标的指数回报偏离的风险、（4）标的指数变更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（1）本基金为股票型基金，投资于创业板50指数成份股及其备选成份股的比例不低于基金资产净值的90%，因投资权益类资产而面临权益类资产市场的系统性风险和个股风险；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（3）基金合同提前终止风险。连续六十个工作日出现基金份额持有人数量不满200人或者基金资产净值低于5000万元情形的，基金管理人提前终止基金合同，不需召开基金份额持有人大会。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《交银施罗德创业板50指数型证券投资基金招募说明书》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