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交银施罗德双轮动债券型证券投资基金（AB类份额）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交银双轮动债券A/B</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519723</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中信银行股份有限公司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2013-04-18</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债券型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唐赟</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2015-08-04</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2010-07-05</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黄莹洁</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2025-12-27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2008-02-15</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基金合同生效后，基金份额持有人数量不满200人或者基金资产净值低于5000万元的，基金管理人应当及时报告中国证监会；连续20个工作日出现前述情形的，基金管理人应当向中国证监会说明原因并报送解决方案。</w:t>
            </w:r>
          </w:p>
        </w:tc>
      </w:tr>
    </w:tbl>
    <w:p w:rsidR="006A53E7" w:rsidRPr="00335FE8" w:rsidP="006A53E7">
      <w:pPr>
        <w:spacing w:after="0"/>
        <w:jc w:val="left"/>
        <w:rPr>
          <w:rFonts w:ascii="仿宋_GB2312" w:eastAsia="仿宋_GB2312" w:hint="eastAsia"/>
          <w:sz w:val="21"/>
          <w:szCs w:val="21"/>
        </w:rPr>
      </w:pPr>
      <w:r w:rsidRPr="00335FE8">
        <w:rPr>
          <w:rFonts w:ascii="仿宋_GB2312" w:eastAsia="仿宋_GB2312" w:hAnsi="仿宋_GB2312" w:cs="仿宋_GB2312" w:hint="eastAsia"/>
          <w:kern w:val="0"/>
          <w:sz w:val="21"/>
          <w:szCs w:val="21"/>
        </w:rPr>
        <w:t>注：</w:t>
      </w:r>
      <w:r w:rsidRPr="00335FE8">
        <w:rPr>
          <w:rFonts w:ascii="仿宋_GB2312" w:eastAsia="仿宋_GB2312" w:hint="eastAsia"/>
          <w:sz w:val="21"/>
          <w:szCs w:val="21"/>
        </w:rPr>
        <w:t>519723（A类份额），519724（B类份额）</w:t>
      </w:r>
    </w:p>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本基金在严格控制投资风险的基础上，通过积极主动的投资管理，把握债券市场轮动带来的机会，力争实现基金资产长期稳健的增值。</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债、央行票据、地方政府债、金融债、企业债、短期融资券、中期票据、公司债、分离交易可转债、资产支持证券、债券回购、银行存款等固定收益类资产以及法律法规或中国证监会允许基金投资的其他金融工具(但须符合中国证监会相关规定)。本基金不直接在二级市场买入股票、权证等权益类资产，也不参与一级市场新股申购和新股增发。因投资于分离交易可转债而产生的权证，在其可交易之日起的30个交易日内卖出。同时本基金不参与可转换债券投资(分离交易可转债除外)。</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基金的投资组合比例为：固定收益类资产的比例不低于基金资产净值的80%；现金或到期日在一年以内的政府债券的比例合计不低于基金资产净值的5%，其中现金不包括结算备付金、存出保证金、应收申购款等。</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将规范化的基本面研究、严谨的信用分析与积极主动的投资风格相结合，在分析和判断宏观经济运行状况和金融市场运行趋势的基础上，判断不同类别债券在经济周期的不同阶段的相对投资价值，动态调整大类金融资产比例，自上而下决定类属资产配置和债券组合久期、期限结构。同时，通过对信用债发债主体所处行业的景气轮动判断，并结合内部信用评级系统，综合考察信用债券的信用评级，在严谨深入的分析基础上，综合考量各类债券的流动性、供求关系和收益率水平等，自下而上地精选个券。</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1、大类资产配置；2、债券投资策略。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中债-综合全价（1-3年）指数收益率</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债券型基金，属于证券投资基金中中等风险的品种，其长期平均的预期收益和预期风险高于货币市场基金，低于混合型基金和股票型基金。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详见《交银施罗德双轮动债券型证券投资基金招募说明书》“基金的投资”。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A类份额</w:t>
            </w: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A类份额</w:t>
            </w: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A类份额</w:t>
            </w: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0.3%</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A类份额</w:t>
            </w: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A类份额</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申购费（后收费）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N≤1年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B类份额</w:t>
            </w: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1年＜N≤3年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B类份额</w:t>
            </w: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3年＜N≤5年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0.4%</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B类份额</w:t>
            </w: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5年＜N</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B类份额</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7天≤N＜366天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0.1%</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366天≤N＜731天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731天≤N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0.30%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60000.00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0.41%</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（1）政策风险、（2）经济周期风险、（3）利率风险、（4）信用风险、（5）购买力风险、（6）债券收益率曲线变动风险、（7）再投资风险、（8）经营风险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4、交易对手违约风险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5、投资本基金特有的风险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（1）本基金为债券型基金，固定收益类资产的比例不低于基金资产净值的80%，因投资固定收益类资产而面临的固定收益类资产市场的系统性风险和个券风险；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对宏观经济趋势、政策以及债券市场基本面研究是否准确、深入，以及对企业债券的优选和判断是否科学、准确将影响本基金的收益。基本面研究及企业债券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●《交银施罗德双轮动债券型证券投资基金基金合同》、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《交银施罗德双轮动债券型证券投资基金托管协议》、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《交银施罗德双轮动债券型证券投资基金招募说明书》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