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Java 15.9.0.0 -->
  <w:body>
    <w:p w:rsidR="00C92FC0" w:rsidRPr="00EB07BC">
      <w:pPr>
        <w:spacing w:after="0"/>
        <w:rPr>
          <w:rFonts w:hint="eastAsia"/>
          <w:sz w:val="32"/>
        </w:rPr>
      </w:pPr>
    </w:p>
    <w:p w:rsidR="00C92FC0" w:rsidRPr="00EB07BC">
      <w:pPr>
        <w:spacing w:after="0"/>
        <w:rPr>
          <w:sz w:val="32"/>
        </w:rPr>
      </w:pPr>
    </w:p>
    <w:p w:rsidR="00C92FC0" w:rsidRPr="00EB07BC">
      <w:pPr>
        <w:spacing w:after="0"/>
        <w:rPr>
          <w:sz w:val="32"/>
        </w:rPr>
      </w:pPr>
    </w:p>
    <w:p>
      <w:pPr>
        <w:autoSpaceDE w:val="0"/>
        <w:autoSpaceDN w:val="0"/>
        <w:adjustRightInd w:val="0"/>
        <w:snapToGrid w:val="0"/>
        <w:spacing w:before="63" w:after="0" w:line="360" w:lineRule="auto"/>
        <w:ind w:right="13" w:rightChars="6"/>
        <w:jc w:val="center"/>
        <w:rPr>
          <w:rFonts w:ascii="宋体" w:hAnsi="宋体"/>
          <w:b/>
          <w:spacing w:val="2"/>
          <w:w w:val="99"/>
          <w:kern w:val="0"/>
          <w:position w:val="-4"/>
          <w:sz w:val="44"/>
          <w:szCs w:val="44"/>
        </w:rPr>
      </w:pPr>
    </w:p>
    <w:p>
      <w:pPr>
        <w:autoSpaceDE w:val="0"/>
        <w:autoSpaceDN w:val="0"/>
        <w:adjustRightInd w:val="0"/>
        <w:snapToGrid w:val="0"/>
        <w:spacing w:before="63" w:after="0" w:line="360" w:lineRule="auto"/>
        <w:ind w:right="13" w:rightChars="6"/>
        <w:jc w:val="center"/>
        <w:rPr>
          <w:rFonts w:ascii="宋体" w:hAnsi="宋体"/>
          <w:b/>
          <w:spacing w:val="2"/>
          <w:w w:val="99"/>
          <w:kern w:val="0"/>
          <w:position w:val="-4"/>
          <w:sz w:val="44"/>
          <w:szCs w:val="44"/>
        </w:rPr>
      </w:pPr>
    </w:p>
    <w:p>
      <w:pPr>
        <w:autoSpaceDE w:val="0"/>
        <w:autoSpaceDN w:val="0"/>
        <w:adjustRightInd w:val="0"/>
        <w:snapToGrid w:val="0"/>
        <w:spacing w:before="63" w:after="0" w:line="360" w:lineRule="auto"/>
        <w:ind w:right="13" w:rightChars="6"/>
        <w:jc w:val="center"/>
        <w:rPr>
          <w:rFonts w:ascii="宋体" w:hAnsi="宋体"/>
          <w:b/>
          <w:spacing w:val="2"/>
          <w:w w:val="99"/>
          <w:kern w:val="0"/>
          <w:position w:val="-4"/>
          <w:sz w:val="44"/>
          <w:szCs w:val="44"/>
        </w:rPr>
      </w:pPr>
    </w:p>
    <w:p>
      <w:pPr>
        <w:autoSpaceDE w:val="0"/>
        <w:autoSpaceDN w:val="0"/>
        <w:adjustRightInd w:val="0"/>
        <w:snapToGrid w:val="0"/>
        <w:spacing w:before="63" w:after="0" w:line="360" w:lineRule="auto"/>
        <w:ind w:right="13" w:rightChars="6"/>
        <w:jc w:val="center"/>
        <w:rPr>
          <w:rFonts w:ascii="黑体" w:hAnsi="黑体"/>
          <w:b/>
          <w:spacing w:val="2"/>
          <w:w w:val="99"/>
          <w:kern w:val="0"/>
          <w:position w:val="-4"/>
          <w:sz w:val="44"/>
          <w:szCs w:val="44"/>
        </w:rPr>
      </w:pPr>
      <w:r>
        <w:rPr>
          <w:rFonts w:eastAsia="宋体"/>
          <w:b/>
          <w:spacing w:val="2"/>
          <w:w w:val="99"/>
          <w:kern w:val="0"/>
          <w:position w:val="-4"/>
          <w:sz w:val="44"/>
          <w:szCs w:val="44"/>
        </w:rPr>
        <w:t>交银施罗德启衡混合型证券投资基金招募说明书（更新）</w:t>
      </w:r>
    </w:p>
    <w:p>
      <w:pPr>
        <w:snapToGrid w:val="0"/>
        <w:spacing w:after="0" w:line="360" w:lineRule="auto"/>
        <w:jc w:val="center"/>
        <w:rPr>
          <w:rFonts w:ascii="宋体" w:eastAsia="宋体" w:hAnsi="宋体"/>
          <w:b/>
          <w:sz w:val="30"/>
          <w:szCs w:val="30"/>
        </w:rPr>
      </w:pPr>
    </w:p>
    <w:p>
      <w:pPr>
        <w:autoSpaceDE w:val="0"/>
        <w:autoSpaceDN w:val="0"/>
        <w:adjustRightInd w:val="0"/>
        <w:snapToGrid w:val="0"/>
        <w:spacing w:after="0" w:line="360" w:lineRule="auto"/>
        <w:ind w:right="13" w:rightChars="6"/>
        <w:jc w:val="center"/>
        <w:rPr>
          <w:rFonts w:ascii="宋体" w:hAnsi="宋体"/>
          <w:spacing w:val="2"/>
          <w:w w:val="99"/>
          <w:kern w:val="0"/>
          <w:sz w:val="32"/>
          <w:szCs w:val="32"/>
        </w:rPr>
      </w:pPr>
    </w:p>
    <w:p>
      <w:pPr>
        <w:autoSpaceDE w:val="0"/>
        <w:autoSpaceDN w:val="0"/>
        <w:adjustRightInd w:val="0"/>
        <w:snapToGrid w:val="0"/>
        <w:spacing w:after="0" w:line="360" w:lineRule="auto"/>
        <w:ind w:right="13" w:rightChars="6"/>
        <w:jc w:val="center"/>
        <w:rPr>
          <w:rFonts w:ascii="宋体" w:hAnsi="宋体"/>
          <w:spacing w:val="2"/>
          <w:w w:val="99"/>
          <w:kern w:val="0"/>
          <w:sz w:val="32"/>
          <w:szCs w:val="32"/>
        </w:rPr>
      </w:pPr>
    </w:p>
    <w:p>
      <w:pPr>
        <w:autoSpaceDE w:val="0"/>
        <w:autoSpaceDN w:val="0"/>
        <w:adjustRightInd w:val="0"/>
        <w:snapToGrid w:val="0"/>
        <w:spacing w:after="0" w:line="360" w:lineRule="auto"/>
        <w:ind w:right="13" w:rightChars="6"/>
        <w:jc w:val="center"/>
        <w:rPr>
          <w:rFonts w:ascii="宋体" w:hAnsi="宋体"/>
          <w:spacing w:val="2"/>
          <w:w w:val="99"/>
          <w:kern w:val="0"/>
          <w:sz w:val="32"/>
          <w:szCs w:val="32"/>
        </w:rPr>
      </w:pPr>
    </w:p>
    <w:p>
      <w:pPr>
        <w:autoSpaceDE w:val="0"/>
        <w:autoSpaceDN w:val="0"/>
        <w:adjustRightInd w:val="0"/>
        <w:snapToGrid w:val="0"/>
        <w:spacing w:after="0" w:line="360" w:lineRule="auto"/>
        <w:ind w:right="13" w:rightChars="6"/>
        <w:jc w:val="center"/>
        <w:rPr>
          <w:rFonts w:ascii="宋体" w:hAnsi="宋体"/>
          <w:spacing w:val="2"/>
          <w:w w:val="99"/>
          <w:kern w:val="0"/>
          <w:sz w:val="32"/>
          <w:szCs w:val="32"/>
        </w:rPr>
      </w:pPr>
    </w:p>
    <w:p>
      <w:pPr>
        <w:autoSpaceDE w:val="0"/>
        <w:autoSpaceDN w:val="0"/>
        <w:adjustRightInd w:val="0"/>
        <w:snapToGrid w:val="0"/>
        <w:spacing w:after="0" w:line="360" w:lineRule="auto"/>
        <w:ind w:right="13" w:rightChars="6"/>
        <w:jc w:val="center"/>
        <w:rPr>
          <w:rFonts w:ascii="宋体" w:hAnsi="宋体"/>
          <w:spacing w:val="2"/>
          <w:w w:val="99"/>
          <w:kern w:val="0"/>
          <w:sz w:val="32"/>
          <w:szCs w:val="32"/>
        </w:rPr>
      </w:pPr>
    </w:p>
    <w:p>
      <w:pPr>
        <w:autoSpaceDE w:val="0"/>
        <w:autoSpaceDN w:val="0"/>
        <w:adjustRightInd w:val="0"/>
        <w:snapToGrid w:val="0"/>
        <w:spacing w:after="0" w:line="360" w:lineRule="auto"/>
        <w:ind w:right="13" w:rightChars="6"/>
        <w:jc w:val="center"/>
        <w:rPr>
          <w:rFonts w:ascii="宋体" w:hAnsi="宋体"/>
          <w:spacing w:val="2"/>
          <w:w w:val="99"/>
          <w:kern w:val="0"/>
          <w:sz w:val="32"/>
          <w:szCs w:val="32"/>
        </w:rPr>
      </w:pPr>
    </w:p>
    <w:p>
      <w:pPr>
        <w:autoSpaceDE w:val="0"/>
        <w:autoSpaceDN w:val="0"/>
        <w:adjustRightInd w:val="0"/>
        <w:snapToGrid w:val="0"/>
        <w:spacing w:after="0" w:line="360" w:lineRule="auto"/>
        <w:ind w:right="13" w:rightChars="6"/>
        <w:jc w:val="center"/>
        <w:rPr>
          <w:rFonts w:ascii="宋体" w:hAnsi="宋体"/>
          <w:b/>
          <w:kern w:val="0"/>
          <w:sz w:val="28"/>
          <w:szCs w:val="32"/>
        </w:rPr>
      </w:pPr>
      <w:r>
        <w:rPr>
          <w:rFonts w:ascii="宋体" w:hAnsi="宋体"/>
          <w:b/>
          <w:spacing w:val="2"/>
          <w:w w:val="99"/>
          <w:kern w:val="0"/>
          <w:sz w:val="28"/>
          <w:szCs w:val="32"/>
        </w:rPr>
        <w:t>基金管理人：交银施罗德基金管理有限公司</w:t>
      </w:r>
    </w:p>
    <w:p>
      <w:pPr>
        <w:autoSpaceDE w:val="0"/>
        <w:autoSpaceDN w:val="0"/>
        <w:adjustRightInd w:val="0"/>
        <w:snapToGrid w:val="0"/>
        <w:spacing w:after="0" w:line="360" w:lineRule="auto"/>
        <w:ind w:right="13" w:rightChars="6"/>
        <w:jc w:val="center"/>
        <w:rPr>
          <w:rFonts w:ascii="宋体" w:hAnsi="宋体"/>
          <w:b/>
          <w:kern w:val="0"/>
          <w:sz w:val="28"/>
          <w:szCs w:val="32"/>
        </w:rPr>
      </w:pPr>
      <w:r>
        <w:rPr>
          <w:rFonts w:ascii="宋体" w:hAnsi="宋体"/>
          <w:b/>
          <w:spacing w:val="2"/>
          <w:w w:val="99"/>
          <w:kern w:val="0"/>
          <w:sz w:val="28"/>
          <w:szCs w:val="32"/>
        </w:rPr>
        <w:t>基金托管人：招商银行股份有限公司</w:t>
      </w:r>
    </w:p>
    <w:p>
      <w:pPr>
        <w:autoSpaceDE w:val="0"/>
        <w:autoSpaceDN w:val="0"/>
        <w:adjustRightInd w:val="0"/>
        <w:snapToGrid w:val="0"/>
        <w:spacing w:after="0" w:line="360" w:lineRule="auto"/>
        <w:ind w:right="13" w:rightChars="6"/>
        <w:jc w:val="center"/>
        <w:rPr>
          <w:rFonts w:ascii="宋体" w:hAnsi="宋体"/>
          <w:spacing w:val="2"/>
          <w:w w:val="99"/>
          <w:kern w:val="0"/>
          <w:sz w:val="32"/>
          <w:szCs w:val="32"/>
        </w:rPr>
      </w:pPr>
    </w:p>
    <w:p>
      <w:pPr>
        <w:autoSpaceDE w:val="0"/>
        <w:autoSpaceDN w:val="0"/>
        <w:adjustRightInd w:val="0"/>
        <w:snapToGrid w:val="0"/>
        <w:spacing w:after="0" w:line="360" w:lineRule="auto"/>
        <w:ind w:right="13" w:rightChars="6"/>
        <w:jc w:val="center"/>
        <w:rPr>
          <w:rFonts w:ascii="宋体" w:hAnsi="宋体"/>
          <w:spacing w:val="2"/>
          <w:w w:val="99"/>
          <w:kern w:val="0"/>
          <w:sz w:val="32"/>
          <w:szCs w:val="32"/>
        </w:rPr>
      </w:pPr>
    </w:p>
    <w:p>
      <w:pPr>
        <w:autoSpaceDE w:val="0"/>
        <w:autoSpaceDN w:val="0"/>
        <w:adjustRightInd w:val="0"/>
        <w:snapToGrid w:val="0"/>
        <w:spacing w:after="0" w:line="360" w:lineRule="auto"/>
        <w:ind w:right="13" w:rightChars="6"/>
        <w:jc w:val="center"/>
        <w:rPr>
          <w:rFonts w:ascii="宋体" w:hAnsi="宋体"/>
          <w:b/>
          <w:kern w:val="0"/>
          <w:sz w:val="28"/>
          <w:szCs w:val="32"/>
        </w:rPr>
      </w:pPr>
      <w:r>
        <w:rPr>
          <w:rFonts w:ascii="宋体" w:hAnsi="宋体"/>
          <w:b/>
          <w:spacing w:val="2"/>
          <w:w w:val="99"/>
          <w:kern w:val="0"/>
          <w:sz w:val="28"/>
          <w:szCs w:val="32"/>
        </w:rPr>
        <w:t>二〇二六年九月</w:t>
      </w:r>
    </w:p>
    <w:p>
      <w:pPr>
        <w:autoSpaceDE w:val="0"/>
        <w:autoSpaceDN w:val="0"/>
        <w:adjustRightInd w:val="0"/>
        <w:snapToGrid w:val="0"/>
        <w:spacing w:after="0" w:line="360" w:lineRule="auto"/>
        <w:ind w:left="1347" w:right="13" w:rightChars="6"/>
        <w:rPr>
          <w:rFonts w:ascii="宋体" w:hAnsi="宋体"/>
          <w:kern w:val="0"/>
          <w:sz w:val="32"/>
          <w:szCs w:val="32"/>
        </w:rPr>
        <w:sectPr>
          <w:headerReference w:type="even" r:id="rId5"/>
          <w:headerReference w:type="default" r:id="rId6"/>
          <w:footerReference w:type="even" r:id="rId7"/>
          <w:footerReference w:type="default" r:id="rId8"/>
          <w:headerReference w:type="first" r:id="rId9"/>
          <w:footerReference w:type="first" r:id="rId10"/>
          <w:pgSz w:w="11920" w:h="16840"/>
          <w:pgMar w:top="1440" w:right="1680" w:bottom="280" w:left="1680" w:header="900" w:footer="1073" w:gutter="0"/>
          <w:cols w:num="1" w:space="720"/>
          <w:titlePg/>
          <w:docGrid w:linePitch="286" w:charSpace="0"/>
        </w:sectPr>
      </w:pPr>
    </w:p>
    <w:p>
      <w:pPr>
        <w:pStyle w:val="Heading1"/>
        <w:snapToGrid w:val="0"/>
        <w:spacing w:before="240" w:beforeLines="0" w:after="0"/>
        <w:rPr>
          <w:rFonts w:ascii="宋体" w:hAnsi="宋体"/>
          <w:kern w:val="0"/>
        </w:rPr>
      </w:pPr>
      <w:bookmarkStart w:id="0" w:name="_Toc324920538"/>
      <w:bookmarkStart w:id="1" w:name="_Toc496884613"/>
      <w:bookmarkStart w:id="2" w:name="_Toc256000000"/>
      <w:bookmarkStart w:id="3" w:name="_Toc256000027"/>
      <w:r>
        <w:rPr>
          <w:rFonts w:ascii="宋体" w:hAnsi="宋体"/>
          <w:kern w:val="0"/>
        </w:rPr>
        <w:t>重要提示</w:t>
      </w:r>
      <w:bookmarkEnd w:id="3"/>
      <w:bookmarkEnd w:id="2"/>
      <w:bookmarkEnd w:id="0"/>
      <w:bookmarkEnd w:id="1"/>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交银施罗德启衡混合型证券投资基金（以下简称“本基金”）经2022年8月10日中国证券监督管理委员会（以下简称“中国证监会”）证监许可【2022】1765号文准予募集注册。本基金基金合同于2022年11月30日正式生效。</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基金管理人保证招募说明书的内容真实、准确、完整。本招募说明书经中国证监会注册，但中国证监会对本基金募集的注册，并不表明其对本基金的投资价值和市场前景作出实质性判断或保证，也不表明投资于本基金没有风险。</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基金管理人依照恪尽职守、诚实信用、谨慎勤勉的原则管理和运用基金财产，但不保证投资本基金一定盈利，也不保证基金份额持有人的最低收益；因基金价格可升可跌，亦不保证基金份额持有人能全数取回其原本投资。</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本基金投资于证券市场，基金净值会因为证券市场波动等因素产生波动。投资人在投资本基金前，需全面认识本基金产品的风险收益特征和产品特性，充分考虑自身的风险承受能力，理性判断市场，对投资本基金的意愿、时机、数量等投资行为作出独立决策。投资人根据所持有份额享受基金的收益，但同时也需承担相应的投资风险。投资本基金可能遇到的风险包括：因受到经济因素、政治因素、投资心理和交易制度等各种因素的影响而引起的市场风险；基金管理人在基金管理运作过程中产生的基金管理风险；流动性风险（包括实施侧袋机制时的特定风险）；信用风险；投资股指期货的特定风险；投资科创板股票的特定风险；投资资产支持证券的特定风险；投资流通受限证券的特定风险；投资港股通标的股票的特定风险；投资存托凭证的特定风险；连续50个工作日出现基金份额持有人数量不满200人或基金资产净值低于5000万元情形时基金合同终止的风险；投资本基金的其他风险等等。本基金是一只混合型基金，其预期风险和预期收益理论上高于债券型基金和货币市场基金，低于股票型基金。</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本基金可投资于股指期货，股指期货作为一种金融衍生品，其价值取决于一种或多种基础资产或指数，其评价主要源自于对挂钩资产的价格与价格波动的预期。投资股指期货所面临的风险主要是市场风险、流动性风险、基差风险、保证金风险、信用风险和操作风险。</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本基金可投资资产支持证券，资产支持证券具有一定的价格波动风险、流动性风险、信用风险等风险，基金管理人将本着谨慎和控制风险的原则进行资产支持证券投资，请基金份额持有人关注包括投资资产支持证券可能导致的基金净值波动在内的各项风险。</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基金投资流动受限证券将面临证券市场流动性风险，主要表现在几个方面：基金建仓困难，或建仓成本很高；基金资产不能迅速转变成现金，或变现成本很高；不能应付可能出现的投资者大额赎回的风险；证券投资中个券和个股的流动性风险等。</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本基金投资内地与香港股票市场交易互联互通机制允许买卖的规定范围内的香港联合交易所有限公司（以下简称“香港联合交易所”）上市的股票（以下简称“港股通标的股票”）的，会面临港股通机制下因投资环境、投资标的、市场制度以及交易规则等差异带来的特有风险，包括港股市场股价波动较大的风险（港股市场实行T+0回转交易，且对个股不设涨跌幅限制，港股股价可能表现出比A股更为剧烈的股价波动）、汇率风险（汇率波动可能对基金的投资收益造成损失）、港股通机制下交易日不连贯可能带来的风险（在内地开市香港休市的情形下，港股通不能正常交易，港股不能及时卖出，可能带来一定的流动性风险）等。具体风险请查阅本基金招募说明书“风险揭示”章节的具体内容。</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基金可根据投资策略需要或不同配置地市场环境的变化，选择将部分基金资产投资于港股或选择不将基金资产投资于港股，基金资产并非必然投资港股。</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本基金可投资国内依法发行上市的存托凭证，基金净值可能受到存托凭证的境外基础证券价格波动影响，与存托凭证的境外基础证券、境外基础证券的发行人及境内外交易机制相关的风险可能直接或间接成为本基金风险。具体风险烦请查阅本招募说明书“风险揭示”章节内容。</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本基金可根据投资策略需要或市场环境的变化，选择将部分基金资产投资于存托凭证或选择不将基金资产投资于存托凭证，基金资产并非必然投资存托凭证。</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投资有风险，投资人在投资本基金前应认真阅读本基金的招募说明书、基金合同、基金产品资料概要等信息披露文件，自主判断基金的投资价值，自主作出投资决策，自行承担投资风险。基金的过往业绩并不代表未来表现。基金管理人管理的其他基金的业绩并不构成对本基金业绩表现的保证。基金管理人提醒投资者基金投资的“买者自负”原则，在投资者作出投资决策后，基金运营状况与基金净值变化引致的投资风险，由投资者自行负责。</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本基金单一投资者持有基金份额数不得超过基金份额总数的50%，但在基金运作过程中因基金份额赎回等情形导致被动超过前述50%比例的除外。</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本招募说明书所载内容截止日为2026年09月02日（其中业绩比较基准相关信息的更新截止日为2026年09月21日），有关财务和业绩表现数据截止日为2026年06月30日，财务和业绩表现数据未经审计。</w:t>
      </w:r>
    </w:p>
    <w:p>
      <w:pPr>
        <w:autoSpaceDE w:val="0"/>
        <w:autoSpaceDN w:val="0"/>
        <w:adjustRightInd w:val="0"/>
        <w:snapToGrid w:val="0"/>
        <w:spacing w:before="51" w:after="0" w:line="360" w:lineRule="auto"/>
        <w:ind w:left="0" w:right="0" w:firstLine="480" w:rightChars="0"/>
        <w:rPr>
          <w:rFonts w:ascii="宋体" w:hAnsi="宋体"/>
          <w:kern w:val="0"/>
          <w:szCs w:val="24"/>
        </w:rPr>
        <w:sectPr>
          <w:headerReference w:type="default" r:id="rId11"/>
          <w:pgSz w:w="11920" w:h="16840"/>
          <w:pgMar w:top="1440" w:right="1680" w:bottom="280" w:left="1680" w:header="0" w:footer="1073" w:gutter="0"/>
          <w:pgNumType w:start="1"/>
          <w:cols w:num="1" w:space="720"/>
        </w:sectPr>
      </w:pPr>
    </w:p>
    <w:p>
      <w:pPr>
        <w:pStyle w:val="20"/>
        <w:snapToGrid w:val="0"/>
        <w:spacing w:after="0" w:line="360" w:lineRule="auto"/>
        <w:jc w:val="center"/>
        <w:rPr>
          <w:rFonts w:ascii="宋体" w:hAnsi="宋体"/>
          <w:color w:val="auto"/>
        </w:rPr>
      </w:pPr>
      <w:r>
        <w:rPr>
          <w:rFonts w:ascii="宋体" w:hAnsi="宋体"/>
          <w:color w:val="auto"/>
          <w:position w:val="-4"/>
          <w:sz w:val="30"/>
          <w:szCs w:val="30"/>
        </w:rPr>
        <w:t>目</w:t>
      </w:r>
      <w:r>
        <w:rPr>
          <w:rFonts w:ascii="宋体" w:hAnsi="宋体"/>
          <w:color w:val="auto"/>
          <w:position w:val="-4"/>
          <w:sz w:val="30"/>
          <w:szCs w:val="30"/>
        </w:rPr>
        <w:tab/>
      </w:r>
      <w:r>
        <w:rPr>
          <w:rFonts w:ascii="宋体" w:hAnsi="宋体"/>
          <w:color w:val="auto"/>
          <w:position w:val="-4"/>
          <w:sz w:val="30"/>
          <w:szCs w:val="30"/>
        </w:rPr>
        <w:t>录</w:t>
      </w:r>
      <w:r>
        <w:rPr>
          <w:rFonts w:ascii="宋体" w:hAnsi="宋体"/>
          <w:color w:val="auto"/>
        </w:rPr>
        <w:fldChar w:fldCharType="begin"/>
      </w:r>
      <w:r>
        <w:rPr>
          <w:rFonts w:ascii="宋体" w:hAnsi="宋体"/>
          <w:color w:val="auto"/>
        </w:rPr>
        <w:instrText>TOC \o "1-3" \h \z \u</w:instrText>
      </w:r>
      <w:r>
        <w:rPr>
          <w:rFonts w:ascii="宋体" w:hAnsi="宋体"/>
          <w:color w:val="auto"/>
        </w:rPr>
        <w:fldChar w:fldCharType="separate"/>
      </w:r>
    </w:p>
    <w:p>
      <w:pPr>
        <w:pStyle w:val="TOC1"/>
        <w:tabs>
          <w:tab w:val="right" w:leader="dot" w:pos="8650"/>
        </w:tabs>
        <w:rPr>
          <w:rFonts w:asciiTheme="minorHAnsi" w:hAnsiTheme="minorHAnsi"/>
          <w:noProof/>
          <w:sz w:val="22"/>
        </w:rPr>
      </w:pPr>
      <w:r>
        <w:fldChar w:fldCharType="begin"/>
      </w:r>
      <w:r>
        <w:rPr>
          <w:rStyle w:val="Hyperlink"/>
        </w:rPr>
        <w:instrText xml:space="preserve"> HYPERLINK \l "_Toc256000027" </w:instrText>
      </w:r>
      <w:r>
        <w:fldChar w:fldCharType="separate"/>
      </w:r>
      <w:r>
        <w:rPr>
          <w:rStyle w:val="Hyperlink"/>
          <w:rFonts w:ascii="宋体" w:hAnsi="宋体"/>
          <w:kern w:val="0"/>
        </w:rPr>
        <w:t>重要提示</w:t>
      </w:r>
      <w:r>
        <w:rPr>
          <w:rStyle w:val="Hyperlink"/>
        </w:rPr>
        <w:tab/>
      </w:r>
      <w:r>
        <w:fldChar w:fldCharType="begin"/>
      </w:r>
      <w:r>
        <w:rPr>
          <w:rStyle w:val="Hyperlink"/>
        </w:rPr>
        <w:instrText xml:space="preserve"> PAGEREF _Toc256000027 \h </w:instrText>
      </w:r>
      <w:r>
        <w:fldChar w:fldCharType="separate"/>
      </w:r>
      <w:r>
        <w:rPr>
          <w:rStyle w:val="Hyperlink"/>
        </w:rPr>
        <w:t>1</w:t>
      </w:r>
      <w:r>
        <w:fldChar w:fldCharType="end"/>
      </w:r>
      <w:r>
        <w:fldChar w:fldCharType="end"/>
      </w:r>
    </w:p>
    <w:p>
      <w:pPr>
        <w:pStyle w:val="TOC1"/>
        <w:tabs>
          <w:tab w:val="right" w:leader="dot" w:pos="8650"/>
        </w:tabs>
        <w:rPr>
          <w:rFonts w:asciiTheme="minorHAnsi" w:hAnsiTheme="minorHAnsi"/>
          <w:noProof/>
          <w:sz w:val="22"/>
        </w:rPr>
      </w:pPr>
      <w:r>
        <w:fldChar w:fldCharType="begin"/>
      </w:r>
      <w:r>
        <w:rPr>
          <w:rStyle w:val="Hyperlink"/>
        </w:rPr>
        <w:instrText xml:space="preserve"> HYPERLINK \l "_Toc256000028" </w:instrText>
      </w:r>
      <w:r>
        <w:fldChar w:fldCharType="separate"/>
      </w:r>
      <w:r>
        <w:rPr>
          <w:rStyle w:val="Hyperlink"/>
          <w:rFonts w:ascii="宋体" w:hAnsi="宋体"/>
        </w:rPr>
        <w:t>一、绪言</w:t>
      </w:r>
      <w:r>
        <w:rPr>
          <w:rStyle w:val="Hyperlink"/>
        </w:rPr>
        <w:tab/>
      </w:r>
      <w:r>
        <w:fldChar w:fldCharType="begin"/>
      </w:r>
      <w:r>
        <w:rPr>
          <w:rStyle w:val="Hyperlink"/>
        </w:rPr>
        <w:instrText xml:space="preserve"> PAGEREF _Toc256000028 \h </w:instrText>
      </w:r>
      <w:r>
        <w:fldChar w:fldCharType="separate"/>
      </w:r>
      <w:r>
        <w:rPr>
          <w:rStyle w:val="Hyperlink"/>
        </w:rPr>
        <w:t>5</w:t>
      </w:r>
      <w:r>
        <w:fldChar w:fldCharType="end"/>
      </w:r>
      <w:r>
        <w:fldChar w:fldCharType="end"/>
      </w:r>
    </w:p>
    <w:p>
      <w:pPr>
        <w:pStyle w:val="TOC1"/>
        <w:tabs>
          <w:tab w:val="right" w:leader="dot" w:pos="8650"/>
        </w:tabs>
        <w:rPr>
          <w:rFonts w:asciiTheme="minorHAnsi" w:hAnsiTheme="minorHAnsi"/>
          <w:noProof/>
          <w:sz w:val="22"/>
        </w:rPr>
      </w:pPr>
      <w:r>
        <w:fldChar w:fldCharType="begin"/>
      </w:r>
      <w:r>
        <w:rPr>
          <w:rStyle w:val="Hyperlink"/>
        </w:rPr>
        <w:instrText xml:space="preserve"> HYPERLINK \l "_Toc256000029" </w:instrText>
      </w:r>
      <w:r>
        <w:fldChar w:fldCharType="separate"/>
      </w:r>
      <w:r>
        <w:rPr>
          <w:rStyle w:val="Hyperlink"/>
          <w:rFonts w:ascii="宋体" w:hAnsi="宋体"/>
        </w:rPr>
        <w:t>二、释义</w:t>
      </w:r>
      <w:r>
        <w:rPr>
          <w:rStyle w:val="Hyperlink"/>
        </w:rPr>
        <w:tab/>
      </w:r>
      <w:r>
        <w:fldChar w:fldCharType="begin"/>
      </w:r>
      <w:r>
        <w:rPr>
          <w:rStyle w:val="Hyperlink"/>
        </w:rPr>
        <w:instrText xml:space="preserve"> PAGEREF _Toc256000029 \h </w:instrText>
      </w:r>
      <w:r>
        <w:fldChar w:fldCharType="separate"/>
      </w:r>
      <w:r>
        <w:rPr>
          <w:rStyle w:val="Hyperlink"/>
        </w:rPr>
        <w:t>6</w:t>
      </w:r>
      <w:r>
        <w:fldChar w:fldCharType="end"/>
      </w:r>
      <w:r>
        <w:fldChar w:fldCharType="end"/>
      </w:r>
    </w:p>
    <w:p>
      <w:pPr>
        <w:pStyle w:val="TOC1"/>
        <w:tabs>
          <w:tab w:val="right" w:leader="dot" w:pos="8650"/>
        </w:tabs>
        <w:rPr>
          <w:rFonts w:asciiTheme="minorHAnsi" w:hAnsiTheme="minorHAnsi"/>
          <w:noProof/>
          <w:sz w:val="22"/>
        </w:rPr>
      </w:pPr>
      <w:r>
        <w:fldChar w:fldCharType="begin"/>
      </w:r>
      <w:r>
        <w:rPr>
          <w:rStyle w:val="Hyperlink"/>
        </w:rPr>
        <w:instrText xml:space="preserve"> HYPERLINK \l "_Toc256000030" </w:instrText>
      </w:r>
      <w:r>
        <w:fldChar w:fldCharType="separate"/>
      </w:r>
      <w:r>
        <w:rPr>
          <w:rStyle w:val="Hyperlink"/>
          <w:rFonts w:ascii="宋体" w:hAnsi="宋体"/>
        </w:rPr>
        <w:t>三、基金管理人</w:t>
      </w:r>
      <w:r>
        <w:rPr>
          <w:rStyle w:val="Hyperlink"/>
        </w:rPr>
        <w:tab/>
      </w:r>
      <w:r>
        <w:fldChar w:fldCharType="begin"/>
      </w:r>
      <w:r>
        <w:rPr>
          <w:rStyle w:val="Hyperlink"/>
        </w:rPr>
        <w:instrText xml:space="preserve"> PAGEREF _Toc256000030 \h </w:instrText>
      </w:r>
      <w:r>
        <w:fldChar w:fldCharType="separate"/>
      </w:r>
      <w:r>
        <w:rPr>
          <w:rStyle w:val="Hyperlink"/>
        </w:rPr>
        <w:t>11</w:t>
      </w:r>
      <w:r>
        <w:fldChar w:fldCharType="end"/>
      </w:r>
      <w:r>
        <w:fldChar w:fldCharType="end"/>
      </w:r>
    </w:p>
    <w:p>
      <w:pPr>
        <w:pStyle w:val="TOC1"/>
        <w:tabs>
          <w:tab w:val="right" w:leader="dot" w:pos="8650"/>
        </w:tabs>
        <w:rPr>
          <w:rFonts w:asciiTheme="minorHAnsi" w:hAnsiTheme="minorHAnsi"/>
          <w:noProof/>
          <w:sz w:val="22"/>
        </w:rPr>
      </w:pPr>
      <w:r>
        <w:fldChar w:fldCharType="begin"/>
      </w:r>
      <w:r>
        <w:rPr>
          <w:rStyle w:val="Hyperlink"/>
        </w:rPr>
        <w:instrText xml:space="preserve"> HYPERLINK \l "_Toc256000031" </w:instrText>
      </w:r>
      <w:r>
        <w:fldChar w:fldCharType="separate"/>
      </w:r>
      <w:r>
        <w:rPr>
          <w:rStyle w:val="Hyperlink"/>
          <w:rFonts w:ascii="宋体" w:hAnsi="宋体"/>
        </w:rPr>
        <w:t>四、基金托管人</w:t>
      </w:r>
      <w:r>
        <w:rPr>
          <w:rStyle w:val="Hyperlink"/>
        </w:rPr>
        <w:tab/>
      </w:r>
      <w:r>
        <w:fldChar w:fldCharType="begin"/>
      </w:r>
      <w:r>
        <w:rPr>
          <w:rStyle w:val="Hyperlink"/>
        </w:rPr>
        <w:instrText xml:space="preserve"> PAGEREF _Toc256000031 \h </w:instrText>
      </w:r>
      <w:r>
        <w:fldChar w:fldCharType="separate"/>
      </w:r>
      <w:r>
        <w:rPr>
          <w:rStyle w:val="Hyperlink"/>
        </w:rPr>
        <w:t>18</w:t>
      </w:r>
      <w:r>
        <w:fldChar w:fldCharType="end"/>
      </w:r>
      <w:r>
        <w:fldChar w:fldCharType="end"/>
      </w:r>
    </w:p>
    <w:p>
      <w:pPr>
        <w:pStyle w:val="TOC1"/>
        <w:tabs>
          <w:tab w:val="right" w:leader="dot" w:pos="8650"/>
        </w:tabs>
        <w:rPr>
          <w:rFonts w:asciiTheme="minorHAnsi" w:hAnsiTheme="minorHAnsi"/>
          <w:noProof/>
          <w:sz w:val="22"/>
        </w:rPr>
      </w:pPr>
      <w:r>
        <w:fldChar w:fldCharType="begin"/>
      </w:r>
      <w:r>
        <w:rPr>
          <w:rStyle w:val="Hyperlink"/>
        </w:rPr>
        <w:instrText xml:space="preserve"> HYPERLINK \l "_Toc256000032" </w:instrText>
      </w:r>
      <w:r>
        <w:fldChar w:fldCharType="separate"/>
      </w:r>
      <w:r>
        <w:rPr>
          <w:rStyle w:val="Hyperlink"/>
          <w:rFonts w:ascii="宋体" w:hAnsi="宋体"/>
        </w:rPr>
        <w:t>五、相关服务机构</w:t>
      </w:r>
      <w:r>
        <w:rPr>
          <w:rStyle w:val="Hyperlink"/>
        </w:rPr>
        <w:tab/>
      </w:r>
      <w:r>
        <w:fldChar w:fldCharType="begin"/>
      </w:r>
      <w:r>
        <w:rPr>
          <w:rStyle w:val="Hyperlink"/>
        </w:rPr>
        <w:instrText xml:space="preserve"> PAGEREF _Toc256000032 \h </w:instrText>
      </w:r>
      <w:r>
        <w:fldChar w:fldCharType="separate"/>
      </w:r>
      <w:r>
        <w:rPr>
          <w:rStyle w:val="Hyperlink"/>
        </w:rPr>
        <w:t>25</w:t>
      </w:r>
      <w:r>
        <w:fldChar w:fldCharType="end"/>
      </w:r>
      <w:r>
        <w:fldChar w:fldCharType="end"/>
      </w:r>
    </w:p>
    <w:p>
      <w:pPr>
        <w:pStyle w:val="TOC1"/>
        <w:tabs>
          <w:tab w:val="right" w:leader="dot" w:pos="8650"/>
        </w:tabs>
        <w:rPr>
          <w:rFonts w:asciiTheme="minorHAnsi" w:hAnsiTheme="minorHAnsi"/>
          <w:noProof/>
          <w:sz w:val="22"/>
        </w:rPr>
      </w:pPr>
      <w:r>
        <w:fldChar w:fldCharType="begin"/>
      </w:r>
      <w:r>
        <w:rPr>
          <w:rStyle w:val="Hyperlink"/>
        </w:rPr>
        <w:instrText xml:space="preserve"> HYPERLINK \l "_Toc256000033" </w:instrText>
      </w:r>
      <w:r>
        <w:fldChar w:fldCharType="separate"/>
      </w:r>
      <w:r>
        <w:rPr>
          <w:rStyle w:val="Hyperlink"/>
          <w:rFonts w:ascii="宋体" w:hAnsi="宋体"/>
        </w:rPr>
        <w:t>六、基金的募集</w:t>
      </w:r>
      <w:r>
        <w:rPr>
          <w:rStyle w:val="Hyperlink"/>
        </w:rPr>
        <w:tab/>
      </w:r>
      <w:r>
        <w:fldChar w:fldCharType="begin"/>
      </w:r>
      <w:r>
        <w:rPr>
          <w:rStyle w:val="Hyperlink"/>
        </w:rPr>
        <w:instrText xml:space="preserve"> PAGEREF _Toc256000033 \h </w:instrText>
      </w:r>
      <w:r>
        <w:fldChar w:fldCharType="separate"/>
      </w:r>
      <w:r>
        <w:rPr>
          <w:rStyle w:val="Hyperlink"/>
        </w:rPr>
        <w:t>46</w:t>
      </w:r>
      <w:r>
        <w:fldChar w:fldCharType="end"/>
      </w:r>
      <w:r>
        <w:fldChar w:fldCharType="end"/>
      </w:r>
    </w:p>
    <w:p>
      <w:pPr>
        <w:pStyle w:val="TOC1"/>
        <w:tabs>
          <w:tab w:val="right" w:leader="dot" w:pos="8650"/>
        </w:tabs>
        <w:rPr>
          <w:rFonts w:asciiTheme="minorHAnsi" w:hAnsiTheme="minorHAnsi"/>
          <w:noProof/>
          <w:sz w:val="22"/>
        </w:rPr>
      </w:pPr>
      <w:r>
        <w:fldChar w:fldCharType="begin"/>
      </w:r>
      <w:r>
        <w:rPr>
          <w:rStyle w:val="Hyperlink"/>
        </w:rPr>
        <w:instrText xml:space="preserve"> HYPERLINK \l "_Toc256000034" </w:instrText>
      </w:r>
      <w:r>
        <w:fldChar w:fldCharType="separate"/>
      </w:r>
      <w:r>
        <w:rPr>
          <w:rStyle w:val="Hyperlink"/>
          <w:rFonts w:ascii="宋体" w:hAnsi="宋体"/>
        </w:rPr>
        <w:t>七、基金合同的生效</w:t>
      </w:r>
      <w:r>
        <w:rPr>
          <w:rStyle w:val="Hyperlink"/>
        </w:rPr>
        <w:tab/>
      </w:r>
      <w:r>
        <w:fldChar w:fldCharType="begin"/>
      </w:r>
      <w:r>
        <w:rPr>
          <w:rStyle w:val="Hyperlink"/>
        </w:rPr>
        <w:instrText xml:space="preserve"> PAGEREF _Toc256000034 \h </w:instrText>
      </w:r>
      <w:r>
        <w:fldChar w:fldCharType="separate"/>
      </w:r>
      <w:r>
        <w:rPr>
          <w:rStyle w:val="Hyperlink"/>
        </w:rPr>
        <w:t>47</w:t>
      </w:r>
      <w:r>
        <w:fldChar w:fldCharType="end"/>
      </w:r>
      <w:r>
        <w:fldChar w:fldCharType="end"/>
      </w:r>
    </w:p>
    <w:p>
      <w:pPr>
        <w:pStyle w:val="TOC1"/>
        <w:tabs>
          <w:tab w:val="right" w:leader="dot" w:pos="8650"/>
        </w:tabs>
        <w:rPr>
          <w:rFonts w:asciiTheme="minorHAnsi" w:hAnsiTheme="minorHAnsi"/>
          <w:noProof/>
          <w:sz w:val="22"/>
        </w:rPr>
      </w:pPr>
      <w:r>
        <w:fldChar w:fldCharType="begin"/>
      </w:r>
      <w:r>
        <w:rPr>
          <w:rStyle w:val="Hyperlink"/>
        </w:rPr>
        <w:instrText xml:space="preserve"> HYPERLINK \l "_Toc256000035" </w:instrText>
      </w:r>
      <w:r>
        <w:fldChar w:fldCharType="separate"/>
      </w:r>
      <w:r>
        <w:rPr>
          <w:rStyle w:val="Hyperlink"/>
          <w:rFonts w:ascii="宋体" w:hAnsi="宋体"/>
        </w:rPr>
        <w:t>八、基金份额的申购与赎回</w:t>
      </w:r>
      <w:r>
        <w:rPr>
          <w:rStyle w:val="Hyperlink"/>
        </w:rPr>
        <w:tab/>
      </w:r>
      <w:r>
        <w:fldChar w:fldCharType="begin"/>
      </w:r>
      <w:r>
        <w:rPr>
          <w:rStyle w:val="Hyperlink"/>
        </w:rPr>
        <w:instrText xml:space="preserve"> PAGEREF _Toc256000035 \h </w:instrText>
      </w:r>
      <w:r>
        <w:fldChar w:fldCharType="separate"/>
      </w:r>
      <w:r>
        <w:rPr>
          <w:rStyle w:val="Hyperlink"/>
        </w:rPr>
        <w:t>48</w:t>
      </w:r>
      <w:r>
        <w:fldChar w:fldCharType="end"/>
      </w:r>
      <w:r>
        <w:fldChar w:fldCharType="end"/>
      </w:r>
    </w:p>
    <w:p>
      <w:pPr>
        <w:pStyle w:val="TOC1"/>
        <w:tabs>
          <w:tab w:val="right" w:leader="dot" w:pos="8650"/>
        </w:tabs>
        <w:rPr>
          <w:rFonts w:asciiTheme="minorHAnsi" w:hAnsiTheme="minorHAnsi"/>
          <w:noProof/>
          <w:sz w:val="22"/>
        </w:rPr>
      </w:pPr>
      <w:r>
        <w:fldChar w:fldCharType="begin"/>
      </w:r>
      <w:r>
        <w:rPr>
          <w:rStyle w:val="Hyperlink"/>
        </w:rPr>
        <w:instrText xml:space="preserve"> HYPERLINK \l "_Toc256000036" </w:instrText>
      </w:r>
      <w:r>
        <w:fldChar w:fldCharType="separate"/>
      </w:r>
      <w:r>
        <w:rPr>
          <w:rStyle w:val="Hyperlink"/>
          <w:rFonts w:ascii="宋体" w:hAnsi="宋体"/>
        </w:rPr>
        <w:t>九、基金的转换</w:t>
      </w:r>
      <w:r>
        <w:rPr>
          <w:rStyle w:val="Hyperlink"/>
        </w:rPr>
        <w:tab/>
      </w:r>
      <w:r>
        <w:fldChar w:fldCharType="begin"/>
      </w:r>
      <w:r>
        <w:rPr>
          <w:rStyle w:val="Hyperlink"/>
        </w:rPr>
        <w:instrText xml:space="preserve"> PAGEREF _Toc256000036 \h </w:instrText>
      </w:r>
      <w:r>
        <w:fldChar w:fldCharType="separate"/>
      </w:r>
      <w:r>
        <w:rPr>
          <w:rStyle w:val="Hyperlink"/>
        </w:rPr>
        <w:t>62</w:t>
      </w:r>
      <w:r>
        <w:fldChar w:fldCharType="end"/>
      </w:r>
      <w:r>
        <w:fldChar w:fldCharType="end"/>
      </w:r>
    </w:p>
    <w:p>
      <w:pPr>
        <w:pStyle w:val="TOC1"/>
        <w:tabs>
          <w:tab w:val="right" w:leader="dot" w:pos="8650"/>
        </w:tabs>
        <w:rPr>
          <w:rFonts w:asciiTheme="minorHAnsi" w:hAnsiTheme="minorHAnsi"/>
          <w:noProof/>
          <w:sz w:val="22"/>
        </w:rPr>
      </w:pPr>
      <w:r>
        <w:fldChar w:fldCharType="begin"/>
      </w:r>
      <w:r>
        <w:rPr>
          <w:rStyle w:val="Hyperlink"/>
        </w:rPr>
        <w:instrText xml:space="preserve"> HYPERLINK \l "_Toc256000037" </w:instrText>
      </w:r>
      <w:r>
        <w:fldChar w:fldCharType="separate"/>
      </w:r>
      <w:r>
        <w:rPr>
          <w:rStyle w:val="Hyperlink"/>
          <w:rFonts w:ascii="宋体" w:hAnsi="宋体"/>
        </w:rPr>
        <w:t>十、基金的投资</w:t>
      </w:r>
      <w:r>
        <w:rPr>
          <w:rStyle w:val="Hyperlink"/>
        </w:rPr>
        <w:tab/>
      </w:r>
      <w:r>
        <w:fldChar w:fldCharType="begin"/>
      </w:r>
      <w:r>
        <w:rPr>
          <w:rStyle w:val="Hyperlink"/>
        </w:rPr>
        <w:instrText xml:space="preserve"> PAGEREF _Toc256000037 \h </w:instrText>
      </w:r>
      <w:r>
        <w:fldChar w:fldCharType="separate"/>
      </w:r>
      <w:r>
        <w:rPr>
          <w:rStyle w:val="Hyperlink"/>
        </w:rPr>
        <w:t>69</w:t>
      </w:r>
      <w:r>
        <w:fldChar w:fldCharType="end"/>
      </w:r>
      <w:r>
        <w:fldChar w:fldCharType="end"/>
      </w:r>
    </w:p>
    <w:p>
      <w:pPr>
        <w:pStyle w:val="TOC1"/>
        <w:tabs>
          <w:tab w:val="right" w:leader="dot" w:pos="8650"/>
        </w:tabs>
        <w:rPr>
          <w:rFonts w:asciiTheme="minorHAnsi" w:hAnsiTheme="minorHAnsi"/>
          <w:noProof/>
          <w:sz w:val="22"/>
        </w:rPr>
      </w:pPr>
      <w:r>
        <w:fldChar w:fldCharType="begin"/>
      </w:r>
      <w:r>
        <w:rPr>
          <w:rStyle w:val="Hyperlink"/>
        </w:rPr>
        <w:instrText xml:space="preserve"> HYPERLINK \l "_Toc256000038" </w:instrText>
      </w:r>
      <w:r>
        <w:fldChar w:fldCharType="separate"/>
      </w:r>
      <w:r>
        <w:rPr>
          <w:rStyle w:val="Hyperlink"/>
          <w:rFonts w:ascii="宋体" w:hAnsi="宋体"/>
        </w:rPr>
        <w:t>十一、基金的业绩</w:t>
      </w:r>
      <w:r>
        <w:rPr>
          <w:rStyle w:val="Hyperlink"/>
        </w:rPr>
        <w:tab/>
      </w:r>
      <w:r>
        <w:fldChar w:fldCharType="begin"/>
      </w:r>
      <w:r>
        <w:rPr>
          <w:rStyle w:val="Hyperlink"/>
        </w:rPr>
        <w:instrText xml:space="preserve"> PAGEREF _Toc256000038 \h </w:instrText>
      </w:r>
      <w:r>
        <w:fldChar w:fldCharType="separate"/>
      </w:r>
      <w:r>
        <w:rPr>
          <w:rStyle w:val="Hyperlink"/>
        </w:rPr>
        <w:t>83</w:t>
      </w:r>
      <w:r>
        <w:fldChar w:fldCharType="end"/>
      </w:r>
      <w:r>
        <w:fldChar w:fldCharType="end"/>
      </w:r>
    </w:p>
    <w:p>
      <w:pPr>
        <w:pStyle w:val="TOC1"/>
        <w:tabs>
          <w:tab w:val="right" w:leader="dot" w:pos="8650"/>
        </w:tabs>
        <w:rPr>
          <w:rFonts w:asciiTheme="minorHAnsi" w:hAnsiTheme="minorHAnsi"/>
          <w:noProof/>
          <w:sz w:val="22"/>
        </w:rPr>
      </w:pPr>
      <w:r>
        <w:fldChar w:fldCharType="begin"/>
      </w:r>
      <w:r>
        <w:rPr>
          <w:rStyle w:val="Hyperlink"/>
        </w:rPr>
        <w:instrText xml:space="preserve"> HYPERLINK \l "_Toc256000039" </w:instrText>
      </w:r>
      <w:r>
        <w:fldChar w:fldCharType="separate"/>
      </w:r>
      <w:r>
        <w:rPr>
          <w:rStyle w:val="Hyperlink"/>
          <w:rFonts w:ascii="宋体" w:hAnsi="宋体"/>
        </w:rPr>
        <w:t>十二、基金的财产</w:t>
      </w:r>
      <w:r>
        <w:rPr>
          <w:rStyle w:val="Hyperlink"/>
        </w:rPr>
        <w:tab/>
      </w:r>
      <w:r>
        <w:fldChar w:fldCharType="begin"/>
      </w:r>
      <w:r>
        <w:rPr>
          <w:rStyle w:val="Hyperlink"/>
        </w:rPr>
        <w:instrText xml:space="preserve"> PAGEREF _Toc256000039 \h </w:instrText>
      </w:r>
      <w:r>
        <w:fldChar w:fldCharType="separate"/>
      </w:r>
      <w:r>
        <w:rPr>
          <w:rStyle w:val="Hyperlink"/>
        </w:rPr>
        <w:t>86</w:t>
      </w:r>
      <w:r>
        <w:fldChar w:fldCharType="end"/>
      </w:r>
      <w:r>
        <w:fldChar w:fldCharType="end"/>
      </w:r>
    </w:p>
    <w:p>
      <w:pPr>
        <w:pStyle w:val="TOC1"/>
        <w:tabs>
          <w:tab w:val="right" w:leader="dot" w:pos="8650"/>
        </w:tabs>
        <w:rPr>
          <w:rFonts w:asciiTheme="minorHAnsi" w:hAnsiTheme="minorHAnsi"/>
          <w:noProof/>
          <w:sz w:val="22"/>
        </w:rPr>
      </w:pPr>
      <w:r>
        <w:fldChar w:fldCharType="begin"/>
      </w:r>
      <w:r>
        <w:rPr>
          <w:rStyle w:val="Hyperlink"/>
        </w:rPr>
        <w:instrText xml:space="preserve"> HYPERLINK \l "_Toc256000040" </w:instrText>
      </w:r>
      <w:r>
        <w:fldChar w:fldCharType="separate"/>
      </w:r>
      <w:r>
        <w:rPr>
          <w:rStyle w:val="Hyperlink"/>
          <w:rFonts w:ascii="宋体" w:hAnsi="宋体"/>
        </w:rPr>
        <w:t>十三、基金资产的估值</w:t>
      </w:r>
      <w:r>
        <w:rPr>
          <w:rStyle w:val="Hyperlink"/>
        </w:rPr>
        <w:tab/>
      </w:r>
      <w:r>
        <w:fldChar w:fldCharType="begin"/>
      </w:r>
      <w:r>
        <w:rPr>
          <w:rStyle w:val="Hyperlink"/>
        </w:rPr>
        <w:instrText xml:space="preserve"> PAGEREF _Toc256000040 \h </w:instrText>
      </w:r>
      <w:r>
        <w:fldChar w:fldCharType="separate"/>
      </w:r>
      <w:r>
        <w:rPr>
          <w:rStyle w:val="Hyperlink"/>
        </w:rPr>
        <w:t>87</w:t>
      </w:r>
      <w:r>
        <w:fldChar w:fldCharType="end"/>
      </w:r>
      <w:r>
        <w:fldChar w:fldCharType="end"/>
      </w:r>
    </w:p>
    <w:p>
      <w:pPr>
        <w:pStyle w:val="TOC1"/>
        <w:tabs>
          <w:tab w:val="right" w:leader="dot" w:pos="8650"/>
        </w:tabs>
        <w:rPr>
          <w:rFonts w:asciiTheme="minorHAnsi" w:hAnsiTheme="minorHAnsi"/>
          <w:noProof/>
          <w:sz w:val="22"/>
        </w:rPr>
      </w:pPr>
      <w:r>
        <w:fldChar w:fldCharType="begin"/>
      </w:r>
      <w:r>
        <w:rPr>
          <w:rStyle w:val="Hyperlink"/>
        </w:rPr>
        <w:instrText xml:space="preserve"> HYPERLINK \l "_Toc256000041" </w:instrText>
      </w:r>
      <w:r>
        <w:fldChar w:fldCharType="separate"/>
      </w:r>
      <w:r>
        <w:rPr>
          <w:rStyle w:val="Hyperlink"/>
          <w:rFonts w:ascii="宋体" w:hAnsi="宋体"/>
        </w:rPr>
        <w:t>十四、基金收益与分配</w:t>
      </w:r>
      <w:r>
        <w:rPr>
          <w:rStyle w:val="Hyperlink"/>
        </w:rPr>
        <w:tab/>
      </w:r>
      <w:r>
        <w:fldChar w:fldCharType="begin"/>
      </w:r>
      <w:r>
        <w:rPr>
          <w:rStyle w:val="Hyperlink"/>
        </w:rPr>
        <w:instrText xml:space="preserve"> PAGEREF _Toc256000041 \h </w:instrText>
      </w:r>
      <w:r>
        <w:fldChar w:fldCharType="separate"/>
      </w:r>
      <w:r>
        <w:rPr>
          <w:rStyle w:val="Hyperlink"/>
        </w:rPr>
        <w:t>94</w:t>
      </w:r>
      <w:r>
        <w:fldChar w:fldCharType="end"/>
      </w:r>
      <w:r>
        <w:fldChar w:fldCharType="end"/>
      </w:r>
    </w:p>
    <w:p>
      <w:pPr>
        <w:pStyle w:val="TOC1"/>
        <w:tabs>
          <w:tab w:val="right" w:leader="dot" w:pos="8650"/>
        </w:tabs>
        <w:rPr>
          <w:rFonts w:asciiTheme="minorHAnsi" w:hAnsiTheme="minorHAnsi"/>
          <w:noProof/>
          <w:sz w:val="22"/>
        </w:rPr>
      </w:pPr>
      <w:r>
        <w:fldChar w:fldCharType="begin"/>
      </w:r>
      <w:r>
        <w:rPr>
          <w:rStyle w:val="Hyperlink"/>
        </w:rPr>
        <w:instrText xml:space="preserve"> HYPERLINK \l "_Toc256000042" </w:instrText>
      </w:r>
      <w:r>
        <w:fldChar w:fldCharType="separate"/>
      </w:r>
      <w:r>
        <w:rPr>
          <w:rStyle w:val="Hyperlink"/>
          <w:rFonts w:ascii="宋体" w:hAnsi="宋体"/>
        </w:rPr>
        <w:t>十五、基金的费用与税收</w:t>
      </w:r>
      <w:r>
        <w:rPr>
          <w:rStyle w:val="Hyperlink"/>
        </w:rPr>
        <w:tab/>
      </w:r>
      <w:r>
        <w:fldChar w:fldCharType="begin"/>
      </w:r>
      <w:r>
        <w:rPr>
          <w:rStyle w:val="Hyperlink"/>
        </w:rPr>
        <w:instrText xml:space="preserve"> PAGEREF _Toc256000042 \h </w:instrText>
      </w:r>
      <w:r>
        <w:fldChar w:fldCharType="separate"/>
      </w:r>
      <w:r>
        <w:rPr>
          <w:rStyle w:val="Hyperlink"/>
        </w:rPr>
        <w:t>96</w:t>
      </w:r>
      <w:r>
        <w:fldChar w:fldCharType="end"/>
      </w:r>
      <w:r>
        <w:fldChar w:fldCharType="end"/>
      </w:r>
    </w:p>
    <w:p>
      <w:pPr>
        <w:pStyle w:val="TOC1"/>
        <w:tabs>
          <w:tab w:val="right" w:leader="dot" w:pos="8650"/>
        </w:tabs>
        <w:rPr>
          <w:rFonts w:asciiTheme="minorHAnsi" w:hAnsiTheme="minorHAnsi"/>
          <w:noProof/>
          <w:sz w:val="22"/>
        </w:rPr>
      </w:pPr>
      <w:r>
        <w:fldChar w:fldCharType="begin"/>
      </w:r>
      <w:r>
        <w:rPr>
          <w:rStyle w:val="Hyperlink"/>
        </w:rPr>
        <w:instrText xml:space="preserve"> HYPERLINK \l "_Toc256000043" </w:instrText>
      </w:r>
      <w:r>
        <w:fldChar w:fldCharType="separate"/>
      </w:r>
      <w:r>
        <w:rPr>
          <w:rStyle w:val="Hyperlink"/>
          <w:rFonts w:ascii="宋体" w:hAnsi="宋体"/>
        </w:rPr>
        <w:t>十六、基金的会计与审计</w:t>
      </w:r>
      <w:r>
        <w:rPr>
          <w:rStyle w:val="Hyperlink"/>
        </w:rPr>
        <w:tab/>
      </w:r>
      <w:r>
        <w:fldChar w:fldCharType="begin"/>
      </w:r>
      <w:r>
        <w:rPr>
          <w:rStyle w:val="Hyperlink"/>
        </w:rPr>
        <w:instrText xml:space="preserve"> PAGEREF _Toc256000043 \h </w:instrText>
      </w:r>
      <w:r>
        <w:fldChar w:fldCharType="separate"/>
      </w:r>
      <w:r>
        <w:rPr>
          <w:rStyle w:val="Hyperlink"/>
        </w:rPr>
        <w:t>99</w:t>
      </w:r>
      <w:r>
        <w:fldChar w:fldCharType="end"/>
      </w:r>
      <w:r>
        <w:fldChar w:fldCharType="end"/>
      </w:r>
    </w:p>
    <w:p>
      <w:pPr>
        <w:pStyle w:val="TOC1"/>
        <w:tabs>
          <w:tab w:val="right" w:leader="dot" w:pos="8650"/>
        </w:tabs>
        <w:rPr>
          <w:rFonts w:asciiTheme="minorHAnsi" w:hAnsiTheme="minorHAnsi"/>
          <w:noProof/>
          <w:sz w:val="22"/>
        </w:rPr>
      </w:pPr>
      <w:r>
        <w:fldChar w:fldCharType="begin"/>
      </w:r>
      <w:r>
        <w:rPr>
          <w:rStyle w:val="Hyperlink"/>
        </w:rPr>
        <w:instrText xml:space="preserve"> HYPERLINK \l "_Toc256000044" </w:instrText>
      </w:r>
      <w:r>
        <w:fldChar w:fldCharType="separate"/>
      </w:r>
      <w:r>
        <w:rPr>
          <w:rStyle w:val="Hyperlink"/>
          <w:rFonts w:ascii="宋体" w:hAnsi="宋体"/>
        </w:rPr>
        <w:t>十七、基金的信息披露</w:t>
      </w:r>
      <w:r>
        <w:rPr>
          <w:rStyle w:val="Hyperlink"/>
        </w:rPr>
        <w:tab/>
      </w:r>
      <w:r>
        <w:fldChar w:fldCharType="begin"/>
      </w:r>
      <w:r>
        <w:rPr>
          <w:rStyle w:val="Hyperlink"/>
        </w:rPr>
        <w:instrText xml:space="preserve"> PAGEREF _Toc256000044 \h </w:instrText>
      </w:r>
      <w:r>
        <w:fldChar w:fldCharType="separate"/>
      </w:r>
      <w:r>
        <w:rPr>
          <w:rStyle w:val="Hyperlink"/>
        </w:rPr>
        <w:t>100</w:t>
      </w:r>
      <w:r>
        <w:fldChar w:fldCharType="end"/>
      </w:r>
      <w:r>
        <w:fldChar w:fldCharType="end"/>
      </w:r>
    </w:p>
    <w:p>
      <w:pPr>
        <w:pStyle w:val="TOC1"/>
        <w:tabs>
          <w:tab w:val="right" w:leader="dot" w:pos="8650"/>
        </w:tabs>
        <w:rPr>
          <w:rFonts w:asciiTheme="minorHAnsi" w:hAnsiTheme="minorHAnsi"/>
          <w:noProof/>
          <w:sz w:val="22"/>
        </w:rPr>
      </w:pPr>
      <w:r>
        <w:fldChar w:fldCharType="begin"/>
      </w:r>
      <w:r>
        <w:rPr>
          <w:rStyle w:val="Hyperlink"/>
        </w:rPr>
        <w:instrText xml:space="preserve"> HYPERLINK \l "_Toc256000045" </w:instrText>
      </w:r>
      <w:r>
        <w:fldChar w:fldCharType="separate"/>
      </w:r>
      <w:r>
        <w:rPr>
          <w:rStyle w:val="Hyperlink"/>
          <w:rFonts w:ascii="宋体" w:hAnsi="宋体"/>
        </w:rPr>
        <w:t>十八、侧袋机制</w:t>
      </w:r>
      <w:r>
        <w:rPr>
          <w:rStyle w:val="Hyperlink"/>
        </w:rPr>
        <w:tab/>
      </w:r>
      <w:r>
        <w:fldChar w:fldCharType="begin"/>
      </w:r>
      <w:r>
        <w:rPr>
          <w:rStyle w:val="Hyperlink"/>
        </w:rPr>
        <w:instrText xml:space="preserve"> PAGEREF _Toc256000045 \h </w:instrText>
      </w:r>
      <w:r>
        <w:fldChar w:fldCharType="separate"/>
      </w:r>
      <w:r>
        <w:rPr>
          <w:rStyle w:val="Hyperlink"/>
        </w:rPr>
        <w:t>107</w:t>
      </w:r>
      <w:r>
        <w:fldChar w:fldCharType="end"/>
      </w:r>
      <w:r>
        <w:fldChar w:fldCharType="end"/>
      </w:r>
    </w:p>
    <w:p>
      <w:pPr>
        <w:pStyle w:val="TOC1"/>
        <w:tabs>
          <w:tab w:val="right" w:leader="dot" w:pos="8650"/>
        </w:tabs>
        <w:rPr>
          <w:rFonts w:asciiTheme="minorHAnsi" w:hAnsiTheme="minorHAnsi"/>
          <w:noProof/>
          <w:sz w:val="22"/>
        </w:rPr>
      </w:pPr>
      <w:r>
        <w:fldChar w:fldCharType="begin"/>
      </w:r>
      <w:r>
        <w:rPr>
          <w:rStyle w:val="Hyperlink"/>
        </w:rPr>
        <w:instrText xml:space="preserve"> HYPERLINK \l "_Toc256000046" </w:instrText>
      </w:r>
      <w:r>
        <w:fldChar w:fldCharType="separate"/>
      </w:r>
      <w:r>
        <w:rPr>
          <w:rStyle w:val="Hyperlink"/>
          <w:rFonts w:ascii="宋体" w:hAnsi="宋体"/>
        </w:rPr>
        <w:t>十九、风险揭示</w:t>
      </w:r>
      <w:r>
        <w:rPr>
          <w:rStyle w:val="Hyperlink"/>
        </w:rPr>
        <w:tab/>
      </w:r>
      <w:r>
        <w:fldChar w:fldCharType="begin"/>
      </w:r>
      <w:r>
        <w:rPr>
          <w:rStyle w:val="Hyperlink"/>
        </w:rPr>
        <w:instrText xml:space="preserve"> PAGEREF _Toc256000046 \h </w:instrText>
      </w:r>
      <w:r>
        <w:fldChar w:fldCharType="separate"/>
      </w:r>
      <w:r>
        <w:rPr>
          <w:rStyle w:val="Hyperlink"/>
        </w:rPr>
        <w:t>110</w:t>
      </w:r>
      <w:r>
        <w:fldChar w:fldCharType="end"/>
      </w:r>
      <w:r>
        <w:fldChar w:fldCharType="end"/>
      </w:r>
    </w:p>
    <w:p>
      <w:pPr>
        <w:pStyle w:val="TOC1"/>
        <w:tabs>
          <w:tab w:val="right" w:leader="dot" w:pos="8650"/>
        </w:tabs>
        <w:rPr>
          <w:rFonts w:asciiTheme="minorHAnsi" w:hAnsiTheme="minorHAnsi"/>
          <w:noProof/>
          <w:sz w:val="22"/>
        </w:rPr>
      </w:pPr>
      <w:r>
        <w:fldChar w:fldCharType="begin"/>
      </w:r>
      <w:r>
        <w:rPr>
          <w:rStyle w:val="Hyperlink"/>
        </w:rPr>
        <w:instrText xml:space="preserve"> HYPERLINK \l "_Toc256000047" </w:instrText>
      </w:r>
      <w:r>
        <w:fldChar w:fldCharType="separate"/>
      </w:r>
      <w:r>
        <w:rPr>
          <w:rStyle w:val="Hyperlink"/>
          <w:rFonts w:ascii="宋体" w:hAnsi="宋体"/>
        </w:rPr>
        <w:t>二十、基金合同的变更、终止与基金财产的清算</w:t>
      </w:r>
      <w:r>
        <w:rPr>
          <w:rStyle w:val="Hyperlink"/>
        </w:rPr>
        <w:tab/>
      </w:r>
      <w:r>
        <w:fldChar w:fldCharType="begin"/>
      </w:r>
      <w:r>
        <w:rPr>
          <w:rStyle w:val="Hyperlink"/>
        </w:rPr>
        <w:instrText xml:space="preserve"> PAGEREF _Toc256000047 \h </w:instrText>
      </w:r>
      <w:r>
        <w:fldChar w:fldCharType="separate"/>
      </w:r>
      <w:r>
        <w:rPr>
          <w:rStyle w:val="Hyperlink"/>
        </w:rPr>
        <w:t>120</w:t>
      </w:r>
      <w:r>
        <w:fldChar w:fldCharType="end"/>
      </w:r>
      <w:r>
        <w:fldChar w:fldCharType="end"/>
      </w:r>
    </w:p>
    <w:p>
      <w:pPr>
        <w:pStyle w:val="TOC1"/>
        <w:tabs>
          <w:tab w:val="right" w:leader="dot" w:pos="8650"/>
        </w:tabs>
        <w:rPr>
          <w:rFonts w:asciiTheme="minorHAnsi" w:hAnsiTheme="minorHAnsi"/>
          <w:noProof/>
          <w:sz w:val="22"/>
        </w:rPr>
      </w:pPr>
      <w:r>
        <w:fldChar w:fldCharType="begin"/>
      </w:r>
      <w:r>
        <w:rPr>
          <w:rStyle w:val="Hyperlink"/>
        </w:rPr>
        <w:instrText xml:space="preserve"> HYPERLINK \l "_Toc256000048" </w:instrText>
      </w:r>
      <w:r>
        <w:fldChar w:fldCharType="separate"/>
      </w:r>
      <w:r>
        <w:rPr>
          <w:rStyle w:val="Hyperlink"/>
          <w:rFonts w:ascii="宋体" w:hAnsi="宋体"/>
        </w:rPr>
        <w:t>二十一、基金合同内容摘要</w:t>
      </w:r>
      <w:r>
        <w:rPr>
          <w:rStyle w:val="Hyperlink"/>
        </w:rPr>
        <w:tab/>
      </w:r>
      <w:r>
        <w:fldChar w:fldCharType="begin"/>
      </w:r>
      <w:r>
        <w:rPr>
          <w:rStyle w:val="Hyperlink"/>
        </w:rPr>
        <w:instrText xml:space="preserve"> PAGEREF _Toc256000048 \h </w:instrText>
      </w:r>
      <w:r>
        <w:fldChar w:fldCharType="separate"/>
      </w:r>
      <w:r>
        <w:rPr>
          <w:rStyle w:val="Hyperlink"/>
        </w:rPr>
        <w:t>122</w:t>
      </w:r>
      <w:r>
        <w:fldChar w:fldCharType="end"/>
      </w:r>
      <w:r>
        <w:fldChar w:fldCharType="end"/>
      </w:r>
    </w:p>
    <w:p>
      <w:pPr>
        <w:pStyle w:val="TOC1"/>
        <w:tabs>
          <w:tab w:val="right" w:leader="dot" w:pos="8650"/>
        </w:tabs>
        <w:rPr>
          <w:rFonts w:asciiTheme="minorHAnsi" w:hAnsiTheme="minorHAnsi"/>
          <w:noProof/>
          <w:sz w:val="22"/>
        </w:rPr>
      </w:pPr>
      <w:r>
        <w:fldChar w:fldCharType="begin"/>
      </w:r>
      <w:r>
        <w:rPr>
          <w:rStyle w:val="Hyperlink"/>
        </w:rPr>
        <w:instrText xml:space="preserve"> HYPERLINK \l "_Toc256000049" </w:instrText>
      </w:r>
      <w:r>
        <w:fldChar w:fldCharType="separate"/>
      </w:r>
      <w:r>
        <w:rPr>
          <w:rStyle w:val="Hyperlink"/>
          <w:rFonts w:ascii="宋体" w:hAnsi="宋体"/>
        </w:rPr>
        <w:t>二十二、托管协议的内容摘要</w:t>
      </w:r>
      <w:r>
        <w:rPr>
          <w:rStyle w:val="Hyperlink"/>
        </w:rPr>
        <w:tab/>
      </w:r>
      <w:r>
        <w:fldChar w:fldCharType="begin"/>
      </w:r>
      <w:r>
        <w:rPr>
          <w:rStyle w:val="Hyperlink"/>
        </w:rPr>
        <w:instrText xml:space="preserve"> PAGEREF _Toc256000049 \h </w:instrText>
      </w:r>
      <w:r>
        <w:fldChar w:fldCharType="separate"/>
      </w:r>
      <w:r>
        <w:rPr>
          <w:rStyle w:val="Hyperlink"/>
        </w:rPr>
        <w:t>139</w:t>
      </w:r>
      <w:r>
        <w:fldChar w:fldCharType="end"/>
      </w:r>
      <w:r>
        <w:fldChar w:fldCharType="end"/>
      </w:r>
    </w:p>
    <w:p>
      <w:pPr>
        <w:pStyle w:val="TOC1"/>
        <w:tabs>
          <w:tab w:val="right" w:leader="dot" w:pos="8650"/>
        </w:tabs>
        <w:rPr>
          <w:rFonts w:asciiTheme="minorHAnsi" w:hAnsiTheme="minorHAnsi"/>
          <w:noProof/>
          <w:sz w:val="22"/>
        </w:rPr>
      </w:pPr>
      <w:r>
        <w:fldChar w:fldCharType="begin"/>
      </w:r>
      <w:r>
        <w:rPr>
          <w:rStyle w:val="Hyperlink"/>
        </w:rPr>
        <w:instrText xml:space="preserve"> HYPERLINK \l "_Toc256000050" </w:instrText>
      </w:r>
      <w:r>
        <w:fldChar w:fldCharType="separate"/>
      </w:r>
      <w:r>
        <w:rPr>
          <w:rStyle w:val="Hyperlink"/>
          <w:rFonts w:ascii="宋体" w:hAnsi="宋体"/>
        </w:rPr>
        <w:t>二十三、对基金份额持有人的服务</w:t>
      </w:r>
      <w:r>
        <w:rPr>
          <w:rStyle w:val="Hyperlink"/>
        </w:rPr>
        <w:tab/>
      </w:r>
      <w:r>
        <w:fldChar w:fldCharType="begin"/>
      </w:r>
      <w:r>
        <w:rPr>
          <w:rStyle w:val="Hyperlink"/>
        </w:rPr>
        <w:instrText xml:space="preserve"> PAGEREF _Toc256000050 \h </w:instrText>
      </w:r>
      <w:r>
        <w:fldChar w:fldCharType="separate"/>
      </w:r>
      <w:r>
        <w:rPr>
          <w:rStyle w:val="Hyperlink"/>
        </w:rPr>
        <w:t>157</w:t>
      </w:r>
      <w:r>
        <w:fldChar w:fldCharType="end"/>
      </w:r>
      <w:r>
        <w:fldChar w:fldCharType="end"/>
      </w:r>
    </w:p>
    <w:p>
      <w:pPr>
        <w:pStyle w:val="TOC1"/>
        <w:tabs>
          <w:tab w:val="right" w:leader="dot" w:pos="8650"/>
        </w:tabs>
        <w:rPr>
          <w:rFonts w:asciiTheme="minorHAnsi" w:hAnsiTheme="minorHAnsi"/>
          <w:noProof/>
          <w:sz w:val="22"/>
        </w:rPr>
      </w:pPr>
      <w:r>
        <w:fldChar w:fldCharType="begin"/>
      </w:r>
      <w:r>
        <w:rPr>
          <w:rStyle w:val="Hyperlink"/>
        </w:rPr>
        <w:instrText xml:space="preserve"> HYPERLINK \l "_Toc256000051" </w:instrText>
      </w:r>
      <w:r>
        <w:fldChar w:fldCharType="separate"/>
      </w:r>
      <w:r>
        <w:rPr>
          <w:rStyle w:val="Hyperlink"/>
          <w:rFonts w:ascii="宋体" w:hAnsi="宋体"/>
        </w:rPr>
        <w:t>二十四、其他应披露事项</w:t>
      </w:r>
      <w:r>
        <w:rPr>
          <w:rStyle w:val="Hyperlink"/>
        </w:rPr>
        <w:tab/>
      </w:r>
      <w:r>
        <w:fldChar w:fldCharType="begin"/>
      </w:r>
      <w:r>
        <w:rPr>
          <w:rStyle w:val="Hyperlink"/>
        </w:rPr>
        <w:instrText xml:space="preserve"> PAGEREF _Toc256000051 \h </w:instrText>
      </w:r>
      <w:r>
        <w:fldChar w:fldCharType="separate"/>
      </w:r>
      <w:r>
        <w:rPr>
          <w:rStyle w:val="Hyperlink"/>
        </w:rPr>
        <w:t>159</w:t>
      </w:r>
      <w:r>
        <w:fldChar w:fldCharType="end"/>
      </w:r>
      <w:r>
        <w:fldChar w:fldCharType="end"/>
      </w:r>
    </w:p>
    <w:p>
      <w:pPr>
        <w:pStyle w:val="TOC1"/>
        <w:tabs>
          <w:tab w:val="right" w:leader="dot" w:pos="8650"/>
        </w:tabs>
        <w:rPr>
          <w:rFonts w:asciiTheme="minorHAnsi" w:hAnsiTheme="minorHAnsi"/>
          <w:noProof/>
          <w:sz w:val="22"/>
        </w:rPr>
      </w:pPr>
      <w:r>
        <w:fldChar w:fldCharType="begin"/>
      </w:r>
      <w:r>
        <w:rPr>
          <w:rStyle w:val="Hyperlink"/>
        </w:rPr>
        <w:instrText xml:space="preserve"> HYPERLINK \l "_Toc256000052" </w:instrText>
      </w:r>
      <w:r>
        <w:fldChar w:fldCharType="separate"/>
      </w:r>
      <w:r>
        <w:rPr>
          <w:rStyle w:val="Hyperlink"/>
          <w:rFonts w:ascii="宋体" w:hAnsi="宋体"/>
        </w:rPr>
        <w:t>二十五、招募说明书的存放及查阅方式</w:t>
      </w:r>
      <w:r>
        <w:rPr>
          <w:rStyle w:val="Hyperlink"/>
        </w:rPr>
        <w:tab/>
      </w:r>
      <w:r>
        <w:fldChar w:fldCharType="begin"/>
      </w:r>
      <w:r>
        <w:rPr>
          <w:rStyle w:val="Hyperlink"/>
        </w:rPr>
        <w:instrText xml:space="preserve"> PAGEREF _Toc256000052 \h </w:instrText>
      </w:r>
      <w:r>
        <w:fldChar w:fldCharType="separate"/>
      </w:r>
      <w:r>
        <w:rPr>
          <w:rStyle w:val="Hyperlink"/>
        </w:rPr>
        <w:t>160</w:t>
      </w:r>
      <w:r>
        <w:fldChar w:fldCharType="end"/>
      </w:r>
      <w:r>
        <w:fldChar w:fldCharType="end"/>
      </w:r>
    </w:p>
    <w:p>
      <w:pPr>
        <w:pStyle w:val="TOC1"/>
        <w:tabs>
          <w:tab w:val="right" w:leader="dot" w:pos="8650"/>
        </w:tabs>
        <w:rPr>
          <w:rFonts w:asciiTheme="minorHAnsi" w:hAnsiTheme="minorHAnsi"/>
          <w:noProof/>
          <w:sz w:val="22"/>
        </w:rPr>
      </w:pPr>
      <w:r>
        <w:fldChar w:fldCharType="begin"/>
      </w:r>
      <w:r>
        <w:rPr>
          <w:rStyle w:val="Hyperlink"/>
        </w:rPr>
        <w:instrText xml:space="preserve"> HYPERLINK \l "_Toc256000053" </w:instrText>
      </w:r>
      <w:r>
        <w:fldChar w:fldCharType="separate"/>
      </w:r>
      <w:r>
        <w:rPr>
          <w:rStyle w:val="Hyperlink"/>
          <w:rFonts w:ascii="宋体" w:hAnsi="宋体"/>
        </w:rPr>
        <w:t>二十六、备查文件</w:t>
      </w:r>
      <w:r>
        <w:rPr>
          <w:rStyle w:val="Hyperlink"/>
        </w:rPr>
        <w:tab/>
      </w:r>
      <w:r>
        <w:fldChar w:fldCharType="begin"/>
      </w:r>
      <w:r>
        <w:rPr>
          <w:rStyle w:val="Hyperlink"/>
        </w:rPr>
        <w:instrText xml:space="preserve"> PAGEREF _Toc256000053 \h </w:instrText>
      </w:r>
      <w:r>
        <w:fldChar w:fldCharType="separate"/>
      </w:r>
      <w:r>
        <w:rPr>
          <w:rStyle w:val="Hyperlink"/>
        </w:rPr>
        <w:t>161</w:t>
      </w:r>
      <w:r>
        <w:fldChar w:fldCharType="end"/>
      </w:r>
      <w:r>
        <w:fldChar w:fldCharType="end"/>
      </w:r>
    </w:p>
    <w:p>
      <w:pPr>
        <w:pStyle w:val="20"/>
        <w:snapToGrid w:val="0"/>
        <w:spacing w:after="0" w:line="360" w:lineRule="auto"/>
        <w:jc w:val="center"/>
        <w:rPr>
          <w:rFonts w:ascii="宋体" w:hAnsi="宋体"/>
          <w:color w:val="auto"/>
        </w:rPr>
      </w:pPr>
      <w:r>
        <w:rPr>
          <w:rFonts w:ascii="宋体" w:hAnsi="宋体"/>
          <w:color w:val="auto"/>
        </w:rPr>
        <w:fldChar w:fldCharType="end"/>
      </w:r>
    </w:p>
    <w:p>
      <w:pPr>
        <w:autoSpaceDE w:val="0"/>
        <w:autoSpaceDN w:val="0"/>
        <w:adjustRightInd w:val="0"/>
        <w:snapToGrid w:val="0"/>
        <w:spacing w:before="51" w:after="0" w:line="360" w:lineRule="auto"/>
        <w:ind w:left="120" w:right="13" w:firstLine="480" w:rightChars="6"/>
        <w:rPr>
          <w:rFonts w:ascii="宋体" w:hAnsi="宋体"/>
          <w:kern w:val="0"/>
          <w:szCs w:val="24"/>
        </w:rPr>
        <w:sectPr>
          <w:footerReference w:type="default" r:id="rId12"/>
          <w:pgSz w:w="11920" w:h="16840"/>
          <w:pgMar w:top="1360" w:right="1580" w:bottom="280" w:left="1680" w:header="0" w:footer="1186" w:gutter="0"/>
          <w:cols w:num="1" w:space="720"/>
        </w:sectPr>
      </w:pPr>
    </w:p>
    <w:p>
      <w:pPr>
        <w:pStyle w:val="Heading1"/>
        <w:snapToGrid w:val="0"/>
        <w:spacing w:before="240" w:beforeLines="0" w:after="0"/>
        <w:rPr>
          <w:rFonts w:ascii="宋体" w:hAnsi="宋体"/>
          <w:szCs w:val="30"/>
        </w:rPr>
      </w:pPr>
      <w:bookmarkStart w:id="4" w:name="_Toc256000001"/>
      <w:bookmarkStart w:id="5" w:name="_Toc256000028"/>
      <w:r>
        <w:rPr>
          <w:rFonts w:ascii="宋体" w:hAnsi="宋体"/>
          <w:sz w:val="30"/>
        </w:rPr>
        <w:t>一、绪言</w:t>
      </w:r>
      <w:bookmarkEnd w:id="5"/>
      <w:bookmarkEnd w:id="4"/>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交银施罗德启衡混合型证券投资基金招募说明书》（以下简称“本招募说明书”）依据《中华人民共和国证券投资基金法》（以下简称“《基金法》”）、《公开募集证券投资基金运作管理办法》（以下简称“《运作办法》”）、《公开募集证券投资基金销售机构监督管理办法》（以下简称“《销售办法》”）、《公开募集证券投资基金信息披露管理办法》（以下简称“《信息披露办法》”）、《公开募集开放式证券投资基金流动性风险管理规定》（以下简称“《流动性风险管理规定》”）和其他相关法律法规的规定以及《交银施罗德启衡混合型证券投资基金基金合同》（以下简称“基金合同”）编写。</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基金管理人承诺本招募说明书不存在任何虚假记载、误导性陈述或者重大遗漏，并对其真实性、准确性、完整性承担法律责任。本基金是根据本招募说明书所载明的资料申请募集的。本基金管理人没有委托或授权任何其他人提供未在本招募说明书中载明的信息，或对本招募说明书作任何解释或者说明。</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本招募说明书根据本基金的基金合同编写，并经中国证监会注册。基金合同是约定基金合同当事人之间权利、义务的法律文件。基金投资人自依基金合同取得基金份额，即成为基金份额持有人和基金合同的当事人，其持有基金份额的行为本身即表明其对基金合同的承认和接受，并按照《基金法》、基金合同及其他有关规定享有权利、承担义务。基金投资人欲了解基金份额持有人的权利和义务，应详细查阅基金合同。</w:t>
      </w:r>
    </w:p>
    <w:p>
      <w:pPr>
        <w:pStyle w:val="Heading1"/>
        <w:snapToGrid w:val="0"/>
        <w:spacing w:before="240" w:beforeLines="0" w:after="0"/>
        <w:rPr>
          <w:rFonts w:ascii="宋体" w:hAnsi="宋体"/>
          <w:szCs w:val="30"/>
        </w:rPr>
      </w:pPr>
      <w:r>
        <w:br w:type="page"/>
      </w:r>
      <w:bookmarkStart w:id="6" w:name="_Toc256000002"/>
      <w:bookmarkStart w:id="7" w:name="_Toc256000029"/>
      <w:r>
        <w:rPr>
          <w:rFonts w:ascii="宋体" w:hAnsi="宋体"/>
          <w:sz w:val="30"/>
        </w:rPr>
        <w:t>二、释义</w:t>
      </w:r>
      <w:bookmarkEnd w:id="7"/>
      <w:bookmarkEnd w:id="6"/>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在本招募说明书中，除非文意另有所指，下列词语或简称具有如下含义：</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1、基金或本基金：指交银施罗德启衡混合型证券投资基金</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2、基金管理人：指交银施罗德基金管理有限公司</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3、基金托管人：指招商银行股份有限公司</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4、基金合同：指《交银施罗德启衡混合型证券投资基金基金合同》及对基金合同的任何有效修订和补充</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5、托管协议：指基金管理人与基金托管人就本基金签订之《交银施罗德启衡混合型证券投资基金托管协议》及对该托管协议的任何有效修订和补充</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6、招募说明书或本招募说明书：指《交银施罗德启衡混合型证券投资基金招募说明书》及其更新</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7、基金产品资料概要：指《交银施罗德启衡混合型证券投资基金基金产品资料概要》及其更新</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8、基金份额发售公告：指《交银施罗德启衡混合型证券投资基金基金份额发售公告》</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9、法律法规：指中国现行有效并公布实施的法律、行政法规、规范性文件、司法解释、行政规章以及其他对基金合同当事人有约束力的决定、决议、通知等</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10、《基金法》：指《中华人民共和国证券投资基金法》及颁布机关对其不时做出的修订</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11、《销售办法》：指《公开募集证券投资基金销售机构监督管理办法》及颁布机关对其不时做出的修订</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12、《信息披露办法》：指《公开募集证券投资基金信息披露管理办法》及颁布机关对其不时做出的修订</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13、《运作办法》：指《公开募集证券投资基金运作管理办法》及颁布机关对其不时做出的修订</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14、《流动性风险管理规定》：指《公开募集开放式证券投资基金流动性风险管理规定》及颁布机关对其不时做出的修订</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15、中国证监会：指中国证券监督管理委员会</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16、银行业监督管理机构：指中国人民银行和/或中国银行保险监督管理委员会</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17、基金合同当事人：指受基金合同约束，根据基金合同享有权利并承担义务的法律主体，包括基金管理人、基金托管人和基金份额持有人</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18、个人投资者：指依据有关法律法规规定可投资于证券投资基金的自然人</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19、机构投资者：指依法可以投资证券投资基金的、在中华人民共和国境内合法登记并存续或经有关政府部门批准设立并存续的企业法人、事业法人、社会团体或其他组织</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20、合格境外投资者：指符合《合格境外机构投资者和人民币合格境外机构投资者境内证券期货投资管理办法》（包括其不时修订）及相关法律法规规定使用来自境外的资金进行境内证券期货投资的境外机构投资者，包括合格境外机构投资者和人民币合格境外机构投资者</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21、投资人、投资者：指个人投资者、机构投资者、合格境外投资者以及法律法规或中国证监会允许购买证券投资基金的其他投资人的合称</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22、基金份额持有人：指依基金合同和招募说明书合法取得基金份额的投资人</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23、基金销售业务：指基金管理人或销售机构宣传推介基金，发售基金份额，办理基金份额的申购、赎回、转换、转托管及定期定额投资等业务</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24、销售机构：指交银施罗德基金管理有限公司以及符合《销售办法》和中国证监会规定的其他条件，取得基金销售业务资格并与基金管理人签订了基金销售服务协议，办理基金销售业务的机构</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25、登记业务：指基金登记、存管、过户、清算和结算业务，具体内容包括投资人基金账户的建立和管理、基金份额登记、基金销售业务的确认、清算和结算、代理发放红利、建立并保管基金份额持有人名册和办理非交易过户等</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26、登记机构：指办理登记业务的机构。基金的登记机构为交银施罗德基金管理有限公司或接受交银施罗德基金管理有限公司委托代为办理登记业务的机构</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27、基金账户：指登记机构为投资人开立的、记录其持有的、基金管理人所管理的基金份额余额及其变动情况的账户</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28、基金交易账户：指销售机构为投资人开立的、记录投资人通过该销售机构办理认购、申购、赎回、转换及转托管等业务而引起的基金份额变动及结余情况的账户</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29、基金合同生效日：指基金募集达到法律法规规定及基金合同规定的条件，基金管理人向中国证监会办理基金备案手续完毕，并获得中国证监会书面确认的日期</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30、基金合同终止日：指基金合同规定的基金合同终止事由出现后，基金财产清算完毕，清算结果报中国证监会备案并予以公告的日期</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31、基金募集期：指自基金份额发售之日起至发售结束之日止的期间，最长不得超过3个月</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32、存续期：指基金合同生效至终止之间的不定期期限</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33、工作日：指上海证券交易所、深圳证券交易所的正常交易日</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34、T日：指销售机构在规定时间受理投资人申购、赎回或其他业务申请的开放日</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35、T+n日：指自T日起第n个工作日（不包含T日）</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36、开放日：指为投资人办理基金份额申购、赎回或其他业务的工作日（若该工作日为非港股通交易日，则本基金可不开放）</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37、开放时间：指开放日基金接受申购、赎回或其他交易的时间段</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38、《业务规则》：指中国证券登记结算有限责任公司相关业务规则及其不时做出的修订</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39、认购：指在基金募集期内，投资人根据基金合同和招募说明书的规定申请购买基金份额的行为</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40、申购：指基金合同生效后，投资人根据基金合同和招募说明书的规定申请购买基金份额的行为</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41、赎回：指基金合同生效后，基金份额持有人按基金合同和招募说明书规定的条件要求将基金份额兑换为现金的行为</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42、基金转换：指基金份额持有人按照基金合同和基金管理人届时有效公告规定的条件，申请将其持有基金管理人管理的、某一基金的基金份额转换为基金管理人管理的其他基金基金份额的行为</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43、转托管：指基金份额持有人在本基金的不同销售机构之间实施的变更所持基金份额销售机构的操作</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44、定期定额投资计划：指投资人通过有关销售机构提出申请，约定每期申购日、扣款金额及扣款方式，由指定的销售机构在投资人指定银行账户内自动完成扣款并于每期约定的申购日受理基金申购申请的一种投资方式</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45、巨额赎回：指本基金单个开放日，基金净赎回申请（赎回申请份额总数加上基金转换中转出申请份额总数后扣除申购申请份额总数及基金转换中转入申请份额总数后的余额）超过上一开放日基金总份额的10%的情形</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46、元：指人民币元</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47、基金收益：指基金投资所得红利、股息、债券利息、买卖证券价差、银行存款利息、已实现的其他合法收入及因运用基金财产带来的成本和费用的节约</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48、基金资产总值：指基金拥有的各类有价证券、股指期货合约、银行存款本息、基金应收款项及其他资产的价值总和</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49、基金资产净值：指基金资产总值减去基金负债后的价值</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50、基金份额净值：指计算日基金资产净值除以计算日基金份额总数</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51、基金资产估值：指计算评估基金资产和负债的价值，以确定基金资产净值和基金份额净值的过程</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52、港股通：指内地投资者委托内地证券公司，经由内地证券交易所在香港设立的证券交易服务公司，向香港联合交易所进行申报，买卖规定范围内的香港联合交易所上市的股票</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53、销售服务费：指从基金财产中计提的，用于本基金市场推广、销售以及基金份额持有人服务的费用</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54、A类基金份额：指在投资人认购/申购时收取认购/申购费用、赎回时收取赎回费用且不从本类别基金资产中计提销售服务费的基金份额</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55、C类基金份额：指在投资人认购/申购时不收取认购/申购费用、赎回时收取赎回费用，并从本类别基金资产中计提销售服务费的基金份额</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56、规定媒介：指符合中国证监会规定条件的用以进行信息披露的全国性报刊及《信息披露办法》规定的互联网网站（包括基金管理人网站、基金托管人网站、中国证监会基金电子披露网站）等媒介</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57、流动性受限资产：指由于法律法规、监管、合同或操作障碍等原因无法以合理价格予以变现的资产，包括但不限于到期日在10个交易日以上的逆回购与银行定期存款（含协议约定有条件提前支取的银行存款）、停牌股票、流通受限的新股及非公开发行股票、资产支持证券、因发行人债务违约无法进行转让或交易的债券等</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58、摆动定价机制：指当开放式基金遭遇大额申购赎回时，通过调整基金份额净值的方式，将基金调整投资组合的市场冲击成本分配给实际申购、赎回的投资者，从而减少对存量基金份额持有人利益的不利影响，确保投资人的合法权益不受损害并得到公平对待</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59、侧袋机制：指将基金投资组合中的特定资产从原有账户分离至一个专门账户进行处置清算，目的在于有效隔离并化解风险，确保投资者得到公平对待，属于流动性风险管理工具。侧袋机制实施期间，原有账户称为主袋账户，专门账户称为侧袋账户</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60、特定资产：包括：（一）无可参考的活跃市场价格且采用估值技术仍导致公允价值存在重大不确定性的资产；（二）按摊余成本计量且计提资产减值准备仍导致资产价值存在重大不确定性的资产；（三）其他资产价值存在重大不确定性的资产</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61、不可抗力：指基金合同当事人不能预见、不能避免且不能克服的客观事件</w:t>
      </w:r>
    </w:p>
    <w:p>
      <w:pPr>
        <w:pStyle w:val="Heading1"/>
        <w:snapToGrid w:val="0"/>
        <w:spacing w:before="240" w:beforeLines="0" w:after="0"/>
        <w:rPr>
          <w:rFonts w:ascii="宋体" w:hAnsi="宋体"/>
          <w:szCs w:val="30"/>
        </w:rPr>
      </w:pPr>
      <w:r>
        <w:br w:type="page"/>
      </w:r>
      <w:bookmarkStart w:id="8" w:name="_Toc256000003"/>
      <w:bookmarkStart w:id="9" w:name="_Toc256000030"/>
      <w:r>
        <w:rPr>
          <w:rFonts w:ascii="宋体" w:hAnsi="宋体"/>
          <w:sz w:val="30"/>
        </w:rPr>
        <w:t>三、基金管理人</w:t>
      </w:r>
      <w:bookmarkEnd w:id="9"/>
      <w:bookmarkEnd w:id="8"/>
    </w:p>
    <w:p>
      <w:pPr>
        <w:autoSpaceDE w:val="0"/>
        <w:autoSpaceDN w:val="0"/>
        <w:adjustRightInd w:val="0"/>
        <w:snapToGrid w:val="0"/>
        <w:spacing w:after="0" w:line="360" w:lineRule="auto"/>
        <w:ind w:firstLine="420" w:firstLineChars="200"/>
        <w:jc w:val="left"/>
        <w:rPr>
          <w:rFonts w:ascii="宋体" w:hAnsi="宋体"/>
          <w:szCs w:val="24"/>
        </w:rPr>
      </w:pPr>
      <w:r>
        <w:rPr>
          <w:rFonts w:ascii="宋体" w:hAnsi="宋体"/>
          <w:b/>
          <w:sz w:val="24"/>
        </w:rPr>
        <w:t>（一）基金管理人概况</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名称：交银施罗德基金管理有限公司</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住所：中国</w:t>
      </w:r>
      <w:r w:rsidRPr="00BB248E">
        <w:rPr>
          <w:rFonts w:ascii="宋体" w:hAnsi="宋体" w:hint="eastAsia"/>
          <w:kern w:val="0"/>
          <w:sz w:val="24"/>
        </w:rPr>
        <w:t>(</w:t>
      </w:r>
      <w:r w:rsidRPr="00BB248E">
        <w:rPr>
          <w:rFonts w:ascii="宋体" w:hAnsi="宋体" w:hint="eastAsia"/>
          <w:kern w:val="0"/>
          <w:sz w:val="24"/>
        </w:rPr>
        <w:t>上海</w:t>
      </w:r>
      <w:r w:rsidRPr="00BB248E">
        <w:rPr>
          <w:rFonts w:ascii="宋体" w:hAnsi="宋体" w:hint="eastAsia"/>
          <w:kern w:val="0"/>
          <w:sz w:val="24"/>
        </w:rPr>
        <w:t>)</w:t>
      </w:r>
      <w:r w:rsidRPr="00BB248E">
        <w:rPr>
          <w:rFonts w:ascii="宋体" w:hAnsi="宋体" w:hint="eastAsia"/>
          <w:kern w:val="0"/>
          <w:sz w:val="24"/>
        </w:rPr>
        <w:t>自由贸易试验区银城中路</w:t>
      </w:r>
      <w:r w:rsidRPr="00BB248E">
        <w:rPr>
          <w:rFonts w:ascii="宋体" w:hAnsi="宋体" w:hint="eastAsia"/>
          <w:kern w:val="0"/>
          <w:sz w:val="24"/>
        </w:rPr>
        <w:t>188</w:t>
      </w:r>
      <w:r w:rsidRPr="00BB248E">
        <w:rPr>
          <w:rFonts w:ascii="宋体" w:hAnsi="宋体" w:hint="eastAsia"/>
          <w:kern w:val="0"/>
          <w:sz w:val="24"/>
        </w:rPr>
        <w:t>号交通银行大楼二层（裙）</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办公地址：上海市浦东新区世纪大道8号国金中心二期21-22楼</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邮政编码：</w:t>
      </w:r>
      <w:r w:rsidRPr="00BB248E">
        <w:rPr>
          <w:rFonts w:ascii="宋体" w:hAnsi="宋体" w:hint="eastAsia"/>
          <w:kern w:val="0"/>
          <w:sz w:val="24"/>
        </w:rPr>
        <w:t>200120</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法定代表人：袁庆伟（代任）</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成立时间：</w:t>
      </w:r>
      <w:r w:rsidRPr="00BB248E">
        <w:rPr>
          <w:rFonts w:ascii="宋体" w:hAnsi="宋体" w:hint="eastAsia"/>
          <w:kern w:val="0"/>
          <w:sz w:val="24"/>
        </w:rPr>
        <w:t>2005</w:t>
      </w:r>
      <w:r w:rsidRPr="00BB248E">
        <w:rPr>
          <w:rFonts w:ascii="宋体" w:hAnsi="宋体" w:hint="eastAsia"/>
          <w:kern w:val="0"/>
          <w:sz w:val="24"/>
        </w:rPr>
        <w:t>年</w:t>
      </w:r>
      <w:r w:rsidRPr="00BB248E">
        <w:rPr>
          <w:rFonts w:ascii="宋体" w:hAnsi="宋体" w:hint="eastAsia"/>
          <w:kern w:val="0"/>
          <w:sz w:val="24"/>
        </w:rPr>
        <w:t>8</w:t>
      </w:r>
      <w:r w:rsidRPr="00BB248E">
        <w:rPr>
          <w:rFonts w:ascii="宋体" w:hAnsi="宋体" w:hint="eastAsia"/>
          <w:kern w:val="0"/>
          <w:sz w:val="24"/>
        </w:rPr>
        <w:t>月</w:t>
      </w:r>
      <w:r w:rsidRPr="00BB248E">
        <w:rPr>
          <w:rFonts w:ascii="宋体" w:hAnsi="宋体" w:hint="eastAsia"/>
          <w:kern w:val="0"/>
          <w:sz w:val="24"/>
        </w:rPr>
        <w:t>4</w:t>
      </w:r>
      <w:r w:rsidRPr="00BB248E">
        <w:rPr>
          <w:rFonts w:ascii="宋体" w:hAnsi="宋体" w:hint="eastAsia"/>
          <w:kern w:val="0"/>
          <w:sz w:val="24"/>
        </w:rPr>
        <w:t>日</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注册资本：</w:t>
      </w:r>
      <w:r w:rsidRPr="00BB248E">
        <w:rPr>
          <w:rFonts w:ascii="宋体" w:hAnsi="宋体" w:hint="eastAsia"/>
          <w:kern w:val="0"/>
          <w:sz w:val="24"/>
        </w:rPr>
        <w:t>2</w:t>
      </w:r>
      <w:r w:rsidRPr="00BB248E">
        <w:rPr>
          <w:rFonts w:ascii="宋体" w:hAnsi="宋体" w:hint="eastAsia"/>
          <w:kern w:val="0"/>
          <w:sz w:val="24"/>
        </w:rPr>
        <w:t>亿元人民币</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存续期间：持续经营</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联系人：何佳妮</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电话：（</w:t>
      </w:r>
      <w:r w:rsidRPr="00BB248E">
        <w:rPr>
          <w:rFonts w:ascii="宋体" w:hAnsi="宋体" w:hint="eastAsia"/>
          <w:kern w:val="0"/>
          <w:sz w:val="24"/>
        </w:rPr>
        <w:t>021</w:t>
      </w:r>
      <w:r w:rsidRPr="00BB248E">
        <w:rPr>
          <w:rFonts w:ascii="宋体" w:hAnsi="宋体" w:hint="eastAsia"/>
          <w:kern w:val="0"/>
          <w:sz w:val="24"/>
        </w:rPr>
        <w:t>）</w:t>
      </w:r>
      <w:r w:rsidRPr="00BB248E">
        <w:rPr>
          <w:rFonts w:ascii="宋体" w:hAnsi="宋体" w:hint="eastAsia"/>
          <w:kern w:val="0"/>
          <w:sz w:val="24"/>
        </w:rPr>
        <w:t>61055050</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传真：（</w:t>
      </w:r>
      <w:r w:rsidRPr="00BB248E">
        <w:rPr>
          <w:rFonts w:ascii="宋体" w:hAnsi="宋体" w:hint="eastAsia"/>
          <w:kern w:val="0"/>
          <w:sz w:val="24"/>
        </w:rPr>
        <w:t>021</w:t>
      </w:r>
      <w:r w:rsidRPr="00BB248E">
        <w:rPr>
          <w:rFonts w:ascii="宋体" w:hAnsi="宋体" w:hint="eastAsia"/>
          <w:kern w:val="0"/>
          <w:sz w:val="24"/>
        </w:rPr>
        <w:t>）</w:t>
      </w:r>
      <w:r w:rsidRPr="00BB248E">
        <w:rPr>
          <w:rFonts w:ascii="宋体" w:hAnsi="宋体" w:hint="eastAsia"/>
          <w:kern w:val="0"/>
          <w:sz w:val="24"/>
        </w:rPr>
        <w:t>61055034</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交银施罗德基金管理有限公司（以下简称“公司”）经中国证监会证监基金字</w:t>
      </w:r>
      <w:r w:rsidRPr="00BB248E">
        <w:rPr>
          <w:rFonts w:ascii="宋体" w:hAnsi="宋体" w:hint="eastAsia"/>
          <w:kern w:val="0"/>
          <w:sz w:val="24"/>
        </w:rPr>
        <w:t>[2005]128</w:t>
      </w:r>
      <w:r w:rsidRPr="00BB248E">
        <w:rPr>
          <w:rFonts w:ascii="宋体" w:hAnsi="宋体" w:hint="eastAsia"/>
          <w:kern w:val="0"/>
          <w:sz w:val="24"/>
        </w:rPr>
        <w:t>号文批准设立。公司股权结构如下：</w:t>
      </w:r>
    </w:p>
    <w:tbl>
      <w:tblPr>
        <w:tblW w:w="5000" w:type="pct"/>
        <w:tblInd w:w="0" w:type="dxa"/>
        <w:tblLayout w:type="fixed"/>
        <w:tblCellMar>
          <w:top w:w="0" w:type="dxa"/>
          <w:left w:w="0" w:type="dxa"/>
          <w:bottom w:w="0" w:type="dxa"/>
          <w:right w:w="0" w:type="dxa"/>
        </w:tblCellMar>
        <w:tblLook w:val="0000"/>
      </w:tblPr>
      <w:tblGrid>
        <w:gridCol w:w="4335"/>
        <w:gridCol w:w="4335"/>
      </w:tblGrid>
      <w:tr>
        <w:tblPrEx>
          <w:tblW w:w="5000" w:type="pct"/>
          <w:tblInd w:w="0" w:type="dxa"/>
          <w:tblLayout w:type="fixed"/>
          <w:tblCellMar>
            <w:top w:w="0" w:type="dxa"/>
            <w:left w:w="0" w:type="dxa"/>
            <w:bottom w:w="0" w:type="dxa"/>
            <w:right w:w="0" w:type="dxa"/>
          </w:tblCellMar>
          <w:tblLook w:val="0000"/>
        </w:tblPrEx>
        <w:trPr>
          <w:cantSplit/>
          <w:trHeight w:val="375"/>
        </w:trPr>
        <w:tc>
          <w:tcPr>
            <w:tcW w:w="7" w:type="dxa"/>
            <w:tcBorders>
              <w:top w:val="single" w:sz="4" w:space="0" w:color="auto"/>
              <w:left w:val="single" w:sz="4" w:space="0" w:color="auto"/>
              <w:bottom w:val="single" w:sz="4" w:space="0" w:color="auto"/>
              <w:right w:val="single" w:sz="4" w:space="0" w:color="auto"/>
            </w:tcBorders>
            <w:vAlign w:val="center"/>
          </w:tcPr>
          <w:p>
            <w:pPr>
              <w:widowControl/>
              <w:snapToGrid w:val="0"/>
              <w:spacing w:after="0" w:line="240" w:lineRule="auto"/>
              <w:jc w:val="center"/>
              <w:rPr>
                <w:rFonts w:ascii="宋体" w:hAnsi="宋体"/>
                <w:color w:val="000000"/>
                <w:kern w:val="0"/>
                <w:sz w:val="24"/>
                <w:szCs w:val="24"/>
              </w:rPr>
            </w:pPr>
            <w:r>
              <w:rPr>
                <w:rFonts w:ascii="宋体" w:hAnsi="宋体"/>
                <w:color w:val="000000"/>
                <w:kern w:val="0"/>
                <w:sz w:val="24"/>
                <w:szCs w:val="24"/>
              </w:rPr>
              <w:t>股东名称</w:t>
            </w:r>
          </w:p>
        </w:tc>
        <w:tc>
          <w:tcPr>
            <w:tcW w:w="7" w:type="dxa"/>
            <w:tcBorders>
              <w:top w:val="single" w:sz="4" w:space="0" w:color="auto"/>
              <w:left w:val="single" w:sz="4" w:space="0" w:color="auto"/>
              <w:bottom w:val="single" w:sz="4" w:space="0" w:color="auto"/>
              <w:right w:val="single" w:sz="4" w:space="0" w:color="auto"/>
            </w:tcBorders>
            <w:vAlign w:val="center"/>
          </w:tcPr>
          <w:p>
            <w:pPr>
              <w:widowControl/>
              <w:snapToGrid w:val="0"/>
              <w:spacing w:after="0" w:line="240" w:lineRule="auto"/>
              <w:jc w:val="center"/>
              <w:rPr>
                <w:rFonts w:ascii="宋体" w:hAnsi="宋体"/>
                <w:color w:val="000000"/>
                <w:kern w:val="0"/>
                <w:sz w:val="24"/>
                <w:szCs w:val="24"/>
              </w:rPr>
            </w:pPr>
            <w:r>
              <w:rPr>
                <w:rFonts w:ascii="宋体" w:hAnsi="宋体"/>
                <w:color w:val="000000"/>
                <w:kern w:val="0"/>
                <w:sz w:val="24"/>
                <w:szCs w:val="24"/>
              </w:rPr>
              <w:t>股权比例</w:t>
            </w:r>
          </w:p>
        </w:tc>
      </w:tr>
      <w:tr>
        <w:tblPrEx>
          <w:tblW w:w="5000" w:type="pct"/>
          <w:tblInd w:w="0" w:type="dxa"/>
          <w:tblLayout w:type="fixed"/>
          <w:tblCellMar>
            <w:top w:w="0" w:type="dxa"/>
            <w:left w:w="0" w:type="dxa"/>
            <w:bottom w:w="0" w:type="dxa"/>
            <w:right w:w="0" w:type="dxa"/>
          </w:tblCellMar>
          <w:tblLook w:val="0000"/>
        </w:tblPrEx>
        <w:trPr>
          <w:cantSplit/>
          <w:trHeight w:val="375"/>
        </w:trPr>
        <w:tc>
          <w:tcPr>
            <w:tcW w:w="7" w:type="dxa"/>
            <w:tcBorders>
              <w:top w:val="single" w:sz="4" w:space="0" w:color="auto"/>
              <w:left w:val="single" w:sz="4" w:space="0" w:color="auto"/>
              <w:bottom w:val="single" w:sz="4" w:space="0" w:color="auto"/>
              <w:right w:val="single" w:sz="4" w:space="0" w:color="auto"/>
            </w:tcBorders>
            <w:vAlign w:val="center"/>
          </w:tcPr>
          <w:p>
            <w:pPr>
              <w:widowControl/>
              <w:snapToGrid w:val="0"/>
              <w:spacing w:after="0" w:line="240" w:lineRule="auto"/>
              <w:jc w:val="left"/>
              <w:rPr>
                <w:rFonts w:ascii="宋体" w:hAnsi="宋体"/>
                <w:color w:val="000000"/>
                <w:kern w:val="0"/>
                <w:sz w:val="24"/>
                <w:szCs w:val="24"/>
              </w:rPr>
            </w:pPr>
            <w:r>
              <w:rPr>
                <w:rFonts w:ascii="宋体" w:hAnsi="宋体"/>
                <w:color w:val="000000"/>
                <w:kern w:val="0"/>
                <w:sz w:val="24"/>
                <w:szCs w:val="24"/>
              </w:rPr>
              <w:t>交通银行股份有限公司（以下使用全称或其简称“交通银行”）</w:t>
            </w:r>
          </w:p>
        </w:tc>
        <w:tc>
          <w:tcPr>
            <w:tcW w:w="7" w:type="dxa"/>
            <w:tcBorders>
              <w:top w:val="single" w:sz="4" w:space="0" w:color="auto"/>
              <w:left w:val="single" w:sz="4" w:space="0" w:color="auto"/>
              <w:bottom w:val="single" w:sz="4" w:space="0" w:color="auto"/>
              <w:right w:val="single" w:sz="4" w:space="0" w:color="auto"/>
            </w:tcBorders>
            <w:vAlign w:val="center"/>
          </w:tcPr>
          <w:p>
            <w:pPr>
              <w:widowControl/>
              <w:snapToGrid w:val="0"/>
              <w:spacing w:after="0" w:line="240" w:lineRule="auto"/>
              <w:jc w:val="center"/>
              <w:rPr>
                <w:rFonts w:ascii="宋体" w:hAnsi="宋体"/>
                <w:color w:val="000000"/>
                <w:kern w:val="0"/>
                <w:sz w:val="24"/>
                <w:szCs w:val="24"/>
              </w:rPr>
            </w:pPr>
            <w:r>
              <w:rPr>
                <w:rFonts w:ascii="宋体" w:hAnsi="宋体"/>
                <w:color w:val="000000"/>
                <w:kern w:val="0"/>
                <w:sz w:val="24"/>
                <w:szCs w:val="24"/>
              </w:rPr>
              <w:t>65%</w:t>
            </w:r>
          </w:p>
        </w:tc>
      </w:tr>
      <w:tr>
        <w:tblPrEx>
          <w:tblW w:w="5000" w:type="pct"/>
          <w:tblInd w:w="0" w:type="dxa"/>
          <w:tblLayout w:type="fixed"/>
          <w:tblCellMar>
            <w:top w:w="0" w:type="dxa"/>
            <w:left w:w="0" w:type="dxa"/>
            <w:bottom w:w="0" w:type="dxa"/>
            <w:right w:w="0" w:type="dxa"/>
          </w:tblCellMar>
          <w:tblLook w:val="0000"/>
        </w:tblPrEx>
        <w:trPr>
          <w:cantSplit/>
          <w:trHeight w:val="375"/>
        </w:trPr>
        <w:tc>
          <w:tcPr>
            <w:tcW w:w="7" w:type="dxa"/>
            <w:tcBorders>
              <w:top w:val="single" w:sz="4" w:space="0" w:color="auto"/>
              <w:left w:val="single" w:sz="4" w:space="0" w:color="auto"/>
              <w:bottom w:val="single" w:sz="4" w:space="0" w:color="auto"/>
              <w:right w:val="single" w:sz="4" w:space="0" w:color="auto"/>
            </w:tcBorders>
            <w:vAlign w:val="center"/>
          </w:tcPr>
          <w:p>
            <w:pPr>
              <w:widowControl/>
              <w:snapToGrid w:val="0"/>
              <w:spacing w:after="0" w:line="240" w:lineRule="auto"/>
              <w:jc w:val="left"/>
              <w:rPr>
                <w:rFonts w:ascii="宋体" w:hAnsi="宋体"/>
                <w:color w:val="000000"/>
                <w:kern w:val="0"/>
                <w:sz w:val="24"/>
                <w:szCs w:val="24"/>
              </w:rPr>
            </w:pPr>
            <w:r>
              <w:rPr>
                <w:rFonts w:ascii="宋体" w:hAnsi="宋体"/>
                <w:color w:val="000000"/>
                <w:kern w:val="0"/>
                <w:sz w:val="24"/>
                <w:szCs w:val="24"/>
              </w:rPr>
              <w:t>施罗德投资管理有限公司</w:t>
            </w:r>
          </w:p>
        </w:tc>
        <w:tc>
          <w:tcPr>
            <w:tcW w:w="7" w:type="dxa"/>
            <w:tcBorders>
              <w:top w:val="single" w:sz="4" w:space="0" w:color="auto"/>
              <w:left w:val="single" w:sz="4" w:space="0" w:color="auto"/>
              <w:bottom w:val="single" w:sz="4" w:space="0" w:color="auto"/>
              <w:right w:val="single" w:sz="4" w:space="0" w:color="auto"/>
            </w:tcBorders>
            <w:vAlign w:val="center"/>
          </w:tcPr>
          <w:p>
            <w:pPr>
              <w:widowControl/>
              <w:snapToGrid w:val="0"/>
              <w:spacing w:after="0" w:line="240" w:lineRule="auto"/>
              <w:jc w:val="center"/>
              <w:rPr>
                <w:rFonts w:ascii="宋体" w:hAnsi="宋体"/>
                <w:color w:val="000000"/>
                <w:kern w:val="0"/>
                <w:sz w:val="24"/>
                <w:szCs w:val="24"/>
              </w:rPr>
            </w:pPr>
            <w:r>
              <w:rPr>
                <w:rFonts w:ascii="宋体" w:hAnsi="宋体"/>
                <w:color w:val="000000"/>
                <w:kern w:val="0"/>
                <w:sz w:val="24"/>
                <w:szCs w:val="24"/>
              </w:rPr>
              <w:t>30%</w:t>
            </w:r>
          </w:p>
        </w:tc>
      </w:tr>
      <w:tr>
        <w:tblPrEx>
          <w:tblW w:w="5000" w:type="pct"/>
          <w:tblInd w:w="0" w:type="dxa"/>
          <w:tblLayout w:type="fixed"/>
          <w:tblCellMar>
            <w:top w:w="0" w:type="dxa"/>
            <w:left w:w="0" w:type="dxa"/>
            <w:bottom w:w="0" w:type="dxa"/>
            <w:right w:w="0" w:type="dxa"/>
          </w:tblCellMar>
          <w:tblLook w:val="0000"/>
        </w:tblPrEx>
        <w:trPr>
          <w:cantSplit/>
          <w:trHeight w:val="375"/>
        </w:trPr>
        <w:tc>
          <w:tcPr>
            <w:tcW w:w="7" w:type="dxa"/>
            <w:tcBorders>
              <w:top w:val="single" w:sz="4" w:space="0" w:color="auto"/>
              <w:left w:val="single" w:sz="4" w:space="0" w:color="auto"/>
              <w:bottom w:val="single" w:sz="4" w:space="0" w:color="auto"/>
              <w:right w:val="single" w:sz="4" w:space="0" w:color="auto"/>
            </w:tcBorders>
            <w:vAlign w:val="center"/>
          </w:tcPr>
          <w:p>
            <w:pPr>
              <w:widowControl/>
              <w:snapToGrid w:val="0"/>
              <w:spacing w:after="0" w:line="240" w:lineRule="auto"/>
              <w:jc w:val="left"/>
              <w:rPr>
                <w:rFonts w:ascii="宋体" w:hAnsi="宋体"/>
                <w:color w:val="000000"/>
                <w:kern w:val="0"/>
                <w:sz w:val="24"/>
                <w:szCs w:val="24"/>
              </w:rPr>
            </w:pPr>
            <w:r>
              <w:rPr>
                <w:rFonts w:ascii="宋体" w:hAnsi="宋体"/>
                <w:color w:val="000000"/>
                <w:kern w:val="0"/>
                <w:sz w:val="24"/>
                <w:szCs w:val="24"/>
              </w:rPr>
              <w:t>中国国际海运集装箱（集团）股份有限公司</w:t>
            </w:r>
          </w:p>
        </w:tc>
        <w:tc>
          <w:tcPr>
            <w:tcW w:w="7" w:type="dxa"/>
            <w:tcBorders>
              <w:top w:val="single" w:sz="4" w:space="0" w:color="auto"/>
              <w:left w:val="single" w:sz="4" w:space="0" w:color="auto"/>
              <w:bottom w:val="single" w:sz="4" w:space="0" w:color="auto"/>
              <w:right w:val="single" w:sz="4" w:space="0" w:color="auto"/>
            </w:tcBorders>
            <w:vAlign w:val="center"/>
          </w:tcPr>
          <w:p>
            <w:pPr>
              <w:widowControl/>
              <w:snapToGrid w:val="0"/>
              <w:spacing w:after="0" w:line="240" w:lineRule="auto"/>
              <w:jc w:val="center"/>
              <w:rPr>
                <w:rFonts w:ascii="宋体" w:hAnsi="宋体"/>
                <w:color w:val="000000"/>
                <w:kern w:val="0"/>
                <w:sz w:val="24"/>
                <w:szCs w:val="24"/>
              </w:rPr>
            </w:pPr>
            <w:r>
              <w:rPr>
                <w:rFonts w:ascii="宋体" w:hAnsi="宋体"/>
                <w:color w:val="000000"/>
                <w:kern w:val="0"/>
                <w:sz w:val="24"/>
                <w:szCs w:val="24"/>
              </w:rPr>
              <w:t>5%</w:t>
            </w:r>
          </w:p>
        </w:tc>
      </w:tr>
    </w:tbl>
    <w:p>
      <w:pPr>
        <w:autoSpaceDE w:val="0"/>
        <w:autoSpaceDN w:val="0"/>
        <w:adjustRightInd w:val="0"/>
        <w:snapToGrid w:val="0"/>
        <w:spacing w:after="0" w:line="360" w:lineRule="auto"/>
        <w:ind w:firstLine="420" w:firstLineChars="200"/>
        <w:jc w:val="left"/>
        <w:rPr>
          <w:rFonts w:ascii="宋体" w:hAnsi="宋体"/>
          <w:szCs w:val="24"/>
        </w:rPr>
      </w:pPr>
      <w:r>
        <w:rPr>
          <w:rFonts w:ascii="宋体" w:hAnsi="宋体"/>
          <w:b/>
          <w:sz w:val="24"/>
        </w:rPr>
        <w:t>（二）主要成员情况</w:t>
      </w:r>
    </w:p>
    <w:p>
      <w:pPr>
        <w:autoSpaceDE w:val="0"/>
        <w:autoSpaceDN w:val="0"/>
        <w:adjustRightInd w:val="0"/>
        <w:snapToGrid w:val="0"/>
        <w:spacing w:after="0" w:line="360" w:lineRule="auto"/>
        <w:ind w:firstLine="420" w:firstLineChars="200"/>
        <w:jc w:val="left"/>
        <w:rPr>
          <w:rFonts w:ascii="宋体" w:hAnsi="宋体"/>
          <w:szCs w:val="24"/>
        </w:rPr>
      </w:pPr>
      <w:r>
        <w:rPr>
          <w:rFonts w:ascii="宋体" w:hAnsi="宋体"/>
          <w:sz w:val="24"/>
        </w:rPr>
        <w:t>1、基金管理人董事会成员</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 xml:space="preserve">袁庆伟女士，董事，总经理，代任董事长，硕士。历任交通银行乌鲁木齐分行财务会计处副处长、会计结算部高级经理，交通银行总行资产托管业务中心（资产托管部）副总裁、总裁，交通银行总行金融机构部总经理、资产管理业务中心总裁等职务。 </w:t>
      </w:r>
      <w:r w:rsidRPr="00BB248E">
        <w:rPr>
          <w:rFonts w:ascii="宋体" w:hAnsi="宋体" w:hint="eastAsia"/>
          <w:kern w:val="0"/>
          <w:sz w:val="24"/>
        </w:rPr>
        <w:t xml:space="preserve"> </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夏华龙先生，董事，博士，现任交通银行选派子公司股权董事，历任交通银行总行托管部基金业务部内控综合处副处长、资产委托高级经理、保险及养老金高级经理、资产托管部副总经理，交银施罗德基金管理有限公司党委委员、副总经理、首席信息官，交通银行总行养老金融部总经理。</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Karine Szenberg女士，董事，硕士。现任施罗德投资集团执行副主席、集团执行委员会成员和施罗德投资管理（瑞士）股份有限公司董事会主席。历任施罗德投资法国主管、欧洲主管、全球产品和营销主管等。</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章骏翔先生，副董事长，硕士，美国特许金融分析师(CFA)持证人。现任施罗德投资管理（香港）有限公司亚洲投资风险主管。历任渣打银行（香港）交易风险监控，华宝兴业基金风险管理部总经理，法国安盛投资管理（香港）有限公司亚洲风险经理等。</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单锋先生，独立董事，博士。现任南京大学法学教授职务。历任南京大学法学院助教、讲师、副教授。</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刘凤元先生，独立董事，博士。现任华东政法大学国际金融法律学院教授，资本市场研究中心主任，兼任多家香港和大陆上市公司（非证券基金经营机构）独立董事。</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宋若坤女士，独立董事，学士。英格兰及威尔士特许会计师协会和香港会计师公会特许会计师。历任毕马威会计师事务所香港分所审计部副经理，摩根资产管理（香港）亚太区资产管理合规主管等。</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许颖女士，职工董事，学士。现任交银施罗德基金管理有限公司基金运营部总经理、工会副主席职务。历任交银施罗德基金管理有限公司财务部总经理、财务总监，交银施罗德资产管理有限公司执行监事。</w:t>
      </w:r>
    </w:p>
    <w:p>
      <w:pPr>
        <w:autoSpaceDE w:val="0"/>
        <w:autoSpaceDN w:val="0"/>
        <w:adjustRightInd w:val="0"/>
        <w:snapToGrid w:val="0"/>
        <w:spacing w:after="0" w:line="360" w:lineRule="auto"/>
        <w:ind w:firstLine="420" w:firstLineChars="200"/>
        <w:jc w:val="left"/>
        <w:rPr>
          <w:rFonts w:ascii="宋体" w:hAnsi="宋体"/>
          <w:szCs w:val="24"/>
        </w:rPr>
      </w:pPr>
      <w:r>
        <w:rPr>
          <w:rFonts w:ascii="宋体" w:hAnsi="宋体"/>
          <w:sz w:val="24"/>
        </w:rPr>
        <w:t>2、基金管理人高级管理人员</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袁庆伟女士，总经理。简历同上。</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佘川女士，督察长，硕士，兼任交银施罗德资产管理有限公司董事。历任华泰证券有限责任公司综合发展部高级经理、投资银行部项目经理，银河基金管理有限公司监察部总监，交银施罗德基金管理有限公司监察稽核部总经理、监察风控副总监、投资运营总监。</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马俊先生，副总经理，硕士。历任交通银行总行投资管理部高级投资分析、副高级经理，交银施罗德基金管理有限公司总裁办公室总经理、研究部副总经理、研究总监、综合管理部总经理。</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周云康先生，首席信息官，硕士。历任交通银行柳州分行电脑中心科员、软件开发科长、副经理、经理；交通银行总行信息技术部（电脑部）主管、副处长；交通银行总行软件开发中心副高级经理、高级经理；交通银行总行金融科技部高级经理；交通银行总行营运与渠道部副总经理。</w:t>
      </w:r>
    </w:p>
    <w:p>
      <w:pPr>
        <w:autoSpaceDE w:val="0"/>
        <w:autoSpaceDN w:val="0"/>
        <w:adjustRightInd w:val="0"/>
        <w:snapToGrid w:val="0"/>
        <w:spacing w:after="0" w:line="360" w:lineRule="auto"/>
        <w:ind w:firstLine="420" w:firstLineChars="200"/>
        <w:jc w:val="left"/>
        <w:rPr>
          <w:rFonts w:ascii="宋体" w:hAnsi="宋体"/>
          <w:szCs w:val="24"/>
        </w:rPr>
      </w:pPr>
      <w:r>
        <w:rPr>
          <w:rFonts w:ascii="宋体" w:hAnsi="宋体"/>
          <w:sz w:val="24"/>
        </w:rPr>
        <w:t>3、本基金基金经理</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芮晨先生:基金经理。内蒙古科技大学工学士。19年证券投资行业从业经验。2007年至2009年任深圳尚诚资产管理有限公司研究员、研究副总监，2009年至2013年任国联安基金管理有限公司行业研究员、投资经理，2013年至2014年任浙商证券资产管理有限公司投资主办。2015年加入交银施罗德基金管理有限公司，现任权益部基金经理。曾任交银施罗德先锋混合型证券投资基金（2015年05月18日至2020年07月14日）、交银施罗德数据产业灵活配置混合型证券投资基金（2016年08月16日至2019年05月29日）的基金经理。现任交银施罗德稳健配置混合型证券投资基金（2025年03月25日至今）、交银施罗德启衡混合型证券投资基金（2022年11月30日至今）、交银施罗德科技创新灵活配置混合型证券投资基金（2016年05月05日至今）的基金经理。</w:t>
      </w:r>
    </w:p>
    <w:p>
      <w:pPr>
        <w:autoSpaceDE w:val="0"/>
        <w:autoSpaceDN w:val="0"/>
        <w:adjustRightInd w:val="0"/>
        <w:snapToGrid w:val="0"/>
        <w:spacing w:after="0" w:line="360" w:lineRule="auto"/>
        <w:ind w:firstLine="420" w:firstLineChars="200"/>
        <w:jc w:val="left"/>
        <w:rPr>
          <w:rFonts w:ascii="宋体" w:hAnsi="宋体"/>
          <w:szCs w:val="24"/>
        </w:rPr>
      </w:pPr>
      <w:r>
        <w:rPr>
          <w:rFonts w:ascii="宋体" w:hAnsi="宋体"/>
          <w:sz w:val="24"/>
        </w:rPr>
        <w:t>4、投资决策委员会成员</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委员：马俊（副总经理）</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迟鑫（权益部总经理兼任跨境投资部总经理）</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王崇（权益投资副总监、权益部一级专家、基金经理）</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于海颖（混合资产投资总监、基金经理）</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黄莹洁（固定收益（公募）投资助理总监、基金经理）</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樊继拓（多资产研究部副总经理）</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上述人员之间不存在近亲属关系。</w:t>
      </w:r>
    </w:p>
    <w:p>
      <w:pPr>
        <w:autoSpaceDE w:val="0"/>
        <w:autoSpaceDN w:val="0"/>
        <w:adjustRightInd w:val="0"/>
        <w:snapToGrid w:val="0"/>
        <w:spacing w:after="0" w:line="360" w:lineRule="auto"/>
        <w:ind w:firstLine="420" w:firstLineChars="200"/>
        <w:jc w:val="left"/>
        <w:rPr>
          <w:rFonts w:ascii="宋体" w:hAnsi="宋体"/>
          <w:szCs w:val="24"/>
        </w:rPr>
      </w:pPr>
      <w:r>
        <w:rPr>
          <w:rFonts w:ascii="宋体" w:hAnsi="宋体"/>
          <w:b/>
          <w:sz w:val="24"/>
        </w:rPr>
        <w:t>（三）基金管理人的职责</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1、依法募集资金，办理或者委托经中国证监会认定的其他机构办理基金份额的发售、申购、赎回和登记事宜；</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2、办理基金备案手续；</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3、对所管理的不同基金财产分别管理、分别记账，进行证券投资；</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4、按照基金合同的约定确定基金收益分配方案，及时向基金份额持有人分配收益；</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5、进行基金会计核算并编制基金财务会计报告；</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6、编制季度报告、中期报告和年度报告；</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7、计算并公告基金净值信息，确定基金份额申购、赎回价格；</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8、办理与基金财产管理业务活动有关的信息披露事项；</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9、按照规定召集基金份额持有人大会；</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10、保存基金财产管理业务活动的记录、账册、报表和其他相关资料；</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11、以基金管理人名义，代表基金份额持有人利益行使诉讼权利或者实施其他法律行为；</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12、有关法律法规和中国证监会规定的其他职责。</w:t>
      </w:r>
    </w:p>
    <w:p>
      <w:pPr>
        <w:autoSpaceDE w:val="0"/>
        <w:autoSpaceDN w:val="0"/>
        <w:adjustRightInd w:val="0"/>
        <w:snapToGrid w:val="0"/>
        <w:spacing w:after="0" w:line="360" w:lineRule="auto"/>
        <w:ind w:firstLine="420" w:firstLineChars="200"/>
        <w:jc w:val="left"/>
        <w:rPr>
          <w:rFonts w:ascii="宋体" w:hAnsi="宋体"/>
          <w:szCs w:val="24"/>
        </w:rPr>
      </w:pPr>
      <w:r>
        <w:rPr>
          <w:rFonts w:ascii="宋体" w:hAnsi="宋体"/>
          <w:b/>
          <w:sz w:val="24"/>
        </w:rPr>
        <w:t>（四）基金管理人的承诺</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1、基金管理人承诺不从事违反《中华人民共和国证券法》的行为，并承诺建立健全内部控制制度，采取有效措施，防止违反《中华人民共和国证券法》行为的发生；</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2、基金管理人承诺不从事违反《基金法》的行为，并承诺建立健全内部风险控制制度，采取有效措施，防止下列行为的发生：</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（1）将基金管理人固有财产或者他人财产混同于基金财产从事证券投资；</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（2）不公平地对待管理的不同基金财产；</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（3）利用基金财产为基金份额持有人以外的第三人牟取利益；</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（4）向基金份额持有人违规承诺收益或者承担损失；</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（5）侵占、挪用基金财产；</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（6）法律、行政法规和中国证监会禁止的其他行为。</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3、基金管理人承诺严格遵守基金合同，并承诺建立健全内部控制制度，采取有效措施，防止违反基金合同行为的发生；</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4、基金管理人承诺加强人员管理，强化职业操守，督促和约束员工遵守国家有关法律法规及行业规范，诚实信用、勤勉尽责；</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5、基金管理人承诺不从事其他法规规定禁止从事的行为。</w:t>
      </w:r>
    </w:p>
    <w:p>
      <w:pPr>
        <w:autoSpaceDE w:val="0"/>
        <w:autoSpaceDN w:val="0"/>
        <w:adjustRightInd w:val="0"/>
        <w:snapToGrid w:val="0"/>
        <w:spacing w:after="0" w:line="360" w:lineRule="auto"/>
        <w:ind w:firstLine="420" w:firstLineChars="200"/>
        <w:jc w:val="left"/>
        <w:rPr>
          <w:rFonts w:ascii="宋体" w:hAnsi="宋体"/>
          <w:szCs w:val="24"/>
        </w:rPr>
      </w:pPr>
      <w:r>
        <w:rPr>
          <w:rFonts w:ascii="宋体" w:hAnsi="宋体"/>
          <w:b/>
          <w:sz w:val="24"/>
        </w:rPr>
        <w:t>（五）基金经理承诺</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1、依照有关法律法规和基金合同的规定，本着谨慎的原则为基金份额持有人谋取最大利益；</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2、不利用职务之便为自己、受雇人或任何第三者谋取利益；</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3、不泄露在任职期间知悉的有关证券、基金的商业秘密，尚未依法公开的基金投资内容、基金投资计划等信息，或利用该信息从事或者明示、暗示他人从事相关的交易活动；</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4、不以任何形式为其他组织或个人进行证券交易。</w:t>
      </w:r>
    </w:p>
    <w:p>
      <w:pPr>
        <w:autoSpaceDE w:val="0"/>
        <w:autoSpaceDN w:val="0"/>
        <w:adjustRightInd w:val="0"/>
        <w:snapToGrid w:val="0"/>
        <w:spacing w:after="0" w:line="360" w:lineRule="auto"/>
        <w:ind w:firstLine="420" w:firstLineChars="200"/>
        <w:jc w:val="left"/>
        <w:rPr>
          <w:rFonts w:ascii="宋体" w:hAnsi="宋体"/>
          <w:szCs w:val="24"/>
        </w:rPr>
      </w:pPr>
      <w:r>
        <w:rPr>
          <w:rFonts w:ascii="宋体" w:hAnsi="宋体"/>
          <w:b/>
          <w:sz w:val="24"/>
        </w:rPr>
        <w:t>（六）基金管理人的内部控制制度</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1、内部控制的原则</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（1）健全性原则</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内部控制应当包括公司的各项业务、各个部门或机构和各级人员, 并涵盖到决策、执行、监督、反馈等各个环节。</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（2）有效性原则</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通过科学的内控手段和方法，建立合理的内控程序，维护内控制度的有效执行。</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（3）独立性原则</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公司各机构、部门和岗位职责应当保持相对独立，除非法律法规另有规定，公司基金资产、自有资产、其他资产的运作应当分离。</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（4）相互制约原则</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公司内部部门和岗位的设置应当体现权责分明、相互制衡。</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（5）成本效益原则</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公司运用科学化的经营管理方法降低运作成本，提高经济效益，力争以合理的控制成本达到最佳的内部控制效果。</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2、风险管理和内部风险控制体系结构</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公司的风险管理体系结构是一个分工明确、相互牵制的组织结构，由董事会对风险管理负最终责任，各个业务部门负责本部门的风险评估和监控，风险管理部负责监察公司的风险管理措施的执行。具体而言，包括如下组成部分：</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（1）董事会</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负责制定公司风险偏好（含风险容忍度）、风险管理和内部控制政策，审议并通过与公司内部风险管理和合规有关的重大事项。</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（2）合规风险及审计委员会</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作为董事会下的专业委员会之一，负责对公司在经营管理和基金业务运作的合法性、合规性和风险状况进行检查和评估，对公司监察稽核制度的有效性进行评价，监督检查公司财务状况，审计公司的财务报表，评估公司的财务表现，保证公司的财务运作符合法律的要求和通行的会计标准。</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（3）风险控制委员会</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作为总经理下设的专业委员会之一，风险控制委员会负责评估与公司战略发展和经营运作相关的主要风险；评估公司各方面运行状况是否合规有序，审查有无存在与公司业务有关的重大风险；审议或听取由公司制度规定的需要向风险控制委员会报告的其他情形等。</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（4）督察长</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独立行使督察权利；直接对董事会负责；就内部控制制度和执行情况独立地履行检查、评价、报告、建议职能；定期和不定期地向董事会报告公司内部控制执行情况。</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（5）风险管理部</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风险管理部负责制定公司风险管理政策和防范及控制措施，汇总公司业务所有的风险信息，独立识别、评估各类风险，提出风险控制建议，使公司在一种风险管理和控制的环境中实现业务目标。</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（6）审计部</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审计部负责按照公司要求，根据国家法律法规及行业规范，结合公司战略发展及管理目标，对公司内部控制体系的适当性及运行的效果和效率进行独立评价，协助促进公司风险管理、控制和治理过程的完善，实现合规经营目标。</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（7）内控合规及法律事务部</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内控合规及法律事务部负责公司的法律、内控合规事务及协调实施信息披露事务，依法维护公司合法权益，评估并处理公司运营中发生的法律、内控合规及信息披露相关问题，及时向公司管理层及全体员工传达法规及监管要求。</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（8）业务部门</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风险管理是每一个业务部门首要的责任。部门负责人对本部门的风险负全部责任，负责履行公司的风险管理程序，负责本部门的风险管理系统的开发、执行和维护，用于识别、监控和降低风险。</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3、风险管理和内部风险控制的措施</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（1）建立内控体系，完善内控制度</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公司建立、健全了内控体系，通过高管人员关于内控的明确分工，确保各项业务活动有恰当的组织和授权，确保监察活动独立，并得到高管人员的支持，同时置备操作手册，并定期更新。</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（2）建立相互分离、相互制衡的内控机制</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建立、健全了各项制度，做到基金经理分开，投资决策分开，基金交易集中，形成不同部门、不同岗位之间的制衡机制，从制度上减少和防范风险。</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（3）建立、健全岗位责任制</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建立、健全了岗位责任制，使每个员工都明确自己的任务、职责，并及时将各自工作领域中的风险隐患上报，以防范和减少风险。</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（4）建立风险分类、识别、评估、报告、提示程序</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建立了风险评估机制，通过适合的程序，确认和评估与公司运作有关的风险；公司建立了自下而上的风险报告程序，对风险隐患进行层层汇报，使各个层次的人员及时掌握风险状况，从而以最快速度作出决策。</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（5）建立有效的内部监控系统</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建立了足够、有效的内部监控系统，对可能出现的各种风险进行全面和实时的监控。</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（6）使用数量化的风险管理手段</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采取数量化、技术化的风险控制手段，建立数量化的风险管理模型，用以提示风险，以便公司及时采取有效的措施，对风险进行分散、控制和规避，尽可能地减少损失。</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（7）提供足够的培训</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制定了完整的培训计划，为所有员工提供足够和适当的培训，使员工明确其职责所在，控制风险。</w:t>
      </w:r>
    </w:p>
    <w:p>
      <w:pPr>
        <w:pStyle w:val="Heading1"/>
        <w:snapToGrid w:val="0"/>
        <w:spacing w:before="240" w:beforeLines="0" w:after="0"/>
        <w:rPr>
          <w:rFonts w:ascii="宋体" w:hAnsi="宋体"/>
          <w:szCs w:val="30"/>
        </w:rPr>
      </w:pPr>
      <w:r>
        <w:br w:type="page"/>
      </w:r>
      <w:bookmarkStart w:id="10" w:name="_Toc256000004"/>
      <w:bookmarkStart w:id="11" w:name="_Toc256000031"/>
      <w:r>
        <w:rPr>
          <w:rFonts w:ascii="宋体" w:hAnsi="宋体"/>
          <w:sz w:val="30"/>
        </w:rPr>
        <w:t>四、基金托管人</w:t>
      </w:r>
      <w:bookmarkEnd w:id="11"/>
      <w:bookmarkEnd w:id="10"/>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b/>
          <w:kern w:val="0"/>
          <w:sz w:val="24"/>
        </w:rPr>
        <w:t>（一）基金托管人概况</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1、基本情况</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名称：招商银行股份有限公司（以下简称“招商银行”）</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设立日期：1987年3月31日</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注册地址：深圳市深南大道7088号招商银行大厦</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办公地址：深圳市深南大道7088号招商银行大厦</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注册资本：252.20亿元</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法定代表人：缪建民</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行长：王小青</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资产托管业务批准文号：证监基金字[2002]83号</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电话：4006195555</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传真：0755-83195201</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资产托管部信息披露负责人：张姗</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2、发展概况</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招商银行于1987年在深圳创建，是中国境内第一家完全由企业法人持股的股份制商业银行，成立39年来逐步发展成为沪港两地上市，拥有商业银行、金融租赁、基金管理、人寿保险、境外投行、消费金融、理财子公司、金融资产投资等金融牌照的银行集团。成立以来，招商银行始终坚持创新驱动、特色鲜明、科技领先、服务优质，以自身转型发展助力社会经济高质量发展，全力服务居民和企业客户财富增长、资产安全、资金融通。截至2026年6月30日，本集团总资产137,852.80亿元人民币，高级法下资本充足率16.59%，权重法下资本充足率15.06%。</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2002年8月，招商银行成立基金托管部；2005年8月，经报中国证监会同意，更名为资产托管部，现下设基金券商团队、银保信托团队、养老金团队、业务管理团队、产品研发团队、风险管理团队、系统与数据团队、项目支持团队、运营管理团队、基金外包业务团队10个职能团队，现有员工262人。2002年11月，经中国人民银行和中国证监会批准获得证券投资基金托管业务资格，成为国内第一家获得该项业务资格上市银行；2003年4月，正式办理基金托管业务。招商银行作为托管业务资质最全的商业银行之一，拥有证券投资基金托管资格、基本养老保险基金托管机构资格、受托投资管理托管业务托管资格、保险资金托管业务资格、企业年金基金托管业务资格、合格境外机构投资者托管（QFII）资格、合格境内机构投资者托管（QDII）资格、私募基金业务外包服务资格、存托凭证试点存托业务等业务资格。</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招商银行资产托管结合自身在托管行业深耕24年的专业能力和创新精神，推出“招商银行托管+”服务品牌，以“践行价值银行战略，致力于成为专业更精、科技更强、服务更佳的客户首选全球托管银行”品牌愿景为指引，以“值得信赖的专家、贴心服务的管家、让价值持续增加、客户的体验更佳”的“4+目标”，以创新的“服务产品化”为方法论，全方位助力资管机构实现可持续的高质量发展。招商银行资产托管围绕资管全场景，打造了“如风运营”“大观投研”“见微数据”三个服务子品牌，不断创新托管系统、服务和产品：在业内率先推出“网上托管银行系统”、托管业务综合系统和“6S”托管服务标准，首家发布私募基金绩效分析报告，开办国内首个托管银行网站，推出国内首个托管大数据平台，成功托管国内第一只券商集合资产管理计划、第一只FOF、第一只信托资金计划、第一只股权私募基金、第一家实现货币市场基金赎回资金T+1到账、第一只境外银行QDII基金、第一只红利ETF基金、第一只“1+N”基金专户理财、第一家大小非解禁资产、第一单TOT保管，实现从单一托管服务商向全面投资者服务机构的转变，得到了同业认可。</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招商银行资产托管业务持续稳健发展，社会影响力不断提升,近年来获得业内各类奖项荣誉。2016年5月 “托管通”荣获《银行家》2016中国金融创新 “十佳金融产品创新奖”； 6月荣获《财资》“中国最佳托管银行奖”，成为国内唯一获得该奖项的托管银行；7月荣获中国资产管理“金贝奖”“最佳资产托管银行”、《21世纪经济报道》“2016最佳资产托管银行”。2017年5月荣获《亚洲银行家》“中国年度托管银行奖”；6月荣获《财资》“中国最佳托管银行奖”；“全功能网上托管银行2.0”荣获《银行家》2017中国金融创新“十佳金融产品创新奖”。2018年1月荣获中央国债登记结算有限责任公司“2017年度优秀资产托管机构”奖；同月，托管大数据平台风险管理系统荣获2016-2017年度银监会系统“金点子”方案一等奖，以及中央金融团工委、全国金融青联第五届“双提升”金点子方案二等奖；3月</w:t>
      </w:r>
      <w:r w:rsidRPr="00BB248E">
        <w:rPr>
          <w:rFonts w:ascii="宋体" w:hAnsi="宋体" w:hint="eastAsia"/>
          <w:kern w:val="0"/>
          <w:sz w:val="24"/>
        </w:rPr>
        <w:t>荣获《中国基金报》“最佳基金</w:t>
      </w:r>
      <w:r w:rsidRPr="00BB248E">
        <w:rPr>
          <w:rFonts w:ascii="宋体" w:hAnsi="宋体" w:hint="eastAsia"/>
          <w:kern w:val="0"/>
          <w:sz w:val="24"/>
        </w:rPr>
        <w:t>托管银行”奖；5月荣获国际财经权威媒体《亚洲银行家》“中国年度托管银行奖”</w:t>
      </w:r>
      <w:r w:rsidRPr="00BB248E">
        <w:rPr>
          <w:rFonts w:ascii="宋体" w:hAnsi="宋体" w:hint="eastAsia"/>
          <w:kern w:val="0"/>
          <w:sz w:val="24"/>
        </w:rPr>
        <w:t>；12月荣获2018东方财富风云榜“2018年度最佳托管银行”、“20年最值得信赖托管银行”奖。2019年3月荣获《中国基金报》“2018年度最佳基金托管银行”奖；6月荣获《财资》“中国最佳托管机构”“中国最佳养老金托管机构”“中国最佳零售基金行政外包”三项大奖；12月荣获2019东方财富风云榜“2019年度最佳托管银行”奖。</w:t>
      </w:r>
      <w:r w:rsidRPr="00BB248E">
        <w:rPr>
          <w:rFonts w:ascii="宋体" w:hAnsi="宋体" w:hint="eastAsia"/>
          <w:kern w:val="0"/>
          <w:sz w:val="24"/>
        </w:rPr>
        <w:t>2020年1月，荣获中央国债登记结算有限责任公司“2019年度优秀资产托管机构”奖项；</w:t>
      </w:r>
      <w:r w:rsidRPr="00BB248E">
        <w:rPr>
          <w:rFonts w:ascii="宋体" w:hAnsi="宋体" w:hint="eastAsia"/>
          <w:kern w:val="0"/>
          <w:sz w:val="24"/>
        </w:rPr>
        <w:t>6月荣获《财资》“中国境内最佳托管机构”“最佳公募基金托管机构”“最佳公募基金行政外包机构”三项大奖；10月荣获《中国基金报》</w:t>
      </w:r>
      <w:r w:rsidRPr="00BB248E">
        <w:rPr>
          <w:rFonts w:ascii="宋体" w:hAnsi="宋体" w:hint="eastAsia"/>
          <w:kern w:val="0"/>
          <w:sz w:val="24"/>
        </w:rPr>
        <w:t>第二届中国公募基金英华奖</w:t>
      </w:r>
      <w:r w:rsidRPr="00BB248E">
        <w:rPr>
          <w:rFonts w:ascii="宋体" w:hAnsi="宋体" w:hint="eastAsia"/>
          <w:kern w:val="0"/>
          <w:sz w:val="24"/>
        </w:rPr>
        <w:t>“2019年度最佳基</w:t>
      </w:r>
      <w:r w:rsidRPr="00BB248E">
        <w:rPr>
          <w:rFonts w:ascii="宋体" w:hAnsi="宋体" w:hint="eastAsia"/>
          <w:kern w:val="0"/>
          <w:sz w:val="24"/>
        </w:rPr>
        <w:t>金托管银行”奖。2021年1月，荣获中央国债登记结算有限责任公司“2020年度优秀资产托管机构”奖项；同月荣获2020东方财富风云榜“2020年度最受欢迎托管银行”奖项；2021年10月，《证券时报》“2021年度杰出资产托管银行天玑奖”；2021年12月，荣获《中国基金报》第三届中国公募基金英华奖“2020年度最佳基金托管银行”；2022年1月荣获中央国债登记结算有限责任公司“2021年度优秀资产托管机构、估值业务杰出机构”奖项；9月荣获《财资》“中国最佳托管银行”“最佳公募基金托管银行”“最佳理财托管银行”三项大奖；12月荣获《证券时报》“2022年度杰出资产托管银行天玑奖”；2023年1月荣获中央国债登记结算有限责任公司“2022年度优秀资产托管机构”、银行间市场清算所股份有限公司“2022年度优秀托管机构”、全国银行间同业拆借中心“2022年度银行间本币市场托管业务市场创新奖”三项大奖；2023年4月，荣获《中国基金报》第二届中国基金业创新英华奖“托管创新奖”；2023年9月，荣获《中国基金报》中国基金业英华奖“公募基金25年基金托管示范银行（全国性股份行）”；2023年12月，荣获《东方财富风云榜》“2023年度托管银行风云奖”。2024年1月，荣获中央国债登记结算有限责任公司“2023年度优秀资产托管机构”、“2023年度估值业务杰出机构”、“2023年度债市领军机构”、“2023年度中债绿债指数优秀承销机构”四项大奖；2024年2月，荣获泰康养老保险股份有限公司“2023年度最佳年金托管合作伙伴”奖。2024年4月，荣获中国基金报“中国基金业英华奖-ETF20周年特别评选“优秀ETF托管人””奖。2024年6月，荣获上海清算所“2023年度优秀托管机构”奖。</w:t>
      </w:r>
      <w:r w:rsidRPr="00BB248E">
        <w:rPr>
          <w:rFonts w:ascii="宋体" w:hAnsi="宋体" w:hint="eastAsia"/>
          <w:kern w:val="0"/>
          <w:sz w:val="24"/>
        </w:rPr>
        <w:t>2024年8月，在《21世纪经济报道》主办的2024资产管理年会暨十七届21世纪【金贝】资产管理竞争力研究案例发布盛典上，“招商银行托管+”荣获“2024卓越影响力品牌”奖项；2024年9月，在2024财联社中国金融业“拓扑奖”评选中，荣获银行业务类奖项“2024年资产托管银行‘拓扑奖’”；2024年12月，荣获《中国证券报》“ETF金牛生态圈卓越托管机构（银行）奖”；2024年12月，荣获《2024东方财富风云际会》“年度托管银行风云奖”。2025年1月，荣获中央国债登记结算有限责任公司“2024年度优秀资产托管机构”奖项、上海清算所“2024年度优秀托管机构”奖项；2025年2月，荣获全国银行间同业拆借中心“2024年度市场创新业务机构”奖项；2025年3月，荣获《中国基金报》2025年指数生态圈英华典型案例“指数产品托管机构”奖项；2025年6月，荣获《亚洲银行家》“中国最佳托管银行”“中国最佳股份制托管银行”奖项。2025年8月，在《21世纪经济报道》主办的2025资产管理年会暨十八届21世纪【金贝】资产管理竞争力案例发布盛典上，“招商银行托管+”荣获“2025卓越影响力品牌”奖项。2025年12月，荣获《2025东方财富风云际会》“年度托管银行风云奖”。2026年1月，荣获中央国债登记结算有限责任公司“2025年度优秀资产托管机构”奖项。2026年4月，荣获上海清算所“2025年度优秀托管机构”奖项。2026年7月，荣获《亚洲银行家》“中国最佳托管银行”“中国最佳股份制托管银行”奖项。</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b/>
          <w:kern w:val="0"/>
          <w:sz w:val="24"/>
        </w:rPr>
        <w:t>（二）主要人员情况</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缪建民先生，招商银行董事长、非执行董事，2020年9月起担任招商银行董事、董事长。中央财经大学经济学博士，高级经济师。中国共产党第十九届、二十届中央委员会候补委员。招商局集团有限公司董事长。曾任中国人寿保险（集团）公司副董事长、总裁，中国人民保险集团股份有限公司副董事长、总裁、董事长，曾兼任中国人民财产保险股份有限公司董事长，中国人保资产管理有限公司董事长，中国人民健康保险股份有限公司董事长，中国人民保险（香港）有限公司董事长，人保资本投资管理有限公司董事长，中国人民养老保险有限责任公司董事长，中国人民人寿保险股份有限公司董事长。</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王小青先生，招商银行党委书记、行长，复旦大学政治经济学博士。曾任中国人保资产管理有限公司总裁助理、副总裁兼财务负责人，招商基金管理有限公司总经理、董事长，招商银行行长助理兼深圳分行行长、招商银行副行长，招商局金融控股有限公司总经理。曾兼任招商信诺人寿保险有限公司董事长、招商信诺资产管理有限公司董事长。</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王颖女士，招商银行副行长，南京大学政治经济学专业硕士，经济师。王颖女士1997年1月加入招商银行，历任招商银行北京分行行长助理、副行长，天津分行行长，深圳分行行长，招商银行行长助理。2023年11月起任招商银行副行长。</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孙乐女士，招商银行资产托管部总经理，硕士研究生毕业，2001年8月加入招商银行至今，历任招商银行合肥分行风险控制部副经理、经理、信贷管理部总经理助理、副总经理、总经理、公司银行部总经理、中小企业金融部总经理、投行与金融市场部总经理；无锡分行行长助理、副行长；南京分行副行长；2021年10月起先后任招商银行资产托管部负责人、资产托管部总经理，具有20余年银行从业经验，在风险管理、信贷管理、公司金融、资产托管等领域有深入的研究和丰富的实务经验。</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b/>
          <w:kern w:val="0"/>
          <w:sz w:val="24"/>
        </w:rPr>
        <w:t>（三）基金托管业务经营情况</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截至2026年6月30日，招商银行股份有限公司累计托管1875只证券投资基金。</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b/>
          <w:kern w:val="0"/>
          <w:sz w:val="24"/>
        </w:rPr>
        <w:t>（四）托管人的内部控制制度</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1、 内部控制目标</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招商银行确保托管业务严格遵守国家有关法律法规和行业监管制度，坚持守法经营、规范运作的经营理念；形成科学合理的决策机制、执行机制和监督机制，防范和化解经营风险，确保托管业务的稳健运行和托管资产的安全；建立有利于查错防弊、堵塞漏洞、消除隐患，保证业务稳健运行的风险控制制度，确保托管业务信息真实、准确、完整、及时；确保内控机制、体制的不断改进和各项业务制度、流程的不断完善。</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2、 内部控制组织结构</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招商银行资产托管业务建立三级内部控制及风险防范体系：</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一级内部控制及风险防范是在招商银行总行风险管控层面对风险进行预防和控制；总行风险管理部、法律合规部、审计部独立对资产托管业务进行评估监督，并提出内控提升管理建议。</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二级内部控制及风险防范是招商银行资产托管部设立风险合规管理相关团队，负责部门内部风险预防和控制，及时发现内部控制缺陷，提出整改方案，跟踪整改情况，并直接向部门总经理室报告。</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三级内部控制及风险防范是招商银行资产托管部在设置专业岗位时，遵循内控制衡原则，视业务的风险程度制定相应监督制衡机制。</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3、 内部控制原则</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（1）全面性原则。内部控制覆盖各项业务过程和操作环节、覆盖所有团队和岗位，并由全部人员参与。</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（2）审慎性原则。托管组织体系的构成、内部管理制度的建立均以防范风险、审慎经营为出发点，体现“内控优先”的要求。</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（3）独立性原则。招商银行资产托管部各团队、各岗位职责保持相对独立，不同托管资产之间、托管资产和自有资产之间相互分离。内部控制的检查、评价部门独立于内部控制的建立和执行部门。</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4）有效性原则。内部控制有效性包含内部控制设计的有效性、内部控制执行的有效性。内部控制设计的有效性是指内部控制的设计覆盖了所有应关注的重要风险，且设计的风险应对措施适当。内部控制执行的有效性是指内部控制能够按照设计要求严格有效执行。</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（5）适应性原则。内部控制适应招商银行托管业务风险管理的需要，并能够随着托管业务经营战略、经营方针、经营理念等内部环境的变化和国家法律、法规、政策制度等外部环境的改变及时进行修订和完善。</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（6）防火墙原则。招商银行资产托管部办公场地与我行其他业务场地隔离，办公网和业务网物理分离，部门业务网和全行业务网防火墙策略分离，以达到风险防范的目的。</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（7）重要性原则。内部控制在实现全面控制的基础上，关注重要托管业务重要事项和高风险环节。</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（8）制衡性原则。内部控制能够实现在托管组织体系、机构设置、权责分配及业务流程等方面相互制约、相互监督，同时兼顾运营效率。</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4、 内部控制措施</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1）完善的制度建设。招商银行资产托管部从资产托管业务内控管理、产品受理、会计核算、资金清算、岗位管理、档案管理和信息管理等方面制定一系列规章制度，建立了三层制度体系，即：基本规定、业务管理办法和业务操作规程。制度结构层次清晰、管理要求明确，满足风险管理全覆盖的要求，保证资产托管业务科学化、制度化、规范化运作。</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（2）业务信息风险控制。招商银行资产托管部在数据传输和保存方面有严格的加密和备份措施，采用加密、直连方式传输数据，数据执行异地实时备份，所有的业务信息须经过严格的授权方能进行访问。</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（3）客户资料风险控制。招商银行资产托管部对业务办理过程中获取的客户资料严格保密，除法律法规和其他有关规定、监管机构及审计要求外，不向任何机构、部门或个人泄露。</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4）信息技术系统风险控制。招商银行对信息技术系统机房、权限管理实行双人双岗双责，电脑机房24小时值班并设置门禁，所有电脑设置密码及相应权限。业务网和办公网、托管业务网与全行业务网双分离制度，与外部业务机构实行防火墙保护，对信息技术系统采取两地三中心的应急备份管理措施等，保证信息技术系统的安全。</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（5）人力资源控制。招商银行资产托管部通过建立良好的企业文化和员工培训、激励机制、加强人力资源管理及建立人才梯级队伍及人才储备机制，有效地进行人力资源管理。</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b/>
          <w:kern w:val="0"/>
          <w:sz w:val="24"/>
        </w:rPr>
        <w:t>（五）基金托管人对基金管理人运作基金进行监督的方法和程序</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根据《中华人民共和国证券投资基金法》《公开募集证券投资基金运作管理办法》等有关法律法规的规定及基金合同、托管协议的约定，对基金投资范围、投资比例、投资组合等情况的合法性、合规性进行监督和核查。</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在为基金投资运作所提供的基金清算和核算服务环节中，基金托管人对基金管理人发送的投资指令、基金管理人对各基金费用的提取与支付情况进行检查监督，对违反法律法规、基金合同的指令拒绝执行，并立即通知基金管理人。</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基金托管人如发现基金管理人依据交易程序已经生效的投资指令违反法律、行政法规和其他有关规定，或者违反基金合同约定，及时以书面形式通知基金管理人进行整改，整改的时限应符合法律法规及基金合同允许的调整期限。基金管理人收到通知后应及时核对确认并以书面形式向基金托管人发出回函并改正。基金管理人对基金托管人通知的违规事项未能在限期内纠正的，基金托管人应报告中国证监会。</w:t>
      </w:r>
    </w:p>
    <w:p>
      <w:pPr>
        <w:pStyle w:val="Heading1"/>
        <w:snapToGrid w:val="0"/>
        <w:spacing w:before="240" w:beforeLines="0" w:after="0"/>
        <w:rPr>
          <w:rFonts w:ascii="宋体" w:hAnsi="宋体"/>
          <w:szCs w:val="30"/>
        </w:rPr>
      </w:pPr>
      <w:r>
        <w:br w:type="page"/>
      </w:r>
      <w:bookmarkStart w:id="12" w:name="_Toc256000005"/>
      <w:bookmarkStart w:id="13" w:name="_Toc256000032"/>
      <w:r>
        <w:rPr>
          <w:rFonts w:ascii="宋体" w:hAnsi="宋体"/>
          <w:sz w:val="30"/>
        </w:rPr>
        <w:t>五、相关服务机构</w:t>
      </w:r>
      <w:bookmarkEnd w:id="13"/>
      <w:bookmarkEnd w:id="12"/>
    </w:p>
    <w:p>
      <w:pPr>
        <w:autoSpaceDE w:val="0"/>
        <w:autoSpaceDN w:val="0"/>
        <w:adjustRightInd w:val="0"/>
        <w:snapToGrid w:val="0"/>
        <w:spacing w:after="0" w:line="360" w:lineRule="auto"/>
        <w:ind w:firstLine="420" w:firstLineChars="200"/>
        <w:jc w:val="left"/>
        <w:rPr>
          <w:rFonts w:ascii="宋体" w:hAnsi="宋体"/>
          <w:szCs w:val="24"/>
        </w:rPr>
      </w:pPr>
      <w:r>
        <w:rPr>
          <w:rFonts w:ascii="宋体" w:hAnsi="宋体"/>
          <w:b/>
          <w:sz w:val="24"/>
        </w:rPr>
        <w:t>（一）基金份额销售机构</w:t>
      </w:r>
    </w:p>
    <w:p>
      <w:pPr>
        <w:autoSpaceDE w:val="0"/>
        <w:autoSpaceDN w:val="0"/>
        <w:adjustRightInd w:val="0"/>
        <w:snapToGrid w:val="0"/>
        <w:spacing w:after="0" w:line="360" w:lineRule="auto"/>
        <w:ind w:firstLine="420" w:firstLineChars="200"/>
        <w:jc w:val="left"/>
        <w:rPr>
          <w:rFonts w:ascii="宋体" w:hAnsi="宋体"/>
          <w:szCs w:val="24"/>
        </w:rPr>
      </w:pPr>
      <w:r>
        <w:rPr>
          <w:rFonts w:ascii="宋体" w:hAnsi="宋体"/>
          <w:sz w:val="24"/>
        </w:rPr>
        <w:t>1、直销机构</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本基金直销机构为基金管理人直销柜台以及基金管理人的网上直销交易平台（网站及手机APP，下同）。</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机构名称：交银施罗德基金管理有限公司</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住所：中国(上海)自由贸易试验区银城中路188号交通银行大楼二层（裙）</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办公地址：上海市浦东新区世纪大道8号国金中心二期21-22楼</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法定代表人：袁庆伟（代任）</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成立时间：2005年8月4日</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电话：（021）61055724</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传真：（021）61055054</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联系人：傅鲸</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客户服务电话：400-700-5000（免长途话费），（021）61055000</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网址：www.fund001.com</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个人投资者可以通过基金管理人网上直销交易平台办理开户、本基金的申购、赎回、转换及定期定额投资等业务，具体交易细则请参阅基金管理人网站。</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网上直销交易平台网址：www.fund001.com。</w:t>
      </w:r>
    </w:p>
    <w:p>
      <w:pPr>
        <w:autoSpaceDE w:val="0"/>
        <w:autoSpaceDN w:val="0"/>
        <w:adjustRightInd w:val="0"/>
        <w:snapToGrid w:val="0"/>
        <w:spacing w:after="0" w:line="360" w:lineRule="auto"/>
        <w:ind w:firstLine="420" w:firstLineChars="200"/>
        <w:jc w:val="left"/>
        <w:rPr>
          <w:rFonts w:ascii="宋体" w:hAnsi="宋体"/>
          <w:szCs w:val="24"/>
        </w:rPr>
      </w:pPr>
      <w:r>
        <w:rPr>
          <w:rFonts w:ascii="宋体" w:hAnsi="宋体"/>
          <w:sz w:val="24"/>
        </w:rPr>
        <w:t>2、其他销售机构</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（1）名称：交通银行股份有限公司</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住所：上海市浦东新区银城中路188号</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办公地址：上海市浦东新区银城中路188号</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法定代表人：任德奇</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电话：（021）58781234</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传真：（021）58408483</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联系人：范瑞波</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客户服务电话：95559</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网址：www.bankcomm.com</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（2）名称：招商银行股份有限公司</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住所：深圳市福田区深南大道7088号</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办公地址：深圳市福田区深南大道7088号</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法定代表人：缪建民</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电话：（0755）83198888</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传真：（0755）83195109</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联系人：季平伟</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客户服务电话：95555</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网址：www.cmbchina.com</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（3）名称：中信银行股份有限公司</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住所：北京市东城区朝阳门北大街9号</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办公地址：北京市东城区朝阳门北大街9号</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法定代表人：朱鹤新</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电话：（010）89936330</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传真：（010）85230024</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联系人：丰靖</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客户服务电话：95558</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网址：bank.ecitic.com</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（4）名称：上海浦东发展银行股份有限公司</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住所：上海市中山东一路12 号</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办公地址：上海市中山东一路12 号</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法定代表人：郑杨</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电话：（021）61618888</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传真：（021）61618888</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联系人：朱瑛</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客户服务电话：95528</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网址：www.spdb.com.cn</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（5）名称：江苏银行股份有限公司</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住所：南京市中华路26号</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办公地址：南京市中华路26号</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法定代表人：夏平</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电话：（025）58587018</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传真：（025）58587038</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联系人：田春慧</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客户服务电话：95319</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网址：www.jsbchina.cn</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（6）名称：宁波银行股份有限公司</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住所：宁波市江东区中山东路294号</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法定代表人：陆华裕</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电话：（021）63586210</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传真：（021）63586215</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联系人：胡技勋</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客户服务电话：96528（上海地区962528）</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网址：www.nbcb.com.cn</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（7）名称：中国邮政储蓄银行股份有限公司</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住所：北京市西城区金融大街3号</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办公地址：北京市西城区金融大街3号</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法定代表人：李国华</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传真：（010）68858117</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联系人：陈春林</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客户服务电话：95580</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网址：www.psbc.com</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（8）名称：国泰海通证券股份有限公司</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注册地址：中国（上海）自由贸易试验区商城路618号</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办公地址：上海市静安区南京西路768号国泰君安大厦</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法定代表人：朱健</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联系电话：021-38676666</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传真：021-38670666</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联系人：邵亚杰</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服务热线 : 95521 / 4008888666</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网址：www.gtht.com</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（9）名称：中信建投证券股份有限公司</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住所：北京市朝阳区安立路66号4号楼</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办公地址：北京市朝阳门内大街188号</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法定代表人：刘成</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电话：（010）56135784</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联系人：刘芸</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客户服务电话：95587</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网址：www.csc108.com</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（10）名称：国信证券股份有限公司</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住所：深圳市罗湖区红岭中路1012号国信证券大厦16-26楼</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办公地址：深圳市罗湖区红岭中路1012号国信证券大厦16-26楼</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法定代表人：张纳沙</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电话：（0755）82130833</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传真：（0755）82133952</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联系人：于智勇</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客户服务电话：95536</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网址：www.guosen.com.cn</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（11）名称：中信证券股份有限公司</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住所：广东省深圳市福田区中心三路8号卓越时代广场（二期）北座</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办公地址：北京市朝阳区亮马桥路48号中信证券大厦</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法定代表人：张佑君</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电话：010-60838888</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客服电话：95548</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网址：www.cs.ecitic.com</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（12）名称：中国银河证券股份有限公司</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住所：北京市西城区金融大街35号国际企业大厦C座</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办公地址：北京市西城区金融大街35号国际企业大厦C座</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法定代表人：陈共炎</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电话：010-83574507</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联系人：辛国政</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客户服务电话：400-888-8888</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网址：www.chinastock.com.cn</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（13）名称：国投证券股份有限公司</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住所：深圳市福田区福田街道福华一路119号安信金融大厦</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办公地址：深圳市福田区福田街道福华一路119号安信金融大厦</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法定代表人：王苏望</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电话：（0755）81688000</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传真：（0755）82558355</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客户服务电话：95517</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网址：https://www.sdicsc.com.cn/</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（14）名称：华泰证券股份有限公司</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住所：江苏省南京市江东中路228号</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办公地址：江苏省南京市建邺区江东中路228号华泰证券广场</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法定代表人：张伟</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电话：（0755）82492193</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传真：（0755）82492962</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联系人：徐浩津</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客户服务电话：95597</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网址：www.htsc.com.cn</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（15）名称：山西证券股份有限公司</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住所：山西省太原市府西街69号山西国际贸易中心东塔楼</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办公地址：山西省太原市府西街69号山西国际贸易中心东塔楼</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法定代表人：侯巍</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电话：0351—8686815</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联系人：谢武兵</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客户服务电话：400-666-1618、95573</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网址：www.i618.com.cn</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（16）名称：中信证券（山东）有限责任公司</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住所：青岛市崂山区深圳路222号1号楼2001</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办公地址：青岛市市南区东海西路28号龙翔广场东座5层</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法定代表人：肖海峰</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电话：0531-89606166</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传真：0532-85022605</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联系人：赵如意</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客户服务电话：95548</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网址：sd.citics.com</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（17）名称：中信证券华南股份有限公司</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住所：广州市天河区珠江西路5号广州国际金融中心主塔19层、20层</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办公地址：广州市天河区珠江西路5号广州国际金融中心主塔19层、20层</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法定代表人：陈可可</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电话：020-88836999</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传真：020-88836984</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联系人：郭杏燕</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客服电话：（020）95396</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网址：www.gzs.com.cn</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（18）名称：大同证券有限责任公司</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注册地址：山西省大同市城区迎宾街15号桐城中央21层</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办公地址：太原市长治路 111 号山西世贸中心 A 座 F12、F13</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邮政编码：030600</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法定代表人：董祥</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电 话：（0351）4130322</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传 真：（0351）7219891</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客服电话：4007121212</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网址：www.dtsbc.com.cn</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（19）名称：平安证券股份有限公司</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住所：深圳市福田区金田路大中华国际交易广场裙楼8楼</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办公地址：深圳市福田区金田路大中华国际交易广场裙楼8楼(518048)</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法定代表人：杨宇翔</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电话：（0755）22627802</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传真：（0755）82400862</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联系人：郑舒丽</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客户服务电话：95511-8</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网址：www.pingan.com</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（20）名称：华西证券股份有限公司</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住所：四川省成都市高新区天府二街198号华西证券大厦</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办公地址：四川省成都市高新区天府二街198号华西证券大厦</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法定代表人：杨炯洋</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电话：（028）86135991</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传真：（028）86150400</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联系人：周志茹</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客户服务电话：95584</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网址：www.hx168.com.cn</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（21）名称：中国中金财富证券有限公司</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住所：深圳市福田区益田路与福中路交界处荣超商务中心A栋第18层-21层及第04层01.02.03.05.11.12.13.15.16.18.19.20.21.22.23单元</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办公地址：深圳市福田区益田路6003号荣超商务中心A栋第04、18层至21层</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法定代表人：高涛</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电话：（0755）88320851</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联系人：胡芷境</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客户服务电话：95532/400-600-8008</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网址：www.ciccwm.com</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（22）名称：东方财富证券股份有限公司</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住所：西藏自治区拉萨市柳梧新区国际总部城10栋楼</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办公地址：上海市徐汇区宛平南路88号东方财富大厦</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法定代表人：戴彦</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电话：（021）021-23586603</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传真：（021）021-23586860</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联系人：付佳</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客户服务电话：95357</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网址：http://www.18.cn</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（23）名称：国金证券股份有限公司</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住所：四川省成都市东城根上街95号</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办公地址：成都市东城根上街95号</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法定代表人：冉云</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电话：（028）86690057，（028）86690058</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传真：（028）86690126</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联系人：刘婧漪 贾鹏</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客户服务电话：95310</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网址：www.gjzq.com.cn</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（24）名称：国新证券股份有限公司</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住所：北京市西城区金融大街8号</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办公地址：北京市西城区金融大街8号</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法定代表人：宋德清</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电话：（010）58568235</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传真：（010）58568062</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联系人：黄恒</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客户服务电话：（010）58568118</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网址：www.crsec.com.cn</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（25）名称：开源证券股份有限公司</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注册地址：陕西省西安市高新区锦业路一号都市之门B座5层</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办公地址：陕西省西安市高新区锦业路一号都市之门B座5层</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法定代表人：李刚</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电话：13709210036</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联系人：赵东会</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网址：www.kysec.cn</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客户服务电话：95321</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（26）名称：东莞证券股份有限公司</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住所：广东省东莞市莞城区可园南路一号</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办公地址：广东省东莞市莞城区可园南路一号</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电话：（0769）22115712</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传真：（0769）22115712</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联系人：李荣</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客户服务电话：95328</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网址：www.dgzq.com</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（27）名称：深圳市新兰德证券投资咨询有限公司</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住所：深圳市福田区华强北路赛格科技园4栋10层1006#</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办公地址：北京市西城区金融大街35号国际企业大厦C座9层</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法定代表人：陈操</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电话：（010）58325395</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传真：（010）58325282</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联系人：刘宝文</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客户服务电话：400-850-7771</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网址：http://8.jrj.com.cn/</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（28）名称：上海挖财基金销售有限公司</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注册地址：中国(上海)自由贸易试验区杨高南路759号18层03单元</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办公地址：中国(上海)自由贸易试验区杨高南路759号18层03单元</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法定代表人：吕柳霞</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电话：021-50810673</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传真：021-50810687</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邮编：200120</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联系人：毛善波</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客服电话：400-711-8718</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网址：www.wacaijijin.com</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（29）名称：腾安基金销售（深圳）有限公司</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住所：深圳市前海深港合作区前湾一路1号A栋201室（入驻深圳市前海商务秘书有限公司）</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办公地址：深圳市南山区海天二路33号腾讯滨海大厦</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法定代表人：刘明军</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电话：95017（拨通后转1转8）</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联系人：谭广峰</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客户服务电话：95017（拨通后转1转8）</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网址：http://www.tenganxinxi.com/</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（30）名称：北京度小满基金销售有限公司</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注册地址：北京市海淀区西北旺东路10号院西区4号楼1层103室</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法定代表人：葛新</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办公地址：北京市海淀区西北旺东路10号院西区4号楼</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机构联系人：王笑宇</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联系人电话：010-59403028</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联系人传真：010-59403027</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客户服务电话：95055-4</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公司网址：www.baiyingfund.com</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（31）名称：诺亚正行基金销售有限公司</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住所:上海市虹口区飞虹路360弄9号3724室</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办公地址:上海市杨浦区长阳路1687号长阳谷2号楼</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法定代表：汪静波</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电话：（021）80358523</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传真：（021）80358749</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联系人：李娟</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客户服务电话：4008215399</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网址：www.noah-fund.com</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（32）名称：深圳众禄基金销售股份有限公司</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住所：深圳市罗湖区梨园路物资控股置地大厦8楼</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办公地址：深圳市罗湖区梨园路物资控股置地大厦8楼</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法定代表人：薛峰</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电话：（0755）33227953</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传真：（0755）33227951</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联系人：汤素娅</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客户服务电话：4006-788-887</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网址：www.zlfund.cn，www.jjmmw.com</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（33）名称：上海天天基金销售有限公司</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住所：上海市徐汇区龙田路190号2号楼2层</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办公地址：上海市徐汇区宛平南路88号金座东方财富大厦</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法定代表人：其实</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电话：（021）54509998</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传真：（021）64385308</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联系人：屠彦洋</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客户服务电话：400-1818-188</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网址：www.1234567.com.cn</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（34）名称：上海好买基金销售有限公司</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住所：上海市虹口区场中路685弄37号4号楼449室</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办公地址：上海市浦东新区浦东南路1118号鄂尔多斯国际大厦903-906室</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法定代表人：杨文斌</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传真：（021）68596916</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联系人：薛年</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客户服务电话：400-700-9665</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网址：www.howbuy.com</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（35）名称：蚂蚁（杭州）基金销售有限公司</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住所：浙江省杭州市余杭区五常街道文一西路969号3幢5层599室</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办公地址：浙江省杭州市西湖区西溪路556号</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法定代表人：王珺</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电话：（0571）28829790，（021）60897869</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传真：（0571）26698533</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联系人：韩爱彬</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客户服务电话：95188-8</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网址：www.fund123.cn</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（36）名称：上海长量基金销售有限公司</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住所：上海市浦东新区高翔路526号2幢220室</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办公地址：上海市浦东新区浦东大道555号裕景国际B座16层</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法定代表人：张跃伟</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电话：（021）20691832</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传真：（021）20691861</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联系人：单丙烨</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客户服务电话：400-820-2899</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网址：www.erichfund.com</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（37）名称：浙江同花顺基金销售有限公司</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住所：浙江省杭州市文二西路1号元茂大厦903</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办公地址：浙江杭州余杭区五常街道同顺街18号</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法定代表人：吴强</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电话：（0571）88911818</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传真：（0571）86800423</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联系人：吴强</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客户服务电话：952555</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网址：https://fund.10jqka.com.cn/</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（38）名称：北京展恒基金销售股份有限公司</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住所：北京市顺义区后沙峪镇安富街6号</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办公地址：北京市朝阳区安苑路15-1号邮电新闻大厦2层</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法定代表人：闫振杰</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电话：（010）59601366-7024</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传真：（010）62020355</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联系人： 马林</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客户服务电话：400-888-6661</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网址：www.myfund.com</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（39）名称：上海利得基金销售有限公司</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住所： 上海浦东新区峨山路91弄61号陆家嘴软件园10号楼12楼</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办公地址：上海市虹口区东大名路1098号浦江国际金融广场53层</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法定代表人：李兴春</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电话：021-50583533</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传真：021-50583633</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联系人： 伍豪</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客服电话：400-032-5885</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网址：www.leadfund.com.cn</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（40）名称：北京创金启富基金销售有限公司</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住所： 北京市西城区白纸坊东街2号院6号楼712室</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办公地址： 北京市西城区白纸坊东街2号院6号楼712室</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法定代表人： 梁蓉</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电话：010-66154828-8047</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传真：010-63583991</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联系人： 魏素清</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客户服务电话：010-66154828</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网址： https://www.5irich.com</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（41）名称：泛华普益基金销售有限公司</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住所：成都市成华区建设路9号高地中心1101室</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办公地址：成都市金牛区花照壁西顺街399号1栋1单元龙湖西宸天街B座1201号</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法定代表人：于海锋</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电话：028-8661-6229</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传真：无</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联系人：隋亚方</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客户服务电话：400-080-3388</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网址：https://www.puyifund.com/</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（42）名称：格上富信投资顾问有限公司</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住所：北京市朝阳区东三环北路19号楼701内09室</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办公地址：北京市朝阳区东三环北路19号楼701内09室</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法定代表人：李悦章</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电话：（010）85594745</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传真：（010）65983333</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联系人：张林</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客户服务电话：400-066-8586</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网址：www.igesafe.com</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（43）名称：北京汇成基金销售有限公司</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住所：北京市西城区宣武门外大街甲1号4层401-2</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办公地址：北京市西城区宣武门外大街甲1号环球财讯中心D座4层401-2</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法定代表人：王伟刚</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电话：（010）56282140</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传真：（010）62680827</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联系人：张林</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客户服务电话：010-63158805</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网址：www.hcfunds.co</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（44）名称：上海大智慧基金销售有限公司</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住所：上海市浦东新区杨高南路428号1号楼10-11层</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办公地址：上海市浦东新区杨高南路428号1号楼10-11层</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法定代表人：申健</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电话：021-0219988-35374</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传真：021-20219923</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联系人：张蜓</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客户服务电话：021-20292031</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网址：https://www.wg.com.cn</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（45）名称：上海万得基金销售有限公司</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住所：中国（上海）自由贸易试验区福山路33号11楼B座</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办公地址：上海市浦东新区浦明路1500号万得大厦11楼</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法定代表人： 宋晓言</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电话：021-50712782</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传真：021-50710161</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联系人： 马烨莹</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客户服务电话：400-799-1888</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网址： www.520fund.com.cn</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（46）名称：上海联泰基金销售有限公司</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住所：上海市普陀区兰溪路900弄15号526室</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办公地址：上海市虹口区临潼路188号</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法定代表人：尹彬彬</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电话：021-52822063</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传真：021-52975270</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联系人：兰敏</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客户服务电话：400-118-1188</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网址：www.66liantai.com</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（47）名称：上海基煜基金销售有限公司</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住所：上海市崇明县长兴镇路潘园公路1800号2号楼6153室（上海泰和经济发展区）</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办公地址：上海市杨浦区昆明路518号A1002室</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法定代表人：王翔</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电话：（021）65370077</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传真：（021）55085991</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联系人：俞申莉</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客户服务电话：（021）65370077</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网址：www.fofund.com.cn</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（48）名称：珠海盈米基金销售有限公司</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住所：珠海市横琴新区宝华路6号105室-3491</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办公地址：广州市海珠区琶洲大道东1号保利国际广场南塔12楼B1201-1203</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法定代表人：肖雯</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电话：（020）89629099</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传真：（020）89629011</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联系人：黄敏嫦</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客户服务电话：（020）89629066</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网址：www.yingmi.com</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（49）名称：和耕传承基金销售有限公司</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住所：河南自贸试验区郑州片区（郑东）东风南路东康宁街北6号楼5楼503</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办公地址：河南自贸试验区郑州片区（郑东）东风南路东康宁街北6号楼5楼503</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法定代表人：温丽燕</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电话：0371-85518395</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传真：0371-85518397</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联系人：胡静华</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客户服务电话：4000555671</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网址：www.hgccpb.com</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（50）名称：奕丰基金销售有限公司</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住所：深圳市前海深港合作区前湾一路1号A栋201室（入住深圳市前海商务秘书有限公司）</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办公地址：深圳市南山区海德三道航天科技广场A座17楼1704室</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法定代表人：TEO WEE HOWE</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电话：（0755）89460500</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传真：（0755）21674453</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联系人：叶健</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客户服务电话：400-684-0500</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网址：www.ifastps.com.cn</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（51）名称：京东肯特瑞基金销售有限公司</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住所： 北京市海淀区西三旗建材城中路12号17号平房157</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办公地址：北京市通州区亦庄经济技术开发区科创十一街18号院京东集团总部A座17层</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法定代表人：王苏宁</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电话：95118</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传真：010-89189566</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联系人：李丹</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客服热线：95118</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网址：kenterui.jd.com</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（52）名称：大连网金基金销售有限公司</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住所： 辽宁省大连市沙河口区体坛路22号诺德大厦2层202室</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办公地址： 辽宁省大连市沙河口区体坛路22号诺德大厦2层202室</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法定代表人： 樊怀东</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电话：（0411-39027810）</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传真：（0411-39027835）</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联系人： 于秀</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客户服务电话： 4000-899-100</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网址：http://www.yibaijin.com/</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（53）名称：深圳市金斧子基金销售有限公司</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住所：深圳市南山区粤海街道科苑路16号东方科技大厦18楼</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办公地址：深圳市南山区粤海街道科苑路科兴科学园B3单元7楼</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法定代表人：赖任军</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电话：（0755）66892301</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传真：（0755）66892399</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联系人：张烨</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客户服务电话：400-9500-888</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网址：www.jfzinv.com</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（54）名称：北京雪球基金销售有限公司</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住所：北京市朝阳区创远路 34 号院6号楼15层1501室</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办公地址：北京市朝阳区创远路 34 号院融新科技中心 C 座 17 层</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法定代表人：李楠</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电话：（010）61840688</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传真：（010）84997571</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联系人：武安广</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客户服务电话：400-1599-288</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网址：danjuanfunds.com</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（55）名称：万家财富基金销售（天津）有限公司</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住所：天津自贸区（中心商务区）迎宾大道1988号滨海浙商大厦公寓2-2413室</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办公地址：北京市西城区丰盛胡同28号太平洋保险大厦A座5层</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法定代表人：张军</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电话：（010）59013825</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传真：（010）59013828</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联系人：王茜蕊</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客户服务电话：010-59013895</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网址：http://www.wanjiawealth.com/</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（56）名称：中信期货有限公司</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住所：深圳市福田区中心三路8号卓越时代广场（二期）北座13层1301-1305室、14层</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办公地址：深圳市福田区中心三路8号卓越时代广场（二期）北座13层1301-1305室、14层</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法定代表人：张皓</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电话：010-60833754</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传真：021-60819988</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联系人：刘宏莹</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客服电话：400-990-8826</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网站：www.citicsf.com</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（57）名称：济安财富（北京）基金销售有限公司</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住所：北京市朝阳区太阳宫中路16号院1号楼10层1005</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办公地址：北京市朝阳区太阳宫中路16号院1号楼11层1105</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法定代表人：杨健</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电话：010-65309516</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传真：010-65330699</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联系人：宋静</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客户服务电话：400-673-7010</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网址：www.jianfortune.com</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（58）名称：玄元保险代理有限公司</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住所：中国(上海)自由贸易试验区张杨路707号1105室</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办公地址：中国(上海)自由贸易试验区张杨路707号1105室</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法定代表人：马永谙</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电话：（021）50701053</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传真：（021）50701053</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客户服务电话：400-080-8208</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网址：www.licaimofang.cn</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（59）名称：博时财富基金销售有限公司</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住所：深圳市福田区莲花街道福新社区益田路5999号基金大厦19层</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办公地址：深圳市福田区莲花街道福新社区益田路5999号基金大厦19层</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法定代表人：王德英</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电话：0755-83169999</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传真：0755-83195220</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联系人：崔丹</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客户服务电话：400-610-5568</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网址：www.boserawealth.com</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（60）名称：嘉实财富管理有限公司</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住所：海南省三亚市天涯区三亚湾路国际客运港区国际养生度假中心酒店B座(2＃楼)27楼2714室</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办公地址及其联系方式：北京市朝阳区建国门外大街21号北京国际俱乐部C座</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法定代表人: 张峰</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电话： 010-85097302</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联系人：闫欢</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客户服务电话：400-021-8850</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公司网址：http://www.harvestwm.cn</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（61）名称：上海中欧财富基金销售有限公司</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住所：中国（上海）自由贸易试验区陆家嘴环路479号1008-1室</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办公地址：上海市虹口区公平路18号嘉昱大厦6楼</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法定代表人：许欣</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电话：021-68609600</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传真：021-33830351</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联系人： 刘弘义</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客户服务电话：400-700-9700</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公司网址：https://www.zocaifu.com</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（62）名称：深圳前海微众银行股份有限公司</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住所：深圳前海深港合作区前湾一路1号A栋201室（入驻深圳市前海商务秘书有限公司）</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办公地址：广东省深圳市南山区沙河西路1819号深圳湾科技生态园7栋A座</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法定代表人：顾敏</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电话：15112686889</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传真：/</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联系人：白冰</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客户服务电话：95384</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网址：www.webank.com</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（63）名称：中国人寿保险股份有限公司</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住所：中国北京市西城区金融大街16号</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办公地址：北京市西城区金融大街16号中国人寿广场A座</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法定代表人：王滨</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客户服务电话：95519</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网址： www.e-chinalife.com</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（64）名称：北京新浪仓石基金销售有限公司</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注册地址：北京市海淀区东北旺西路中关村软件园二期（西扩）N-1、N-2地块新浪总部科研楼5层518室</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办公地址：北京市海淀区东北旺西路中关村软件园二期（西扩）N-1、N-2地块新浪总部科研楼5层518室</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法定代表人：穆飞虎</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电话：010-58982465</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联系人：穆飞虎</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客服电话：010-6267 5369</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网址：www.xincai.com</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基金管理人可根据有关法律法规的要求，选择其它符合要求的机构销售本基金，并在管理人网站公示。</w:t>
      </w:r>
    </w:p>
    <w:p>
      <w:pPr>
        <w:autoSpaceDE w:val="0"/>
        <w:autoSpaceDN w:val="0"/>
        <w:adjustRightInd w:val="0"/>
        <w:snapToGrid w:val="0"/>
        <w:spacing w:after="0" w:line="360" w:lineRule="auto"/>
        <w:ind w:firstLine="420" w:firstLineChars="200"/>
        <w:jc w:val="left"/>
        <w:rPr>
          <w:rFonts w:ascii="宋体" w:hAnsi="宋体"/>
          <w:szCs w:val="24"/>
        </w:rPr>
      </w:pPr>
      <w:r>
        <w:rPr>
          <w:rFonts w:ascii="宋体" w:hAnsi="宋体"/>
          <w:b/>
          <w:sz w:val="24"/>
        </w:rPr>
        <w:t>（二）登记机构</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名称：中国证券登记结算有限责任公司</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住所：北京市西城区太平桥大街17号</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办公地址：北京市西城区太平桥大街17号</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法定代表人：于文强</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电话：（010）50938782</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传真：（010）50938907</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联系人：赵亦清</w:t>
      </w:r>
    </w:p>
    <w:p>
      <w:pPr>
        <w:autoSpaceDE w:val="0"/>
        <w:autoSpaceDN w:val="0"/>
        <w:adjustRightInd w:val="0"/>
        <w:snapToGrid w:val="0"/>
        <w:spacing w:after="0" w:line="360" w:lineRule="auto"/>
        <w:ind w:firstLine="420" w:firstLineChars="200"/>
        <w:jc w:val="left"/>
        <w:rPr>
          <w:rFonts w:ascii="宋体" w:hAnsi="宋体"/>
          <w:szCs w:val="24"/>
        </w:rPr>
      </w:pPr>
      <w:r>
        <w:rPr>
          <w:rFonts w:ascii="宋体" w:hAnsi="宋体"/>
          <w:b/>
          <w:sz w:val="24"/>
        </w:rPr>
        <w:t>（三）出具法律意见书的律师事务所</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名称：上海市通力律师事务所</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住所：上海市银城中路68号时代金融中心19楼</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办公地址：上海市银城中路68号时代金融中心19楼</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负责人：陈臻</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电话：（021）31358666</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传真：（021）31358600</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联系人：丁媛</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经办律师：黎明、丁媛</w:t>
      </w:r>
    </w:p>
    <w:p>
      <w:pPr>
        <w:autoSpaceDE w:val="0"/>
        <w:autoSpaceDN w:val="0"/>
        <w:adjustRightInd w:val="0"/>
        <w:snapToGrid w:val="0"/>
        <w:spacing w:after="0" w:line="360" w:lineRule="auto"/>
        <w:ind w:firstLine="420" w:firstLineChars="200"/>
        <w:jc w:val="left"/>
        <w:rPr>
          <w:rFonts w:ascii="宋体" w:hAnsi="宋体"/>
          <w:szCs w:val="24"/>
        </w:rPr>
      </w:pPr>
      <w:r>
        <w:rPr>
          <w:rFonts w:ascii="宋体" w:hAnsi="宋体"/>
          <w:b/>
          <w:sz w:val="24"/>
        </w:rPr>
        <w:t>（四）审计基金财产的会计师事务所</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名称：容诚会计师事务所（特殊普通合伙）</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注册地址：北京市西城区阜成门外大街22号1幢外经贸大厦901-22至901-26</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办公地址：北京市西城区阜成门外大街22号1幢外经贸大厦901-22至901-26</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执行事务合伙人：肖厚发、刘维</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电话：010-66001391</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传真：010-66001391</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联系人：李隐煜</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经办会计师：沈兆杰、李隐煜</w:t>
      </w:r>
    </w:p>
    <w:p>
      <w:pPr>
        <w:pStyle w:val="Heading1"/>
        <w:snapToGrid w:val="0"/>
        <w:spacing w:before="240" w:beforeLines="0" w:after="0"/>
        <w:rPr>
          <w:rFonts w:ascii="宋体" w:hAnsi="宋体"/>
          <w:szCs w:val="30"/>
        </w:rPr>
      </w:pPr>
      <w:r>
        <w:br w:type="page"/>
      </w:r>
      <w:bookmarkStart w:id="14" w:name="_Toc256000006"/>
      <w:bookmarkStart w:id="15" w:name="_Toc256000033"/>
      <w:r>
        <w:rPr>
          <w:rFonts w:ascii="宋体" w:hAnsi="宋体"/>
          <w:sz w:val="30"/>
        </w:rPr>
        <w:t>六、基金的募集</w:t>
      </w:r>
      <w:bookmarkEnd w:id="15"/>
      <w:bookmarkEnd w:id="14"/>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本基金由基金管理人依照《基金法》、《运作办法》、《销售办法》、基金合同及其他有关规定，并经中国证监会2022年8月10日证监许可【2022】1765号文准予募集注册。</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本基金为契约型开放式混合型基金。基金存续期间为不定期。</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本基金募集期间基金份额净值为人民币1.00元，按初始面值发售。</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本基金2022年11月7日至2022年11月25日进行发售，本基金设立募集期共募集350,643,626.38份基金份额，有效认购户数为4,431户。</w:t>
      </w:r>
    </w:p>
    <w:p>
      <w:pPr>
        <w:pStyle w:val="Heading1"/>
        <w:snapToGrid w:val="0"/>
        <w:spacing w:before="240" w:beforeLines="0" w:after="0"/>
        <w:rPr>
          <w:rFonts w:ascii="宋体" w:hAnsi="宋体"/>
          <w:szCs w:val="30"/>
        </w:rPr>
      </w:pPr>
      <w:r>
        <w:br w:type="page"/>
      </w:r>
      <w:bookmarkStart w:id="16" w:name="_Toc256000007"/>
      <w:bookmarkStart w:id="17" w:name="_Toc256000034"/>
      <w:r>
        <w:rPr>
          <w:rFonts w:ascii="宋体" w:hAnsi="宋体"/>
          <w:sz w:val="30"/>
        </w:rPr>
        <w:t>七、基金合同的生效</w:t>
      </w:r>
      <w:bookmarkEnd w:id="17"/>
      <w:bookmarkEnd w:id="16"/>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根据有关规定，本基金满足基金合同生效条件，基金合同已于2022年11月30日正式生效。自基金合同生效之日起，本基金管理人正式开始管理本基金。</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基金合同》生效后，连续20个工作日出现基金份额持有人数量不满200人或者基金资产净值低于5000万元情形的，基金管理人应当在定期报告中予以披露；连续50个工作日出现前述情形的，基金合同终止，不需召开基金份额持有人大会。</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法律法规或中国证监会另有规定时，从其规定。</w:t>
      </w:r>
    </w:p>
    <w:p>
      <w:pPr>
        <w:pStyle w:val="Heading1"/>
        <w:snapToGrid w:val="0"/>
        <w:spacing w:before="240" w:beforeLines="0" w:after="0"/>
        <w:rPr>
          <w:rFonts w:ascii="宋体" w:hAnsi="宋体"/>
          <w:szCs w:val="30"/>
        </w:rPr>
      </w:pPr>
      <w:r>
        <w:br w:type="page"/>
      </w:r>
      <w:bookmarkStart w:id="18" w:name="_Toc256000008"/>
      <w:bookmarkStart w:id="19" w:name="_Toc256000035"/>
      <w:r>
        <w:rPr>
          <w:rFonts w:ascii="宋体" w:hAnsi="宋体"/>
          <w:sz w:val="30"/>
        </w:rPr>
        <w:t>八、基金份额的申购与赎回</w:t>
      </w:r>
      <w:bookmarkEnd w:id="19"/>
      <w:bookmarkEnd w:id="18"/>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b/>
          <w:kern w:val="0"/>
          <w:sz w:val="24"/>
        </w:rPr>
        <w:t>（一）申购和赎回的场所</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投资人可通过下述场所按照规定的方式进行申购或赎回：</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1、本基金管理人的直销机构</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本基金直销机构为基金管理人直销柜台以及基金管理人的网上直销交易平台。</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名称：交银施罗德基金管理有限公司</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住所：中国（上海）自由贸易试验区银城中路188号交通银行大楼二层（裙）</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办公地址：上海市浦东新区世纪大道8号国金中心二期21-22楼</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电话：（021）61055724</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传真：（021）61055054</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联系人：傅鲸</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客户服务电话：400-700-5000（免长途话费），（021）61055000</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网址：www.fund001.com</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个人投资者可以通过基金管理人网上直销交易平台办理开户、本基金的申购、赎回、转换、定期定额投资等业务，具体交易细则请参阅基金管理人网站。</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网上直销交易平台网址：www.fund001.com</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2、除基金管理人之外的其他销售机构</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本基金除基金管理人之外的其他销售机构参见本招募说明书“五、相关服务机构”章节或拨打基金管理人客户服务电话进行咨询。</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投资人应当通过上述销售机构办理基金申购、赎回业务的营业场所或按上述销售机构提供的其他方式进行申购或赎回。本基金管理人可根据情况变更或增减基金销售机构，并在基金管理人网站公示。</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若基金管理人或其指定的销售机构开通电话、传真或网上等交易方式，投资人可以通过上述方式进行申购与赎回。</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b/>
          <w:kern w:val="0"/>
          <w:sz w:val="24"/>
        </w:rPr>
        <w:t>（二）申购和赎回的开放日及时间</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1、开放日及开放时间</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投资人在开放日办理基金份额的申购和赎回，具体办理时间为上海证券交易所、深圳证券交易所的正常交易日的交易时间（若该工作日为非港股通交易日，则本基金可不开放），但基金管理人根据法律法规、中国证监会的要求或基金合同的规定公告暂停申购、赎回时除外。</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基金合同生效后，若出现新的证券/期货交易市场、证券/期货交易所交易时间变更或其他特殊情况，基金管理人将视情况对前述开放日及开放时间进行相应的调整，但应在实施日前依照《信息披露办法》的有关规定在规定媒介上公告。</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2、申购、赎回开始日及业务办理时间</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本基金已于2023年2月27日起开放申购、赎回业务。</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基金管理人不得在基金合同约定之外的日期或者时间办理基金份额的申购、赎回或者转换。投资人在基金合同约定之外的日期和时间提出申购、赎回或转换申请且登记机构确认接受的，其基金份额申购、赎回或转换价格为下一开放日基金份额申购、赎回或转换的价格。</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b/>
          <w:kern w:val="0"/>
          <w:sz w:val="24"/>
        </w:rPr>
        <w:t>（三）申购与赎回的原则</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1、“未知价”原则，即申购、赎回价格以申请当日收市后计算的基金份额净值为基准进行计算；</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2、“金额申购、份额赎回”原则，即申购以金额申请，赎回以份额申请；</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3、当日的申购与赎回申请可以在基金管理人规定的时间以内撤销，但申请经登记机构受理的不得撤销；</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4、基金份额持有人赎回时，除指定赎回外，基金管理人按“先进先出”的原则，对该持有人账户在该销售机构托管的基金份额进行处理，即登记确认日期在先的基金份额先赎回，登记确认日期在后的基金份额后赎回，以确定被赎回基金份额的持有期限和所适用的赎回费率；</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5、办理申购、赎回业务时，应当遵循基金份额持有人利益优先原则，确保投资者的合法权益不受损害并得到公平对待。</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基金管理人可在法律法规允许的情况下，对上述原则进行调整。基金管理人必须在新规则开始实施前依照《信息披露办法》的有关规定在规定媒介上公告。</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b/>
          <w:kern w:val="0"/>
          <w:sz w:val="24"/>
        </w:rPr>
        <w:t>（四）申购和赎回的数额限定</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1、申购金额的限制</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直销机构首次申购的最低金额为单笔100万元，追加申购的最低金额为单笔10万元；已在直销机构有认购或申购过本基金管理人管理的任一基金（包括本基金）记录的投资人不受首次申购最低金额的限制。通过基金管理人网上直销交易平台办理基金申购业务的不受直销机构单笔申购最低金额的限制，申购最低金额为单笔1元。本基金直销机构单笔申购最低金额可由基金管理人酌情调整。其他销售机构接受申购申请的最低金额为单笔1元，如果销售机构业务规则规定的最低单笔申购金额高于1元，以该销售机构的规定为准。</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2、赎回份额的限制</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赎回的最低份额为1份基金份额，如果销售机构业务规则规定的最低单笔赎回份额高于1份，以该销售机构的规定为准。</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3、最低基金份额余额的限制</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每个工作日投资人在单个交易账户保留的本基金份额余额少于1份时，若当日该账户同时有基金份额减少类业务（如赎回、转换出等）被确认，则基金管理人有权将投资人在该账户保留的本基金份额一次性全部赎回。</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4、当接受申购申请对存量基金份额持有人利益构成潜在重大不利影响时，基金管理人应当采取设定单一投资者申购金额上限或基金单日净申购比例上限、拒绝大额申购、暂停基金申购等措施，切实保护存量基金份额持有人的合法权益。基金管理人基于投资运作与风险控制的需要，可采取上述措施对基金规模予以控制。具体请参见相关公告。</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5、基金管理人可在法律法规允许的情况下，调整上述规定申购金额和赎回份额的数量限制。基金管理人必须在调整实施前依照《信息披露办法》的有关规定在规定媒介上公告。</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b/>
          <w:kern w:val="0"/>
          <w:sz w:val="24"/>
        </w:rPr>
        <w:t>（五）申购和赎回的程序</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1、申购和赎回的申请方式</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投资人必须根据销售机构规定的程序，在开放日的具体业务办理时间内提出申购或赎回的申请。投资人在提交申购申请时须按销售机构规定的方式备足申购资金，投资人在提交赎回申请时须持有足够的基金份额余额，否则所提交的申购、赎回申请不成立。</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2、申购和赎回的款项支付</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投资人申购基金份额时，必须全额交付申购款项，若申购资金在规定时间内未全额到账则申购不成立。投资人全额交付申购款项，申购成立；基金登记机构确认基金份额时，申购生效。</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基金份额持有人递交赎回申请，赎回成立；基金登记机构确认赎回时，赎回生效。投资者赎回申请生效后，基金管理人将在T+7日（包括该日）内支付赎回款项。在发生巨额赎回或基金合同载明的其他暂停赎回或延缓支付赎回款项的情形时，款项的支付办法参照基金合同有关条款处理。</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3、申购和赎回申请的确认</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基金管理人或基金管理人委托的登记机构应以交易时间结束前受理有效申购和赎回申请的当天作为申购或赎回申请日（T日），在正常情况下，本基金登记机构在T+1日（包括该日）内对该交易的有效性进行确认。T日提交的有效申请，投资人应在T+2日后（包括该日）及时到销售网点柜台或以销售机构规定的其他方式查询申请的确认情况。若申购不成功，则申购款项本金退还给投资人。</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基金管理人可在法律法规允许的范围内，依法对上述申购和赎回申请的确认时间进行调整，并必须在调整实施日前按照《信息披露办法》的有关规定在规定媒介上公告。</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销售机构对申购、赎回申请的受理并不代表该申请一定成功，而仅代表销售机构确实接收到申购、赎回申请。申购、赎回申请的确认以登记机构的确认结果为准。对于申请的确认情况，投资者应及时查询。</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4、申购和赎回的登记</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（1）投资人T日申购基金成功后，正常情况下，登记机构在T＋1日为投资人增加权益并办理登记手续，投资人自T＋2日起（包括该日）有权赎回该部分基金份额。投资人应及时查询有关申请的确认情况。</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（2）投资人T日赎回基金成功后，正常情况下，登记机构在T＋1日为投资人扣除权益并办理相应的登记手续。</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（3）基金管理人可在法律法规允许的范围内，对上述登记办理时间进行调整，并于开始实施前按照《信息披露办法》的有关规定在规定媒介上公告。</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b/>
          <w:kern w:val="0"/>
          <w:sz w:val="24"/>
        </w:rPr>
        <w:t>（六）基金的申购费和赎回费</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1、申购费用</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本基金基金份额分为A类基金份额和C类基金份额，投资人申购A类基金份额在申购时支付申购费用、赎回时收取赎回费用；申购C类基金份额不支付申购费用、赎回时收取赎回费用，并从该类别基金资产中计提销售服务费。</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本基金A类基金份额的申购费用由申购A类基金份额的基金申购人承担，不列入基金财产，主要用于本基金的市场推广、销售、登记等各项费用。</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投资人可以多次申购本基金，申购费用按每笔申购申请单独计算。</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本基金A类基金份额（非养老金客户）的申购费率如下：</w:t>
      </w:r>
    </w:p>
    <w:tbl>
      <w:tblPr>
        <w:tblW w:w="5000" w:type="pct"/>
        <w:tblInd w:w="0" w:type="dxa"/>
        <w:tblLayout w:type="fixed"/>
        <w:tblCellMar>
          <w:top w:w="0" w:type="dxa"/>
          <w:left w:w="0" w:type="dxa"/>
          <w:bottom w:w="0" w:type="dxa"/>
          <w:right w:w="0" w:type="dxa"/>
        </w:tblCellMar>
        <w:tblLook w:val="0000"/>
      </w:tblPr>
      <w:tblGrid>
        <w:gridCol w:w="4335"/>
        <w:gridCol w:w="4335"/>
      </w:tblGrid>
      <w:tr>
        <w:tblPrEx>
          <w:tblW w:w="5000" w:type="pct"/>
          <w:tblInd w:w="0" w:type="dxa"/>
          <w:tblLayout w:type="fixed"/>
          <w:tblCellMar>
            <w:top w:w="0" w:type="dxa"/>
            <w:left w:w="0" w:type="dxa"/>
            <w:bottom w:w="0" w:type="dxa"/>
            <w:right w:w="0" w:type="dxa"/>
          </w:tblCellMar>
          <w:tblLook w:val="0000"/>
        </w:tblPrEx>
        <w:trPr>
          <w:cantSplit/>
          <w:trHeight w:val="375"/>
        </w:trPr>
        <w:tc>
          <w:tcPr>
            <w:tcW w:w="7" w:type="dxa"/>
            <w:tcBorders>
              <w:top w:val="single" w:sz="4" w:space="0" w:color="auto"/>
              <w:left w:val="single" w:sz="4" w:space="0" w:color="auto"/>
              <w:bottom w:val="single" w:sz="4" w:space="0" w:color="auto"/>
              <w:right w:val="single" w:sz="4" w:space="0" w:color="auto"/>
            </w:tcBorders>
            <w:vAlign w:val="center"/>
          </w:tcPr>
          <w:p>
            <w:pPr>
              <w:widowControl/>
              <w:snapToGrid w:val="0"/>
              <w:spacing w:after="0" w:line="240" w:lineRule="auto"/>
              <w:jc w:val="center"/>
              <w:rPr>
                <w:rFonts w:ascii="宋体" w:hAnsi="宋体"/>
                <w:color w:val="000000"/>
                <w:kern w:val="0"/>
                <w:sz w:val="24"/>
                <w:szCs w:val="24"/>
              </w:rPr>
            </w:pPr>
            <w:r>
              <w:rPr>
                <w:rFonts w:ascii="宋体" w:hAnsi="宋体"/>
                <w:color w:val="000000"/>
                <w:kern w:val="0"/>
                <w:sz w:val="24"/>
                <w:szCs w:val="24"/>
              </w:rPr>
              <w:t>申购金额（含申购费）</w:t>
            </w:r>
          </w:p>
        </w:tc>
        <w:tc>
          <w:tcPr>
            <w:tcW w:w="7" w:type="dxa"/>
            <w:tcBorders>
              <w:top w:val="single" w:sz="4" w:space="0" w:color="auto"/>
              <w:left w:val="single" w:sz="4" w:space="0" w:color="auto"/>
              <w:bottom w:val="single" w:sz="4" w:space="0" w:color="auto"/>
              <w:right w:val="single" w:sz="4" w:space="0" w:color="auto"/>
            </w:tcBorders>
            <w:vAlign w:val="center"/>
          </w:tcPr>
          <w:p>
            <w:pPr>
              <w:widowControl/>
              <w:snapToGrid w:val="0"/>
              <w:spacing w:after="0" w:line="240" w:lineRule="auto"/>
              <w:jc w:val="center"/>
              <w:rPr>
                <w:rFonts w:ascii="宋体" w:hAnsi="宋体"/>
                <w:color w:val="000000"/>
                <w:kern w:val="0"/>
                <w:sz w:val="24"/>
                <w:szCs w:val="24"/>
              </w:rPr>
            </w:pPr>
            <w:r>
              <w:rPr>
                <w:rFonts w:ascii="宋体" w:hAnsi="宋体"/>
                <w:color w:val="000000"/>
                <w:kern w:val="0"/>
                <w:sz w:val="24"/>
                <w:szCs w:val="24"/>
              </w:rPr>
              <w:t>A类基金份额申购费率</w:t>
            </w:r>
          </w:p>
        </w:tc>
      </w:tr>
      <w:tr>
        <w:tblPrEx>
          <w:tblW w:w="5000" w:type="pct"/>
          <w:tblInd w:w="0" w:type="dxa"/>
          <w:tblLayout w:type="fixed"/>
          <w:tblCellMar>
            <w:top w:w="0" w:type="dxa"/>
            <w:left w:w="0" w:type="dxa"/>
            <w:bottom w:w="0" w:type="dxa"/>
            <w:right w:w="0" w:type="dxa"/>
          </w:tblCellMar>
          <w:tblLook w:val="0000"/>
        </w:tblPrEx>
        <w:trPr>
          <w:cantSplit/>
          <w:trHeight w:val="375"/>
        </w:trPr>
        <w:tc>
          <w:tcPr>
            <w:tcW w:w="7" w:type="dxa"/>
            <w:tcBorders>
              <w:top w:val="single" w:sz="4" w:space="0" w:color="auto"/>
              <w:left w:val="single" w:sz="4" w:space="0" w:color="auto"/>
              <w:bottom w:val="single" w:sz="4" w:space="0" w:color="auto"/>
              <w:right w:val="single" w:sz="4" w:space="0" w:color="auto"/>
            </w:tcBorders>
            <w:vAlign w:val="center"/>
          </w:tcPr>
          <w:p>
            <w:pPr>
              <w:spacing w:after="0" w:line="240" w:lineRule="auto"/>
              <w:jc w:val="left"/>
            </w:pPr>
            <w:r>
              <w:rPr>
                <w:rFonts w:ascii="宋体" w:hAnsi="宋体"/>
                <w:color w:val="000000"/>
                <w:kern w:val="0"/>
                <w:sz w:val="25"/>
                <w:szCs w:val="24"/>
              </w:rPr>
              <w:t>1000万元以下</w:t>
            </w:r>
          </w:p>
        </w:tc>
        <w:tc>
          <w:tcPr>
            <w:tcW w:w="7" w:type="dxa"/>
            <w:tcBorders>
              <w:top w:val="single" w:sz="4" w:space="0" w:color="auto"/>
              <w:left w:val="single" w:sz="4" w:space="0" w:color="auto"/>
              <w:bottom w:val="single" w:sz="4" w:space="0" w:color="auto"/>
              <w:right w:val="single" w:sz="4" w:space="0" w:color="auto"/>
            </w:tcBorders>
            <w:vAlign w:val="center"/>
          </w:tcPr>
          <w:p>
            <w:pPr>
              <w:widowControl/>
              <w:snapToGrid w:val="0"/>
              <w:spacing w:after="0" w:line="240" w:lineRule="auto"/>
              <w:jc w:val="center"/>
              <w:rPr>
                <w:rFonts w:ascii="宋体" w:hAnsi="宋体"/>
                <w:color w:val="000000"/>
                <w:kern w:val="0"/>
                <w:sz w:val="24"/>
                <w:szCs w:val="24"/>
              </w:rPr>
            </w:pPr>
            <w:r>
              <w:rPr>
                <w:rFonts w:ascii="宋体" w:hAnsi="宋体"/>
                <w:color w:val="000000"/>
                <w:kern w:val="0"/>
                <w:sz w:val="24"/>
                <w:szCs w:val="24"/>
              </w:rPr>
              <w:t>1.5%</w:t>
            </w:r>
          </w:p>
        </w:tc>
      </w:tr>
      <w:tr>
        <w:tblPrEx>
          <w:tblW w:w="5000" w:type="pct"/>
          <w:tblInd w:w="0" w:type="dxa"/>
          <w:tblLayout w:type="fixed"/>
          <w:tblCellMar>
            <w:top w:w="0" w:type="dxa"/>
            <w:left w:w="0" w:type="dxa"/>
            <w:bottom w:w="0" w:type="dxa"/>
            <w:right w:w="0" w:type="dxa"/>
          </w:tblCellMar>
          <w:tblLook w:val="0000"/>
        </w:tblPrEx>
        <w:trPr>
          <w:cantSplit/>
          <w:trHeight w:val="375"/>
        </w:trPr>
        <w:tc>
          <w:tcPr>
            <w:tcW w:w="7" w:type="dxa"/>
            <w:tcBorders>
              <w:top w:val="single" w:sz="4" w:space="0" w:color="auto"/>
              <w:left w:val="single" w:sz="4" w:space="0" w:color="auto"/>
              <w:bottom w:val="single" w:sz="4" w:space="0" w:color="auto"/>
              <w:right w:val="single" w:sz="4" w:space="0" w:color="auto"/>
            </w:tcBorders>
            <w:vAlign w:val="center"/>
          </w:tcPr>
          <w:p>
            <w:pPr>
              <w:spacing w:after="0" w:line="240" w:lineRule="auto"/>
              <w:jc w:val="left"/>
            </w:pPr>
            <w:r>
              <w:rPr>
                <w:rFonts w:ascii="宋体" w:hAnsi="宋体"/>
                <w:color w:val="000000"/>
                <w:kern w:val="0"/>
                <w:sz w:val="25"/>
                <w:szCs w:val="24"/>
              </w:rPr>
              <w:t>1000万元以上（含1000万元）</w:t>
            </w:r>
          </w:p>
        </w:tc>
        <w:tc>
          <w:tcPr>
            <w:tcW w:w="7" w:type="dxa"/>
            <w:tcBorders>
              <w:top w:val="single" w:sz="4" w:space="0" w:color="auto"/>
              <w:left w:val="single" w:sz="4" w:space="0" w:color="auto"/>
              <w:bottom w:val="single" w:sz="4" w:space="0" w:color="auto"/>
              <w:right w:val="single" w:sz="4" w:space="0" w:color="auto"/>
            </w:tcBorders>
            <w:vAlign w:val="center"/>
          </w:tcPr>
          <w:p>
            <w:pPr>
              <w:widowControl/>
              <w:snapToGrid w:val="0"/>
              <w:spacing w:after="0" w:line="240" w:lineRule="auto"/>
              <w:jc w:val="center"/>
              <w:rPr>
                <w:rFonts w:ascii="宋体" w:hAnsi="宋体"/>
                <w:color w:val="000000"/>
                <w:kern w:val="0"/>
                <w:sz w:val="24"/>
                <w:szCs w:val="24"/>
              </w:rPr>
            </w:pPr>
            <w:r>
              <w:rPr>
                <w:rFonts w:ascii="宋体" w:hAnsi="宋体"/>
                <w:color w:val="000000"/>
                <w:kern w:val="0"/>
                <w:sz w:val="24"/>
                <w:szCs w:val="24"/>
              </w:rPr>
              <w:t>每笔交易1000元</w:t>
            </w:r>
          </w:p>
        </w:tc>
      </w:tr>
    </w:tbl>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持有A类基金份额的投资人因红利自动再投资而产生的A类基金份额，不收取相应的申购费用。</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本基金对通过基金管理人直销柜台申购A类基金份额的养老金客户实施特定申购费率。</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养老金客户指基本养老基金与依法成立的养老计划筹集的资金及其投资运营收益形成的补充养老基金等，具体包括：</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1）全国社会保障基金；</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2）可以投资基金的地方社会保障基金；</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3）企业年金单一计划以及集合计划；</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4）企业年金理事会委托的特定客户资产管理计划；</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5）企业年金养老金产品。</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如将来出现经养老基金监管部门认可的新的养老基金类型，基金管理人可在招募说明书更新或发布临时公告将其纳入养老金客户范围。</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通过基金管理人直销柜台申购本基金A类基金份额的养老金客户特定申购费率如下表：</w:t>
      </w:r>
    </w:p>
    <w:tbl>
      <w:tblPr>
        <w:tblW w:w="5000" w:type="pct"/>
        <w:tblInd w:w="0" w:type="dxa"/>
        <w:tblLayout w:type="fixed"/>
        <w:tblCellMar>
          <w:top w:w="0" w:type="dxa"/>
          <w:left w:w="0" w:type="dxa"/>
          <w:bottom w:w="0" w:type="dxa"/>
          <w:right w:w="0" w:type="dxa"/>
        </w:tblCellMar>
        <w:tblLook w:val="0000"/>
      </w:tblPr>
      <w:tblGrid>
        <w:gridCol w:w="4335"/>
        <w:gridCol w:w="4335"/>
      </w:tblGrid>
      <w:tr>
        <w:tblPrEx>
          <w:tblW w:w="5000" w:type="pct"/>
          <w:tblInd w:w="0" w:type="dxa"/>
          <w:tblLayout w:type="fixed"/>
          <w:tblCellMar>
            <w:top w:w="0" w:type="dxa"/>
            <w:left w:w="0" w:type="dxa"/>
            <w:bottom w:w="0" w:type="dxa"/>
            <w:right w:w="0" w:type="dxa"/>
          </w:tblCellMar>
          <w:tblLook w:val="0000"/>
        </w:tblPrEx>
        <w:trPr>
          <w:cantSplit/>
          <w:trHeight w:val="375"/>
        </w:trPr>
        <w:tc>
          <w:tcPr>
            <w:tcW w:w="7" w:type="dxa"/>
            <w:tcBorders>
              <w:top w:val="single" w:sz="4" w:space="0" w:color="auto"/>
              <w:left w:val="single" w:sz="4" w:space="0" w:color="auto"/>
              <w:bottom w:val="single" w:sz="4" w:space="0" w:color="auto"/>
              <w:right w:val="single" w:sz="4" w:space="0" w:color="auto"/>
            </w:tcBorders>
            <w:vAlign w:val="center"/>
          </w:tcPr>
          <w:p>
            <w:pPr>
              <w:widowControl/>
              <w:snapToGrid w:val="0"/>
              <w:spacing w:after="0" w:line="240" w:lineRule="auto"/>
              <w:jc w:val="center"/>
              <w:rPr>
                <w:rFonts w:ascii="宋体" w:hAnsi="宋体"/>
                <w:color w:val="000000"/>
                <w:kern w:val="0"/>
                <w:sz w:val="24"/>
                <w:szCs w:val="24"/>
              </w:rPr>
            </w:pPr>
            <w:r>
              <w:rPr>
                <w:rFonts w:ascii="宋体" w:hAnsi="宋体"/>
                <w:color w:val="000000"/>
                <w:kern w:val="0"/>
                <w:sz w:val="24"/>
                <w:szCs w:val="24"/>
              </w:rPr>
              <w:t>申购金额（含申购费）</w:t>
            </w:r>
          </w:p>
        </w:tc>
        <w:tc>
          <w:tcPr>
            <w:tcW w:w="7" w:type="dxa"/>
            <w:tcBorders>
              <w:top w:val="single" w:sz="4" w:space="0" w:color="auto"/>
              <w:left w:val="single" w:sz="4" w:space="0" w:color="auto"/>
              <w:bottom w:val="single" w:sz="4" w:space="0" w:color="auto"/>
              <w:right w:val="single" w:sz="4" w:space="0" w:color="auto"/>
            </w:tcBorders>
            <w:vAlign w:val="center"/>
          </w:tcPr>
          <w:p>
            <w:pPr>
              <w:widowControl/>
              <w:snapToGrid w:val="0"/>
              <w:spacing w:after="0" w:line="240" w:lineRule="auto"/>
              <w:jc w:val="center"/>
              <w:rPr>
                <w:rFonts w:ascii="宋体" w:hAnsi="宋体"/>
                <w:color w:val="000000"/>
                <w:kern w:val="0"/>
                <w:sz w:val="24"/>
                <w:szCs w:val="24"/>
              </w:rPr>
            </w:pPr>
            <w:r>
              <w:rPr>
                <w:rFonts w:ascii="宋体" w:hAnsi="宋体"/>
                <w:color w:val="000000"/>
                <w:kern w:val="0"/>
                <w:sz w:val="24"/>
                <w:szCs w:val="24"/>
              </w:rPr>
              <w:t>A类基金份额特定申购费率</w:t>
            </w:r>
          </w:p>
        </w:tc>
      </w:tr>
      <w:tr>
        <w:tblPrEx>
          <w:tblW w:w="5000" w:type="pct"/>
          <w:tblInd w:w="0" w:type="dxa"/>
          <w:tblLayout w:type="fixed"/>
          <w:tblCellMar>
            <w:top w:w="0" w:type="dxa"/>
            <w:left w:w="0" w:type="dxa"/>
            <w:bottom w:w="0" w:type="dxa"/>
            <w:right w:w="0" w:type="dxa"/>
          </w:tblCellMar>
          <w:tblLook w:val="0000"/>
        </w:tblPrEx>
        <w:trPr>
          <w:cantSplit/>
          <w:trHeight w:val="375"/>
        </w:trPr>
        <w:tc>
          <w:tcPr>
            <w:tcW w:w="7" w:type="dxa"/>
            <w:tcBorders>
              <w:top w:val="single" w:sz="4" w:space="0" w:color="auto"/>
              <w:left w:val="single" w:sz="4" w:space="0" w:color="auto"/>
              <w:bottom w:val="single" w:sz="4" w:space="0" w:color="auto"/>
              <w:right w:val="single" w:sz="4" w:space="0" w:color="auto"/>
            </w:tcBorders>
            <w:vAlign w:val="center"/>
          </w:tcPr>
          <w:p>
            <w:pPr>
              <w:spacing w:after="0" w:line="240" w:lineRule="auto"/>
              <w:jc w:val="left"/>
            </w:pPr>
            <w:r>
              <w:rPr>
                <w:rFonts w:ascii="宋体" w:hAnsi="宋体"/>
                <w:color w:val="000000"/>
                <w:kern w:val="0"/>
                <w:sz w:val="25"/>
                <w:szCs w:val="24"/>
              </w:rPr>
              <w:t>1000万元以下</w:t>
            </w:r>
          </w:p>
        </w:tc>
        <w:tc>
          <w:tcPr>
            <w:tcW w:w="7" w:type="dxa"/>
            <w:tcBorders>
              <w:top w:val="single" w:sz="4" w:space="0" w:color="auto"/>
              <w:left w:val="single" w:sz="4" w:space="0" w:color="auto"/>
              <w:bottom w:val="single" w:sz="4" w:space="0" w:color="auto"/>
              <w:right w:val="single" w:sz="4" w:space="0" w:color="auto"/>
            </w:tcBorders>
            <w:vAlign w:val="center"/>
          </w:tcPr>
          <w:p>
            <w:pPr>
              <w:widowControl/>
              <w:snapToGrid w:val="0"/>
              <w:spacing w:after="0" w:line="240" w:lineRule="auto"/>
              <w:jc w:val="center"/>
              <w:rPr>
                <w:rFonts w:ascii="宋体" w:hAnsi="宋体"/>
                <w:color w:val="000000"/>
                <w:kern w:val="0"/>
                <w:sz w:val="24"/>
                <w:szCs w:val="24"/>
              </w:rPr>
            </w:pPr>
            <w:r>
              <w:rPr>
                <w:rFonts w:ascii="宋体" w:hAnsi="宋体"/>
                <w:color w:val="000000"/>
                <w:kern w:val="0"/>
                <w:sz w:val="24"/>
                <w:szCs w:val="24"/>
              </w:rPr>
              <w:t>0.6%</w:t>
            </w:r>
          </w:p>
        </w:tc>
      </w:tr>
      <w:tr>
        <w:tblPrEx>
          <w:tblW w:w="5000" w:type="pct"/>
          <w:tblInd w:w="0" w:type="dxa"/>
          <w:tblLayout w:type="fixed"/>
          <w:tblCellMar>
            <w:top w:w="0" w:type="dxa"/>
            <w:left w:w="0" w:type="dxa"/>
            <w:bottom w:w="0" w:type="dxa"/>
            <w:right w:w="0" w:type="dxa"/>
          </w:tblCellMar>
          <w:tblLook w:val="0000"/>
        </w:tblPrEx>
        <w:trPr>
          <w:cantSplit/>
          <w:trHeight w:val="375"/>
        </w:trPr>
        <w:tc>
          <w:tcPr>
            <w:tcW w:w="7" w:type="dxa"/>
            <w:tcBorders>
              <w:top w:val="single" w:sz="4" w:space="0" w:color="auto"/>
              <w:left w:val="single" w:sz="4" w:space="0" w:color="auto"/>
              <w:bottom w:val="single" w:sz="4" w:space="0" w:color="auto"/>
              <w:right w:val="single" w:sz="4" w:space="0" w:color="auto"/>
            </w:tcBorders>
            <w:vAlign w:val="center"/>
          </w:tcPr>
          <w:p>
            <w:pPr>
              <w:spacing w:after="0" w:line="240" w:lineRule="auto"/>
              <w:jc w:val="left"/>
            </w:pPr>
            <w:r>
              <w:rPr>
                <w:rFonts w:ascii="宋体" w:hAnsi="宋体"/>
                <w:color w:val="000000"/>
                <w:kern w:val="0"/>
                <w:sz w:val="25"/>
                <w:szCs w:val="24"/>
              </w:rPr>
              <w:t>1000万元以上（含1000万元）</w:t>
            </w:r>
          </w:p>
        </w:tc>
        <w:tc>
          <w:tcPr>
            <w:tcW w:w="7" w:type="dxa"/>
            <w:tcBorders>
              <w:top w:val="single" w:sz="4" w:space="0" w:color="auto"/>
              <w:left w:val="single" w:sz="4" w:space="0" w:color="auto"/>
              <w:bottom w:val="single" w:sz="4" w:space="0" w:color="auto"/>
              <w:right w:val="single" w:sz="4" w:space="0" w:color="auto"/>
            </w:tcBorders>
            <w:vAlign w:val="center"/>
          </w:tcPr>
          <w:p>
            <w:pPr>
              <w:widowControl/>
              <w:snapToGrid w:val="0"/>
              <w:spacing w:after="0" w:line="240" w:lineRule="auto"/>
              <w:jc w:val="center"/>
              <w:rPr>
                <w:rFonts w:ascii="宋体" w:hAnsi="宋体"/>
                <w:color w:val="000000"/>
                <w:kern w:val="0"/>
                <w:sz w:val="24"/>
                <w:szCs w:val="24"/>
              </w:rPr>
            </w:pPr>
            <w:r>
              <w:rPr>
                <w:rFonts w:ascii="宋体" w:hAnsi="宋体"/>
                <w:color w:val="000000"/>
                <w:kern w:val="0"/>
                <w:sz w:val="24"/>
                <w:szCs w:val="24"/>
              </w:rPr>
              <w:t>每笔交易1000元</w:t>
            </w:r>
          </w:p>
        </w:tc>
      </w:tr>
    </w:tbl>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投资者通过直销机构交易享有的交易费率优惠情况请见本基金管理人的有关公告或本基金管理人网站。本基金管理人基金网上直销业务已开通的银行卡及各银行卡交易金额限额请参阅本基金管理人网站。</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2、赎回费用</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1）本基金A类基金份额的赎回费用由赎回A类基金份额的基金份额持有人承担，在基金份额持有人赎回基金份额时收取，对持续持有期少于7日的投资人收取1.5%的赎回费，对持续持有期大于等于7日但少于30日的投资人收取0.75%的赎回费，并将上述赎回费全额计入基金财产；对持续持有期大于等于30日但少于3个月的投资人收取0.5%的赎回费，并将赎回费总额的75%计入基金财产；对持续持有期大于等于3个月但少于6个月的投资人收取0.5%的赎回费，并将赎回费总额的50%计入基金财产；对持续持有期大于等于6个月的投资人，将赎回费总额的25%计入基金财产。上述“月”指的是30个自然日。未归入基金财产的部分用于支付登记费和其他必要的手续费。</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本基金A类基金份额的赎回费率如下：</w:t>
      </w:r>
    </w:p>
    <w:tbl>
      <w:tblPr>
        <w:tblW w:w="5000" w:type="pct"/>
        <w:tblInd w:w="0" w:type="dxa"/>
        <w:tblLayout w:type="fixed"/>
        <w:tblCellMar>
          <w:top w:w="0" w:type="dxa"/>
          <w:left w:w="0" w:type="dxa"/>
          <w:bottom w:w="0" w:type="dxa"/>
          <w:right w:w="0" w:type="dxa"/>
        </w:tblCellMar>
        <w:tblLook w:val="0000"/>
      </w:tblPr>
      <w:tblGrid>
        <w:gridCol w:w="2890"/>
        <w:gridCol w:w="2890"/>
        <w:gridCol w:w="2890"/>
      </w:tblGrid>
      <w:tr>
        <w:tblPrEx>
          <w:tblW w:w="5000" w:type="pct"/>
          <w:tblInd w:w="0" w:type="dxa"/>
          <w:tblLayout w:type="fixed"/>
          <w:tblCellMar>
            <w:top w:w="0" w:type="dxa"/>
            <w:left w:w="0" w:type="dxa"/>
            <w:bottom w:w="0" w:type="dxa"/>
            <w:right w:w="0" w:type="dxa"/>
          </w:tblCellMar>
          <w:tblLook w:val="0000"/>
        </w:tblPrEx>
        <w:trPr>
          <w:cantSplit/>
          <w:trHeight w:val="375"/>
        </w:trPr>
        <w:tc>
          <w:tcPr>
            <w:tcW w:w="7" w:type="dxa"/>
            <w:vMerge w:val="restart"/>
            <w:tcBorders>
              <w:top w:val="single" w:sz="4" w:space="0" w:color="auto"/>
              <w:left w:val="single" w:sz="4" w:space="0" w:color="auto"/>
              <w:bottom w:val="single" w:sz="4" w:space="0" w:color="auto"/>
              <w:right w:val="single" w:sz="4" w:space="0" w:color="auto"/>
            </w:tcBorders>
            <w:vAlign w:val="center"/>
          </w:tcPr>
          <w:p>
            <w:pPr>
              <w:spacing w:after="0" w:line="240" w:lineRule="auto"/>
              <w:jc w:val="center"/>
            </w:pPr>
            <w:r>
              <w:rPr>
                <w:rFonts w:ascii="宋体" w:hAnsi="宋体"/>
                <w:color w:val="000000"/>
                <w:kern w:val="0"/>
                <w:sz w:val="25"/>
                <w:szCs w:val="24"/>
              </w:rPr>
              <w:t>A类基金份额的赎回费率</w:t>
            </w:r>
          </w:p>
        </w:tc>
        <w:tc>
          <w:tcPr>
            <w:tcW w:w="7" w:type="dxa"/>
            <w:tcBorders>
              <w:top w:val="single" w:sz="4" w:space="0" w:color="auto"/>
              <w:left w:val="single" w:sz="4" w:space="0" w:color="auto"/>
              <w:bottom w:val="single" w:sz="4" w:space="0" w:color="auto"/>
              <w:right w:val="single" w:sz="4" w:space="0" w:color="auto"/>
            </w:tcBorders>
            <w:vAlign w:val="center"/>
          </w:tcPr>
          <w:p>
            <w:pPr>
              <w:widowControl/>
              <w:snapToGrid w:val="0"/>
              <w:spacing w:after="0" w:line="240" w:lineRule="auto"/>
              <w:jc w:val="center"/>
              <w:rPr>
                <w:rFonts w:ascii="宋体" w:hAnsi="宋体"/>
                <w:color w:val="000000"/>
                <w:kern w:val="0"/>
                <w:sz w:val="24"/>
                <w:szCs w:val="24"/>
              </w:rPr>
            </w:pPr>
            <w:r>
              <w:rPr>
                <w:rFonts w:ascii="宋体" w:hAnsi="宋体"/>
                <w:color w:val="000000"/>
                <w:kern w:val="0"/>
                <w:sz w:val="24"/>
                <w:szCs w:val="24"/>
              </w:rPr>
              <w:t>持有期限</w:t>
            </w:r>
          </w:p>
        </w:tc>
        <w:tc>
          <w:tcPr>
            <w:tcW w:w="7" w:type="dxa"/>
            <w:tcBorders>
              <w:top w:val="single" w:sz="4" w:space="0" w:color="auto"/>
              <w:left w:val="single" w:sz="4" w:space="0" w:color="auto"/>
              <w:bottom w:val="single" w:sz="4" w:space="0" w:color="auto"/>
              <w:right w:val="single" w:sz="4" w:space="0" w:color="auto"/>
            </w:tcBorders>
            <w:vAlign w:val="center"/>
          </w:tcPr>
          <w:p>
            <w:pPr>
              <w:widowControl/>
              <w:snapToGrid w:val="0"/>
              <w:spacing w:after="0" w:line="240" w:lineRule="auto"/>
              <w:jc w:val="center"/>
              <w:rPr>
                <w:rFonts w:ascii="宋体" w:hAnsi="宋体"/>
                <w:color w:val="000000"/>
                <w:kern w:val="0"/>
                <w:sz w:val="24"/>
                <w:szCs w:val="24"/>
              </w:rPr>
            </w:pPr>
            <w:r>
              <w:rPr>
                <w:rFonts w:ascii="宋体" w:hAnsi="宋体"/>
                <w:color w:val="000000"/>
                <w:kern w:val="0"/>
                <w:sz w:val="24"/>
                <w:szCs w:val="24"/>
              </w:rPr>
              <w:t>赎回费率</w:t>
            </w:r>
          </w:p>
        </w:tc>
      </w:tr>
      <w:tr>
        <w:tblPrEx>
          <w:tblW w:w="5000" w:type="pct"/>
          <w:tblInd w:w="0" w:type="dxa"/>
          <w:tblLayout w:type="fixed"/>
          <w:tblCellMar>
            <w:top w:w="0" w:type="dxa"/>
            <w:left w:w="0" w:type="dxa"/>
            <w:bottom w:w="0" w:type="dxa"/>
            <w:right w:w="0" w:type="dxa"/>
          </w:tblCellMar>
          <w:tblLook w:val="0000"/>
        </w:tblPrEx>
        <w:trPr>
          <w:cantSplit/>
          <w:trHeight w:val="375"/>
        </w:trPr>
        <w:tc>
          <w:tcPr>
            <w:tcW w:w="7" w:type="dxa"/>
            <w:vMerge/>
            <w:tcBorders>
              <w:top w:val="single" w:sz="4" w:space="0" w:color="auto"/>
              <w:left w:val="single" w:sz="4" w:space="0" w:color="auto"/>
              <w:bottom w:val="single" w:sz="4" w:space="0" w:color="auto"/>
              <w:right w:val="single" w:sz="4" w:space="0" w:color="auto"/>
            </w:tcBorders>
            <w:vAlign w:val="center"/>
          </w:tcPr>
          <w:p>
            <w:pPr>
              <w:widowControl/>
              <w:snapToGrid w:val="0"/>
              <w:spacing w:after="0" w:line="240" w:lineRule="auto"/>
              <w:jc w:val="center"/>
              <w:rPr>
                <w:rFonts w:ascii="宋体" w:hAnsi="宋体"/>
                <w:color w:val="000000"/>
                <w:kern w:val="0"/>
                <w:sz w:val="24"/>
                <w:szCs w:val="24"/>
              </w:rPr>
            </w:pPr>
          </w:p>
        </w:tc>
        <w:tc>
          <w:tcPr>
            <w:tcW w:w="7" w:type="dxa"/>
            <w:tcBorders>
              <w:top w:val="single" w:sz="4" w:space="0" w:color="auto"/>
              <w:left w:val="single" w:sz="4" w:space="0" w:color="auto"/>
              <w:bottom w:val="single" w:sz="4" w:space="0" w:color="auto"/>
              <w:right w:val="single" w:sz="4" w:space="0" w:color="auto"/>
            </w:tcBorders>
            <w:vAlign w:val="center"/>
          </w:tcPr>
          <w:p>
            <w:pPr>
              <w:spacing w:after="0" w:line="240" w:lineRule="auto"/>
              <w:jc w:val="left"/>
            </w:pPr>
            <w:r>
              <w:rPr>
                <w:rFonts w:ascii="宋体" w:hAnsi="宋体"/>
                <w:color w:val="000000"/>
                <w:kern w:val="0"/>
                <w:sz w:val="25"/>
                <w:szCs w:val="24"/>
              </w:rPr>
              <w:t>7日以内</w:t>
            </w:r>
          </w:p>
        </w:tc>
        <w:tc>
          <w:tcPr>
            <w:tcW w:w="7" w:type="dxa"/>
            <w:tcBorders>
              <w:top w:val="single" w:sz="4" w:space="0" w:color="auto"/>
              <w:left w:val="single" w:sz="4" w:space="0" w:color="auto"/>
              <w:bottom w:val="single" w:sz="4" w:space="0" w:color="auto"/>
              <w:right w:val="single" w:sz="4" w:space="0" w:color="auto"/>
            </w:tcBorders>
            <w:vAlign w:val="center"/>
          </w:tcPr>
          <w:p>
            <w:pPr>
              <w:widowControl/>
              <w:snapToGrid w:val="0"/>
              <w:spacing w:after="0" w:line="240" w:lineRule="auto"/>
              <w:jc w:val="center"/>
              <w:rPr>
                <w:rFonts w:ascii="宋体" w:hAnsi="宋体"/>
                <w:color w:val="000000"/>
                <w:kern w:val="0"/>
                <w:sz w:val="24"/>
                <w:szCs w:val="24"/>
              </w:rPr>
            </w:pPr>
            <w:r>
              <w:rPr>
                <w:rFonts w:ascii="宋体" w:hAnsi="宋体"/>
                <w:color w:val="000000"/>
                <w:kern w:val="0"/>
                <w:sz w:val="24"/>
                <w:szCs w:val="24"/>
              </w:rPr>
              <w:t>1.5%</w:t>
            </w:r>
          </w:p>
        </w:tc>
      </w:tr>
      <w:tr>
        <w:tblPrEx>
          <w:tblW w:w="5000" w:type="pct"/>
          <w:tblInd w:w="0" w:type="dxa"/>
          <w:tblLayout w:type="fixed"/>
          <w:tblCellMar>
            <w:top w:w="0" w:type="dxa"/>
            <w:left w:w="0" w:type="dxa"/>
            <w:bottom w:w="0" w:type="dxa"/>
            <w:right w:w="0" w:type="dxa"/>
          </w:tblCellMar>
          <w:tblLook w:val="0000"/>
        </w:tblPrEx>
        <w:trPr>
          <w:cantSplit/>
          <w:trHeight w:val="375"/>
        </w:trPr>
        <w:tc>
          <w:tcPr>
            <w:tcW w:w="7" w:type="dxa"/>
            <w:vMerge/>
            <w:tcBorders>
              <w:top w:val="single" w:sz="4" w:space="0" w:color="auto"/>
              <w:left w:val="single" w:sz="4" w:space="0" w:color="auto"/>
              <w:bottom w:val="single" w:sz="4" w:space="0" w:color="auto"/>
              <w:right w:val="single" w:sz="4" w:space="0" w:color="auto"/>
            </w:tcBorders>
            <w:vAlign w:val="center"/>
          </w:tcPr>
          <w:p>
            <w:pPr>
              <w:widowControl/>
              <w:snapToGrid w:val="0"/>
              <w:spacing w:after="0" w:line="240" w:lineRule="auto"/>
              <w:jc w:val="center"/>
              <w:rPr>
                <w:rFonts w:ascii="宋体" w:hAnsi="宋体"/>
                <w:color w:val="000000"/>
                <w:kern w:val="0"/>
                <w:sz w:val="24"/>
                <w:szCs w:val="24"/>
              </w:rPr>
            </w:pPr>
          </w:p>
        </w:tc>
        <w:tc>
          <w:tcPr>
            <w:tcW w:w="7" w:type="dxa"/>
            <w:tcBorders>
              <w:top w:val="single" w:sz="4" w:space="0" w:color="auto"/>
              <w:left w:val="single" w:sz="4" w:space="0" w:color="auto"/>
              <w:bottom w:val="single" w:sz="4" w:space="0" w:color="auto"/>
              <w:right w:val="single" w:sz="4" w:space="0" w:color="auto"/>
            </w:tcBorders>
            <w:vAlign w:val="center"/>
          </w:tcPr>
          <w:p>
            <w:pPr>
              <w:spacing w:after="0" w:line="240" w:lineRule="auto"/>
              <w:jc w:val="left"/>
            </w:pPr>
            <w:r>
              <w:rPr>
                <w:rFonts w:ascii="宋体" w:hAnsi="宋体"/>
                <w:color w:val="000000"/>
                <w:kern w:val="0"/>
                <w:sz w:val="25"/>
                <w:szCs w:val="24"/>
              </w:rPr>
              <w:t>7日（含）—30日</w:t>
            </w:r>
          </w:p>
        </w:tc>
        <w:tc>
          <w:tcPr>
            <w:tcW w:w="7" w:type="dxa"/>
            <w:tcBorders>
              <w:top w:val="single" w:sz="4" w:space="0" w:color="auto"/>
              <w:left w:val="single" w:sz="4" w:space="0" w:color="auto"/>
              <w:bottom w:val="single" w:sz="4" w:space="0" w:color="auto"/>
              <w:right w:val="single" w:sz="4" w:space="0" w:color="auto"/>
            </w:tcBorders>
            <w:vAlign w:val="center"/>
          </w:tcPr>
          <w:p>
            <w:pPr>
              <w:widowControl/>
              <w:snapToGrid w:val="0"/>
              <w:spacing w:after="0" w:line="240" w:lineRule="auto"/>
              <w:jc w:val="center"/>
              <w:rPr>
                <w:rFonts w:ascii="宋体" w:hAnsi="宋体"/>
                <w:color w:val="000000"/>
                <w:kern w:val="0"/>
                <w:sz w:val="24"/>
                <w:szCs w:val="24"/>
              </w:rPr>
            </w:pPr>
            <w:r>
              <w:rPr>
                <w:rFonts w:ascii="宋体" w:hAnsi="宋体"/>
                <w:color w:val="000000"/>
                <w:kern w:val="0"/>
                <w:sz w:val="24"/>
                <w:szCs w:val="24"/>
              </w:rPr>
              <w:t>0.75%</w:t>
            </w:r>
          </w:p>
        </w:tc>
      </w:tr>
      <w:tr>
        <w:tblPrEx>
          <w:tblW w:w="5000" w:type="pct"/>
          <w:tblInd w:w="0" w:type="dxa"/>
          <w:tblLayout w:type="fixed"/>
          <w:tblCellMar>
            <w:top w:w="0" w:type="dxa"/>
            <w:left w:w="0" w:type="dxa"/>
            <w:bottom w:w="0" w:type="dxa"/>
            <w:right w:w="0" w:type="dxa"/>
          </w:tblCellMar>
          <w:tblLook w:val="0000"/>
        </w:tblPrEx>
        <w:trPr>
          <w:cantSplit/>
          <w:trHeight w:val="375"/>
        </w:trPr>
        <w:tc>
          <w:tcPr>
            <w:tcW w:w="7" w:type="dxa"/>
            <w:vMerge/>
            <w:tcBorders>
              <w:top w:val="single" w:sz="4" w:space="0" w:color="auto"/>
              <w:left w:val="single" w:sz="4" w:space="0" w:color="auto"/>
              <w:bottom w:val="single" w:sz="4" w:space="0" w:color="auto"/>
              <w:right w:val="single" w:sz="4" w:space="0" w:color="auto"/>
            </w:tcBorders>
            <w:vAlign w:val="center"/>
          </w:tcPr>
          <w:p>
            <w:pPr>
              <w:widowControl/>
              <w:snapToGrid w:val="0"/>
              <w:spacing w:after="0" w:line="240" w:lineRule="auto"/>
              <w:jc w:val="center"/>
              <w:rPr>
                <w:rFonts w:ascii="宋体" w:hAnsi="宋体"/>
                <w:color w:val="000000"/>
                <w:kern w:val="0"/>
                <w:sz w:val="24"/>
                <w:szCs w:val="24"/>
              </w:rPr>
            </w:pPr>
          </w:p>
        </w:tc>
        <w:tc>
          <w:tcPr>
            <w:tcW w:w="7" w:type="dxa"/>
            <w:tcBorders>
              <w:top w:val="single" w:sz="4" w:space="0" w:color="auto"/>
              <w:left w:val="single" w:sz="4" w:space="0" w:color="auto"/>
              <w:bottom w:val="single" w:sz="4" w:space="0" w:color="auto"/>
              <w:right w:val="single" w:sz="4" w:space="0" w:color="auto"/>
            </w:tcBorders>
            <w:vAlign w:val="center"/>
          </w:tcPr>
          <w:p>
            <w:pPr>
              <w:spacing w:after="0" w:line="240" w:lineRule="auto"/>
              <w:jc w:val="left"/>
            </w:pPr>
            <w:r>
              <w:rPr>
                <w:rFonts w:ascii="宋体" w:hAnsi="宋体"/>
                <w:color w:val="000000"/>
                <w:kern w:val="0"/>
                <w:sz w:val="25"/>
                <w:szCs w:val="24"/>
              </w:rPr>
              <w:t>30日（含）—1年</w:t>
            </w:r>
          </w:p>
        </w:tc>
        <w:tc>
          <w:tcPr>
            <w:tcW w:w="7" w:type="dxa"/>
            <w:tcBorders>
              <w:top w:val="single" w:sz="4" w:space="0" w:color="auto"/>
              <w:left w:val="single" w:sz="4" w:space="0" w:color="auto"/>
              <w:bottom w:val="single" w:sz="4" w:space="0" w:color="auto"/>
              <w:right w:val="single" w:sz="4" w:space="0" w:color="auto"/>
            </w:tcBorders>
            <w:vAlign w:val="center"/>
          </w:tcPr>
          <w:p>
            <w:pPr>
              <w:widowControl/>
              <w:snapToGrid w:val="0"/>
              <w:spacing w:after="0" w:line="240" w:lineRule="auto"/>
              <w:jc w:val="center"/>
              <w:rPr>
                <w:rFonts w:ascii="宋体" w:hAnsi="宋体"/>
                <w:color w:val="000000"/>
                <w:kern w:val="0"/>
                <w:sz w:val="24"/>
                <w:szCs w:val="24"/>
              </w:rPr>
            </w:pPr>
            <w:r>
              <w:rPr>
                <w:rFonts w:ascii="宋体" w:hAnsi="宋体"/>
                <w:color w:val="000000"/>
                <w:kern w:val="0"/>
                <w:sz w:val="24"/>
                <w:szCs w:val="24"/>
              </w:rPr>
              <w:t>0.5%</w:t>
            </w:r>
          </w:p>
        </w:tc>
      </w:tr>
      <w:tr>
        <w:tblPrEx>
          <w:tblW w:w="5000" w:type="pct"/>
          <w:tblInd w:w="0" w:type="dxa"/>
          <w:tblLayout w:type="fixed"/>
          <w:tblCellMar>
            <w:top w:w="0" w:type="dxa"/>
            <w:left w:w="0" w:type="dxa"/>
            <w:bottom w:w="0" w:type="dxa"/>
            <w:right w:w="0" w:type="dxa"/>
          </w:tblCellMar>
          <w:tblLook w:val="0000"/>
        </w:tblPrEx>
        <w:trPr>
          <w:cantSplit/>
          <w:trHeight w:val="375"/>
        </w:trPr>
        <w:tc>
          <w:tcPr>
            <w:tcW w:w="7" w:type="dxa"/>
            <w:vMerge/>
            <w:tcBorders>
              <w:top w:val="single" w:sz="4" w:space="0" w:color="auto"/>
              <w:left w:val="single" w:sz="4" w:space="0" w:color="auto"/>
              <w:bottom w:val="single" w:sz="4" w:space="0" w:color="auto"/>
              <w:right w:val="single" w:sz="4" w:space="0" w:color="auto"/>
            </w:tcBorders>
            <w:vAlign w:val="center"/>
          </w:tcPr>
          <w:p>
            <w:pPr>
              <w:widowControl/>
              <w:snapToGrid w:val="0"/>
              <w:spacing w:after="0" w:line="240" w:lineRule="auto"/>
              <w:jc w:val="center"/>
              <w:rPr>
                <w:rFonts w:ascii="宋体" w:hAnsi="宋体"/>
                <w:color w:val="000000"/>
                <w:kern w:val="0"/>
                <w:sz w:val="24"/>
                <w:szCs w:val="24"/>
              </w:rPr>
            </w:pPr>
          </w:p>
        </w:tc>
        <w:tc>
          <w:tcPr>
            <w:tcW w:w="7" w:type="dxa"/>
            <w:tcBorders>
              <w:top w:val="single" w:sz="4" w:space="0" w:color="auto"/>
              <w:left w:val="single" w:sz="4" w:space="0" w:color="auto"/>
              <w:bottom w:val="single" w:sz="4" w:space="0" w:color="auto"/>
              <w:right w:val="single" w:sz="4" w:space="0" w:color="auto"/>
            </w:tcBorders>
            <w:vAlign w:val="center"/>
          </w:tcPr>
          <w:p>
            <w:pPr>
              <w:spacing w:after="0" w:line="240" w:lineRule="auto"/>
              <w:jc w:val="left"/>
            </w:pPr>
            <w:r>
              <w:rPr>
                <w:rFonts w:ascii="宋体" w:hAnsi="宋体"/>
                <w:color w:val="000000"/>
                <w:kern w:val="0"/>
                <w:sz w:val="25"/>
                <w:szCs w:val="24"/>
              </w:rPr>
              <w:t>1年（含）—2年</w:t>
            </w:r>
          </w:p>
        </w:tc>
        <w:tc>
          <w:tcPr>
            <w:tcW w:w="7" w:type="dxa"/>
            <w:tcBorders>
              <w:top w:val="single" w:sz="4" w:space="0" w:color="auto"/>
              <w:left w:val="single" w:sz="4" w:space="0" w:color="auto"/>
              <w:bottom w:val="single" w:sz="4" w:space="0" w:color="auto"/>
              <w:right w:val="single" w:sz="4" w:space="0" w:color="auto"/>
            </w:tcBorders>
            <w:vAlign w:val="center"/>
          </w:tcPr>
          <w:p>
            <w:pPr>
              <w:widowControl/>
              <w:snapToGrid w:val="0"/>
              <w:spacing w:after="0" w:line="240" w:lineRule="auto"/>
              <w:jc w:val="center"/>
              <w:rPr>
                <w:rFonts w:ascii="宋体" w:hAnsi="宋体"/>
                <w:color w:val="000000"/>
                <w:kern w:val="0"/>
                <w:sz w:val="24"/>
                <w:szCs w:val="24"/>
              </w:rPr>
            </w:pPr>
            <w:r>
              <w:rPr>
                <w:rFonts w:ascii="宋体" w:hAnsi="宋体"/>
                <w:color w:val="000000"/>
                <w:kern w:val="0"/>
                <w:sz w:val="24"/>
                <w:szCs w:val="24"/>
              </w:rPr>
              <w:t>0.25%</w:t>
            </w:r>
          </w:p>
        </w:tc>
      </w:tr>
      <w:tr>
        <w:tblPrEx>
          <w:tblW w:w="5000" w:type="pct"/>
          <w:tblInd w:w="0" w:type="dxa"/>
          <w:tblLayout w:type="fixed"/>
          <w:tblCellMar>
            <w:top w:w="0" w:type="dxa"/>
            <w:left w:w="0" w:type="dxa"/>
            <w:bottom w:w="0" w:type="dxa"/>
            <w:right w:w="0" w:type="dxa"/>
          </w:tblCellMar>
          <w:tblLook w:val="0000"/>
        </w:tblPrEx>
        <w:trPr>
          <w:cantSplit/>
          <w:trHeight w:val="375"/>
        </w:trPr>
        <w:tc>
          <w:tcPr>
            <w:tcW w:w="7" w:type="dxa"/>
            <w:vMerge/>
            <w:tcBorders>
              <w:top w:val="single" w:sz="4" w:space="0" w:color="auto"/>
              <w:left w:val="single" w:sz="4" w:space="0" w:color="auto"/>
              <w:bottom w:val="single" w:sz="4" w:space="0" w:color="auto"/>
              <w:right w:val="single" w:sz="4" w:space="0" w:color="auto"/>
            </w:tcBorders>
            <w:vAlign w:val="center"/>
          </w:tcPr>
          <w:p>
            <w:pPr>
              <w:widowControl/>
              <w:snapToGrid w:val="0"/>
              <w:spacing w:after="0" w:line="240" w:lineRule="auto"/>
              <w:jc w:val="center"/>
              <w:rPr>
                <w:rFonts w:ascii="宋体" w:hAnsi="宋体"/>
                <w:color w:val="000000"/>
                <w:kern w:val="0"/>
                <w:sz w:val="24"/>
                <w:szCs w:val="24"/>
              </w:rPr>
            </w:pPr>
          </w:p>
        </w:tc>
        <w:tc>
          <w:tcPr>
            <w:tcW w:w="7" w:type="dxa"/>
            <w:tcBorders>
              <w:top w:val="single" w:sz="4" w:space="0" w:color="auto"/>
              <w:left w:val="single" w:sz="4" w:space="0" w:color="auto"/>
              <w:bottom w:val="single" w:sz="4" w:space="0" w:color="auto"/>
              <w:right w:val="single" w:sz="4" w:space="0" w:color="auto"/>
            </w:tcBorders>
            <w:vAlign w:val="center"/>
          </w:tcPr>
          <w:p>
            <w:pPr>
              <w:spacing w:after="0" w:line="240" w:lineRule="auto"/>
              <w:jc w:val="left"/>
            </w:pPr>
            <w:r>
              <w:rPr>
                <w:rFonts w:ascii="宋体" w:hAnsi="宋体"/>
                <w:color w:val="000000"/>
                <w:kern w:val="0"/>
                <w:sz w:val="25"/>
                <w:szCs w:val="24"/>
              </w:rPr>
              <w:t>2年以上（含）</w:t>
            </w:r>
          </w:p>
        </w:tc>
        <w:tc>
          <w:tcPr>
            <w:tcW w:w="7" w:type="dxa"/>
            <w:tcBorders>
              <w:top w:val="single" w:sz="4" w:space="0" w:color="auto"/>
              <w:left w:val="single" w:sz="4" w:space="0" w:color="auto"/>
              <w:bottom w:val="single" w:sz="4" w:space="0" w:color="auto"/>
              <w:right w:val="single" w:sz="4" w:space="0" w:color="auto"/>
            </w:tcBorders>
            <w:vAlign w:val="center"/>
          </w:tcPr>
          <w:p>
            <w:pPr>
              <w:widowControl/>
              <w:snapToGrid w:val="0"/>
              <w:spacing w:after="0" w:line="240" w:lineRule="auto"/>
              <w:jc w:val="center"/>
              <w:rPr>
                <w:rFonts w:ascii="宋体" w:hAnsi="宋体"/>
                <w:color w:val="000000"/>
                <w:kern w:val="0"/>
                <w:sz w:val="24"/>
                <w:szCs w:val="24"/>
              </w:rPr>
            </w:pPr>
            <w:r>
              <w:rPr>
                <w:rFonts w:ascii="宋体" w:hAnsi="宋体"/>
                <w:color w:val="000000"/>
                <w:kern w:val="0"/>
                <w:sz w:val="24"/>
                <w:szCs w:val="24"/>
              </w:rPr>
              <w:t>0</w:t>
            </w:r>
          </w:p>
        </w:tc>
      </w:tr>
    </w:tbl>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上表中的“年”指的是365个自然日。</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（2）本基金C类基金份额的赎回费率如下：</w:t>
      </w:r>
    </w:p>
    <w:tbl>
      <w:tblPr>
        <w:tblW w:w="5000" w:type="pct"/>
        <w:tblInd w:w="0" w:type="dxa"/>
        <w:tblLayout w:type="fixed"/>
        <w:tblCellMar>
          <w:top w:w="0" w:type="dxa"/>
          <w:left w:w="0" w:type="dxa"/>
          <w:bottom w:w="0" w:type="dxa"/>
          <w:right w:w="0" w:type="dxa"/>
        </w:tblCellMar>
        <w:tblLook w:val="0000"/>
      </w:tblPr>
      <w:tblGrid>
        <w:gridCol w:w="2890"/>
        <w:gridCol w:w="2890"/>
        <w:gridCol w:w="2890"/>
      </w:tblGrid>
      <w:tr>
        <w:tblPrEx>
          <w:tblW w:w="5000" w:type="pct"/>
          <w:tblInd w:w="0" w:type="dxa"/>
          <w:tblLayout w:type="fixed"/>
          <w:tblCellMar>
            <w:top w:w="0" w:type="dxa"/>
            <w:left w:w="0" w:type="dxa"/>
            <w:bottom w:w="0" w:type="dxa"/>
            <w:right w:w="0" w:type="dxa"/>
          </w:tblCellMar>
          <w:tblLook w:val="0000"/>
        </w:tblPrEx>
        <w:trPr>
          <w:cantSplit/>
          <w:trHeight w:val="375"/>
        </w:trPr>
        <w:tc>
          <w:tcPr>
            <w:tcW w:w="7" w:type="dxa"/>
            <w:vMerge w:val="restart"/>
            <w:tcBorders>
              <w:top w:val="single" w:sz="4" w:space="0" w:color="auto"/>
              <w:left w:val="single" w:sz="4" w:space="0" w:color="auto"/>
              <w:bottom w:val="single" w:sz="4" w:space="0" w:color="auto"/>
              <w:right w:val="single" w:sz="4" w:space="0" w:color="auto"/>
            </w:tcBorders>
            <w:vAlign w:val="center"/>
          </w:tcPr>
          <w:p>
            <w:pPr>
              <w:spacing w:after="0" w:line="240" w:lineRule="auto"/>
              <w:jc w:val="center"/>
            </w:pPr>
            <w:r>
              <w:rPr>
                <w:rFonts w:ascii="宋体" w:hAnsi="宋体"/>
                <w:color w:val="000000"/>
                <w:kern w:val="0"/>
                <w:sz w:val="25"/>
                <w:szCs w:val="24"/>
              </w:rPr>
              <w:t>C类基金份额的赎回费率</w:t>
            </w:r>
          </w:p>
        </w:tc>
        <w:tc>
          <w:tcPr>
            <w:tcW w:w="7" w:type="dxa"/>
            <w:tcBorders>
              <w:top w:val="single" w:sz="4" w:space="0" w:color="auto"/>
              <w:left w:val="single" w:sz="4" w:space="0" w:color="auto"/>
              <w:bottom w:val="single" w:sz="4" w:space="0" w:color="auto"/>
              <w:right w:val="single" w:sz="4" w:space="0" w:color="auto"/>
            </w:tcBorders>
            <w:vAlign w:val="center"/>
          </w:tcPr>
          <w:p>
            <w:pPr>
              <w:widowControl/>
              <w:snapToGrid w:val="0"/>
              <w:spacing w:after="0" w:line="240" w:lineRule="auto"/>
              <w:jc w:val="center"/>
              <w:rPr>
                <w:rFonts w:ascii="宋体" w:hAnsi="宋体"/>
                <w:color w:val="000000"/>
                <w:kern w:val="0"/>
                <w:sz w:val="24"/>
                <w:szCs w:val="24"/>
              </w:rPr>
            </w:pPr>
            <w:r>
              <w:rPr>
                <w:rFonts w:ascii="宋体" w:hAnsi="宋体"/>
                <w:color w:val="000000"/>
                <w:kern w:val="0"/>
                <w:sz w:val="24"/>
                <w:szCs w:val="24"/>
              </w:rPr>
              <w:t>持有期限</w:t>
            </w:r>
          </w:p>
        </w:tc>
        <w:tc>
          <w:tcPr>
            <w:tcW w:w="7" w:type="dxa"/>
            <w:tcBorders>
              <w:top w:val="single" w:sz="4" w:space="0" w:color="auto"/>
              <w:left w:val="single" w:sz="4" w:space="0" w:color="auto"/>
              <w:bottom w:val="single" w:sz="4" w:space="0" w:color="auto"/>
              <w:right w:val="single" w:sz="4" w:space="0" w:color="auto"/>
            </w:tcBorders>
            <w:vAlign w:val="center"/>
          </w:tcPr>
          <w:p>
            <w:pPr>
              <w:widowControl/>
              <w:snapToGrid w:val="0"/>
              <w:spacing w:after="0" w:line="240" w:lineRule="auto"/>
              <w:jc w:val="center"/>
              <w:rPr>
                <w:rFonts w:ascii="宋体" w:hAnsi="宋体"/>
                <w:color w:val="000000"/>
                <w:kern w:val="0"/>
                <w:sz w:val="24"/>
                <w:szCs w:val="24"/>
              </w:rPr>
            </w:pPr>
            <w:r>
              <w:rPr>
                <w:rFonts w:ascii="宋体" w:hAnsi="宋体"/>
                <w:color w:val="000000"/>
                <w:kern w:val="0"/>
                <w:sz w:val="24"/>
                <w:szCs w:val="24"/>
              </w:rPr>
              <w:t>赎回费率</w:t>
            </w:r>
          </w:p>
        </w:tc>
      </w:tr>
      <w:tr>
        <w:tblPrEx>
          <w:tblW w:w="5000" w:type="pct"/>
          <w:tblInd w:w="0" w:type="dxa"/>
          <w:tblLayout w:type="fixed"/>
          <w:tblCellMar>
            <w:top w:w="0" w:type="dxa"/>
            <w:left w:w="0" w:type="dxa"/>
            <w:bottom w:w="0" w:type="dxa"/>
            <w:right w:w="0" w:type="dxa"/>
          </w:tblCellMar>
          <w:tblLook w:val="0000"/>
        </w:tblPrEx>
        <w:trPr>
          <w:cantSplit/>
          <w:trHeight w:val="375"/>
        </w:trPr>
        <w:tc>
          <w:tcPr>
            <w:tcW w:w="7" w:type="dxa"/>
            <w:vMerge/>
            <w:tcBorders>
              <w:top w:val="single" w:sz="4" w:space="0" w:color="auto"/>
              <w:left w:val="single" w:sz="4" w:space="0" w:color="auto"/>
              <w:bottom w:val="single" w:sz="4" w:space="0" w:color="auto"/>
              <w:right w:val="single" w:sz="4" w:space="0" w:color="auto"/>
            </w:tcBorders>
            <w:vAlign w:val="center"/>
          </w:tcPr>
          <w:p>
            <w:pPr>
              <w:widowControl/>
              <w:snapToGrid w:val="0"/>
              <w:spacing w:after="0" w:line="240" w:lineRule="auto"/>
              <w:jc w:val="center"/>
              <w:rPr>
                <w:rFonts w:ascii="宋体" w:hAnsi="宋体"/>
                <w:color w:val="000000"/>
                <w:kern w:val="0"/>
                <w:sz w:val="24"/>
                <w:szCs w:val="24"/>
              </w:rPr>
            </w:pPr>
          </w:p>
        </w:tc>
        <w:tc>
          <w:tcPr>
            <w:tcW w:w="7" w:type="dxa"/>
            <w:tcBorders>
              <w:top w:val="single" w:sz="4" w:space="0" w:color="auto"/>
              <w:left w:val="single" w:sz="4" w:space="0" w:color="auto"/>
              <w:bottom w:val="single" w:sz="4" w:space="0" w:color="auto"/>
              <w:right w:val="single" w:sz="4" w:space="0" w:color="auto"/>
            </w:tcBorders>
            <w:vAlign w:val="center"/>
          </w:tcPr>
          <w:p>
            <w:pPr>
              <w:spacing w:after="0" w:line="240" w:lineRule="auto"/>
              <w:jc w:val="left"/>
            </w:pPr>
            <w:r>
              <w:rPr>
                <w:rFonts w:ascii="宋体" w:hAnsi="宋体"/>
                <w:color w:val="000000"/>
                <w:kern w:val="0"/>
                <w:sz w:val="25"/>
                <w:szCs w:val="24"/>
              </w:rPr>
              <w:t>7日以内</w:t>
            </w:r>
          </w:p>
        </w:tc>
        <w:tc>
          <w:tcPr>
            <w:tcW w:w="7" w:type="dxa"/>
            <w:tcBorders>
              <w:top w:val="single" w:sz="4" w:space="0" w:color="auto"/>
              <w:left w:val="single" w:sz="4" w:space="0" w:color="auto"/>
              <w:bottom w:val="single" w:sz="4" w:space="0" w:color="auto"/>
              <w:right w:val="single" w:sz="4" w:space="0" w:color="auto"/>
            </w:tcBorders>
            <w:vAlign w:val="center"/>
          </w:tcPr>
          <w:p>
            <w:pPr>
              <w:widowControl/>
              <w:snapToGrid w:val="0"/>
              <w:spacing w:after="0" w:line="240" w:lineRule="auto"/>
              <w:jc w:val="center"/>
              <w:rPr>
                <w:rFonts w:ascii="宋体" w:hAnsi="宋体"/>
                <w:color w:val="000000"/>
                <w:kern w:val="0"/>
                <w:sz w:val="24"/>
                <w:szCs w:val="24"/>
              </w:rPr>
            </w:pPr>
            <w:r>
              <w:rPr>
                <w:rFonts w:ascii="宋体" w:hAnsi="宋体"/>
                <w:color w:val="000000"/>
                <w:kern w:val="0"/>
                <w:sz w:val="24"/>
                <w:szCs w:val="24"/>
              </w:rPr>
              <w:t>1.5%</w:t>
            </w:r>
          </w:p>
        </w:tc>
      </w:tr>
      <w:tr>
        <w:tblPrEx>
          <w:tblW w:w="5000" w:type="pct"/>
          <w:tblInd w:w="0" w:type="dxa"/>
          <w:tblLayout w:type="fixed"/>
          <w:tblCellMar>
            <w:top w:w="0" w:type="dxa"/>
            <w:left w:w="0" w:type="dxa"/>
            <w:bottom w:w="0" w:type="dxa"/>
            <w:right w:w="0" w:type="dxa"/>
          </w:tblCellMar>
          <w:tblLook w:val="0000"/>
        </w:tblPrEx>
        <w:trPr>
          <w:cantSplit/>
          <w:trHeight w:val="375"/>
        </w:trPr>
        <w:tc>
          <w:tcPr>
            <w:tcW w:w="7" w:type="dxa"/>
            <w:vMerge/>
            <w:tcBorders>
              <w:top w:val="single" w:sz="4" w:space="0" w:color="auto"/>
              <w:left w:val="single" w:sz="4" w:space="0" w:color="auto"/>
              <w:bottom w:val="single" w:sz="4" w:space="0" w:color="auto"/>
              <w:right w:val="single" w:sz="4" w:space="0" w:color="auto"/>
            </w:tcBorders>
            <w:vAlign w:val="center"/>
          </w:tcPr>
          <w:p>
            <w:pPr>
              <w:widowControl/>
              <w:snapToGrid w:val="0"/>
              <w:spacing w:after="0" w:line="240" w:lineRule="auto"/>
              <w:jc w:val="center"/>
              <w:rPr>
                <w:rFonts w:ascii="宋体" w:hAnsi="宋体"/>
                <w:color w:val="000000"/>
                <w:kern w:val="0"/>
                <w:sz w:val="24"/>
                <w:szCs w:val="24"/>
              </w:rPr>
            </w:pPr>
          </w:p>
        </w:tc>
        <w:tc>
          <w:tcPr>
            <w:tcW w:w="7" w:type="dxa"/>
            <w:tcBorders>
              <w:top w:val="single" w:sz="4" w:space="0" w:color="auto"/>
              <w:left w:val="single" w:sz="4" w:space="0" w:color="auto"/>
              <w:bottom w:val="single" w:sz="4" w:space="0" w:color="auto"/>
              <w:right w:val="single" w:sz="4" w:space="0" w:color="auto"/>
            </w:tcBorders>
            <w:vAlign w:val="center"/>
          </w:tcPr>
          <w:p>
            <w:pPr>
              <w:spacing w:after="0" w:line="240" w:lineRule="auto"/>
              <w:jc w:val="left"/>
            </w:pPr>
            <w:r>
              <w:rPr>
                <w:rFonts w:ascii="宋体" w:hAnsi="宋体"/>
                <w:color w:val="000000"/>
                <w:kern w:val="0"/>
                <w:sz w:val="25"/>
                <w:szCs w:val="24"/>
              </w:rPr>
              <w:t>7日（含）-30日</w:t>
            </w:r>
          </w:p>
        </w:tc>
        <w:tc>
          <w:tcPr>
            <w:tcW w:w="7" w:type="dxa"/>
            <w:tcBorders>
              <w:top w:val="single" w:sz="4" w:space="0" w:color="auto"/>
              <w:left w:val="single" w:sz="4" w:space="0" w:color="auto"/>
              <w:bottom w:val="single" w:sz="4" w:space="0" w:color="auto"/>
              <w:right w:val="single" w:sz="4" w:space="0" w:color="auto"/>
            </w:tcBorders>
            <w:vAlign w:val="center"/>
          </w:tcPr>
          <w:p>
            <w:pPr>
              <w:widowControl/>
              <w:snapToGrid w:val="0"/>
              <w:spacing w:after="0" w:line="240" w:lineRule="auto"/>
              <w:jc w:val="center"/>
              <w:rPr>
                <w:rFonts w:ascii="宋体" w:hAnsi="宋体"/>
                <w:color w:val="000000"/>
                <w:kern w:val="0"/>
                <w:sz w:val="24"/>
                <w:szCs w:val="24"/>
              </w:rPr>
            </w:pPr>
            <w:r>
              <w:rPr>
                <w:rFonts w:ascii="宋体" w:hAnsi="宋体"/>
                <w:color w:val="000000"/>
                <w:kern w:val="0"/>
                <w:sz w:val="24"/>
                <w:szCs w:val="24"/>
              </w:rPr>
              <w:t>0.5%</w:t>
            </w:r>
          </w:p>
        </w:tc>
      </w:tr>
      <w:tr>
        <w:tblPrEx>
          <w:tblW w:w="5000" w:type="pct"/>
          <w:tblInd w:w="0" w:type="dxa"/>
          <w:tblLayout w:type="fixed"/>
          <w:tblCellMar>
            <w:top w:w="0" w:type="dxa"/>
            <w:left w:w="0" w:type="dxa"/>
            <w:bottom w:w="0" w:type="dxa"/>
            <w:right w:w="0" w:type="dxa"/>
          </w:tblCellMar>
          <w:tblLook w:val="0000"/>
        </w:tblPrEx>
        <w:trPr>
          <w:cantSplit/>
          <w:trHeight w:val="375"/>
        </w:trPr>
        <w:tc>
          <w:tcPr>
            <w:tcW w:w="7" w:type="dxa"/>
            <w:vMerge/>
            <w:tcBorders>
              <w:top w:val="single" w:sz="4" w:space="0" w:color="auto"/>
              <w:left w:val="single" w:sz="4" w:space="0" w:color="auto"/>
              <w:bottom w:val="single" w:sz="4" w:space="0" w:color="auto"/>
              <w:right w:val="single" w:sz="4" w:space="0" w:color="auto"/>
            </w:tcBorders>
            <w:vAlign w:val="center"/>
          </w:tcPr>
          <w:p>
            <w:pPr>
              <w:widowControl/>
              <w:snapToGrid w:val="0"/>
              <w:spacing w:after="0" w:line="240" w:lineRule="auto"/>
              <w:jc w:val="center"/>
              <w:rPr>
                <w:rFonts w:ascii="宋体" w:hAnsi="宋体"/>
                <w:color w:val="000000"/>
                <w:kern w:val="0"/>
                <w:sz w:val="24"/>
                <w:szCs w:val="24"/>
              </w:rPr>
            </w:pPr>
          </w:p>
        </w:tc>
        <w:tc>
          <w:tcPr>
            <w:tcW w:w="7" w:type="dxa"/>
            <w:tcBorders>
              <w:top w:val="single" w:sz="4" w:space="0" w:color="auto"/>
              <w:left w:val="single" w:sz="4" w:space="0" w:color="auto"/>
              <w:bottom w:val="single" w:sz="4" w:space="0" w:color="auto"/>
              <w:right w:val="single" w:sz="4" w:space="0" w:color="auto"/>
            </w:tcBorders>
            <w:vAlign w:val="center"/>
          </w:tcPr>
          <w:p>
            <w:pPr>
              <w:spacing w:after="0" w:line="240" w:lineRule="auto"/>
              <w:jc w:val="left"/>
            </w:pPr>
            <w:r>
              <w:rPr>
                <w:rFonts w:ascii="宋体" w:hAnsi="宋体"/>
                <w:color w:val="000000"/>
                <w:kern w:val="0"/>
                <w:sz w:val="25"/>
                <w:szCs w:val="24"/>
              </w:rPr>
              <w:t>30日以上（含）</w:t>
            </w:r>
          </w:p>
        </w:tc>
        <w:tc>
          <w:tcPr>
            <w:tcW w:w="7" w:type="dxa"/>
            <w:tcBorders>
              <w:top w:val="single" w:sz="4" w:space="0" w:color="auto"/>
              <w:left w:val="single" w:sz="4" w:space="0" w:color="auto"/>
              <w:bottom w:val="single" w:sz="4" w:space="0" w:color="auto"/>
              <w:right w:val="single" w:sz="4" w:space="0" w:color="auto"/>
            </w:tcBorders>
            <w:vAlign w:val="center"/>
          </w:tcPr>
          <w:p>
            <w:pPr>
              <w:widowControl/>
              <w:snapToGrid w:val="0"/>
              <w:spacing w:after="0" w:line="240" w:lineRule="auto"/>
              <w:jc w:val="center"/>
              <w:rPr>
                <w:rFonts w:ascii="宋体" w:hAnsi="宋体"/>
                <w:color w:val="000000"/>
                <w:kern w:val="0"/>
                <w:sz w:val="24"/>
                <w:szCs w:val="24"/>
              </w:rPr>
            </w:pPr>
            <w:r>
              <w:rPr>
                <w:rFonts w:ascii="宋体" w:hAnsi="宋体"/>
                <w:color w:val="000000"/>
                <w:kern w:val="0"/>
                <w:sz w:val="24"/>
                <w:szCs w:val="24"/>
              </w:rPr>
              <w:t>0</w:t>
            </w:r>
          </w:p>
        </w:tc>
      </w:tr>
    </w:tbl>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本基金C类基金份额的赎回费用由赎回C类基金份额的基金份额持有人承担，在基金份额持有人赎回C类基金份额时收取，对C类基金份额持有人收取的赎回费全额计入基金财产。</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3、经与基金托管人协商一致，基金管理人可以在基金合同约定的范围内调整费率或收费方式，并最迟应于新的费率或收费方式实施日前依照《信息披露办法》的有关规定在规定媒介上公告。</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4、当本基金发生大额申购或赎回情形时，基金管理人可以采用摆动定价机制，以确保基金估值的公平性。具体处理原则与操作规范遵循相关法律法规以及监管部门、自律规则的规定。</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5、基金管理人可以在不违背法律法规规定及基金合同约定的情况下根据市场情况制定基金促销计划，针对投资人定期和不定期地开展基金促销活动。在基金促销活动期间，基金管理人可以按中国证监会要求履行必要手续后，对投资人适当调低基金销售费用。</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b/>
          <w:kern w:val="0"/>
          <w:sz w:val="24"/>
        </w:rPr>
        <w:t>（七）申购和赎回的数额和价格</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1、申购和赎回数额、余额的处理方式</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1）申购A类基金份额或C类基金份额的有效份额为净申购金额除以当日该类基金份额的基金份额净值，有效份额单位为份，申购份额计算结果按四舍五入方法，保留到小数点后2位，由此产生的收益或损失由基金财产承担。</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2）赎回金额为按实际确认的A类基金份额和C类基金份额有效赎回份额乘以当日该类基金份额的基金份额净值并扣除相应的费用（如有），赎回金额单位为元。赎回金额计算结果按四舍五入方法，保留到小数点后2位，由此产生的收益或损失由基金财产承担。</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2、申购份额的计算</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（1）A类基金份额的申购</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申购总金额=申请总金额</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净申购金额=申购总金额/（1+申购费率）</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（注：对于适用固定金额申购费用的申购，净申购金额＝申购总金额－固定申购费用金额）</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申购费用=申购总金额-净申购金额</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（注：对于适用固定金额申购费用的申购，申购费用＝固定申购费用金额）</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申购份额=（申购总金额-申购费用）/T日A类基金份额净值</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例四：某投资者（非养老金客户）投资100,000元申购本基金A类基金份额，假设申购当日A类基金份额净值为1.0400元，申购费率为1.5%，则其可得到的申购份额为：</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申购总金额＝100,000元</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净申购金额=100,000/（1+1.5%）=98,522.17元</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申购费用=100,000-98,522.17=1477.83元</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申购份额=（100,000-1477.83）/1.0400=94,732.86份</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即：某投资者（非养老金客户）投资100,000元申购本基金A类基金份额，假设申购当日A类基金份额净值为1.0400元，则其可得到94,732.86份A类基金份额。</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例五：某养老金客户投资1,000,000元通过基金管理人的直销柜台申购本基金A类基金份额，假设申购当日A类基金份额净值为1.0400元，申购费率为0.6%，则其可得到的申购份额为：</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申购总金额＝1,000,000元</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净申购金额=1,000,000/（1+0.6%）=994,035.79元</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申购费用=1,000,000-994,035.79=5,964.21元</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申购份额=（1,000,000-5,964.21）/1.0400=955,803.64份</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即：该养老金客户投资1,000,000元通过基金管理人的直销柜台申购本基金A类基金份额，假设申购当日A类基金份额净值为1.0400元，则其可得到955,803.64份A类基金份额。</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（2）C类基金份额的申购</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如果投资者选择申购C类基金份额，则申购份额的计算方法如下：</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申购总金额=申请总金额</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申购份额=申购总金额/T日C类基金份额净值</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例六：某投资者投资100,000元申购本基金的C类基金份额，假设申购当日C类基金份额净值为1.0400元，则其可得到的申购份额为：</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申购总金额=100,000元</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申购份额＝100,000/1.0400＝96,153.85份</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即：投资者投资100,000元申购本基金的C类基金份额，假设申购当日C类基金份额净值为1.0400元，则其可得到96,153.85份C类基金份额。</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3、赎回金额的计算</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（1）A类基金份额的赎回</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如果投资者赎回A类基金份额，则赎回金额的计算方法如下：</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赎回费用=赎回份额×T日A类基金份额净值×赎回费率</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赎回金额=赎回份额×T日A类基金份额净值-赎回费用</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例七：某投资者赎回持有的10,000份A类基金份额，持有期限为30日，对应的赎回费率为0.5%，假设赎回当日A类基金份额净值是1.0160元，则其可得到的赎回金额为：</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赎回费用=10,000×1.0160×0.5%＝50.80元</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赎回金额=10,000×1.0160-50.80＝10,109.20元</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即：该投资者赎回本基金10,000份A类基金份额，持有期限为30日，对应的赎回费率为0.5%，假设赎回当日A类基金份额净值是1.0160元，则其可得到的赎回金额为10,109.20元。</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（2）C类基金份额的赎回</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如果投资者赎回C类基金份额，赎回金额的计算方法如下：</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赎回费用=赎回份额×T日C类基金份额净值×赎回费率</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赎回金额=赎回份额×T日C类基金份额净值—赎回费用</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例八：某投资者赎回持有的10,000份C类基金份额，持有时间为20日，对应的赎回费率为0.5%，假设赎回当日C类基金份额净值是1.0160元，则其可得到的赎回金额为：</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赎回费用=10,000×1.0160×0.5%＝50.80元</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赎回金额=10,000×1.0160-50.80＝10,109.20元</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即：投资者赎回本基金10,000份C类基金份额，持有时间为20日，对应的赎回费率为0.5%，假设赎回当日C类基金份额净值是1.0160元，则其可得到的赎回金额为10,109.20元。</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4、基金份额净值的计算公式</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A类基金份额净值＝A类基金份额的基金资产净值总额/发行在外的A类基金份额总数</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C类基金份额净值＝C类基金份额的基金资产净值总额/发行在外的C类基金份额总数</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本基金T日的基金份额净值在当天收市后计算，并在T＋1日（包括该日）内公告。遇特殊情况，经履行适当程序，可以适当延迟计算或公告。本基金A类基金份额和C类基金份额的份额净值的计算，保留到小数点后4位，小数点后第5位四舍五入，由此产生的收益或损失由基金财产承担。</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b/>
          <w:kern w:val="0"/>
          <w:sz w:val="24"/>
        </w:rPr>
        <w:t>（八）拒绝或暂停申购的情形</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发生下列情况时，基金管理人可拒绝或暂停接受投资人的申购申请：</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1、因不可抗力导致基金无法正常运作。</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2、发生基金合同规定的暂停基金资产估值情况时，基金管理人可暂停接受投资人的申购申请。</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3、证券、期货交易所交易时间非正常停市或港股通临时停市，导致基金管理人无法计算当日基金资产净值。</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4、接受某笔或某些申购申请可能会影响或损害现有基金份额持有人利益时。</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5、基金资产规模过大，使基金管理人无法找到合适的投资品种，或其他可能对基金业绩产生负面影响，或发生其他损害现有基金份额持有人利益的情形。</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6、当前一估值日基金资产净值50%以上的资产出现无可参考的活跃市场价格且采用估值技术仍导致公允价值存在重大不确定性时，经与基金托管人协商确认后，基金管理人应当暂停接受基金申购申请。</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7、港股通交易每日额度不足。</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8、基金管理人接受某笔或者某些申购申请有可能导致单一投资者持有基金份额的比例超过50%，或者变相规避50%集中度的。出现上述情形时，基金管理人有权将上述申购申请全部或部分确认失败。</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9、法律法规规定、中国证监会认定或基金合同约定的其他情形。</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发生上述第1、2、3、5、6、7、9项暂停申购情形之一且基金管理人决定暂停接受投资人申购申请时，基金管理人应当根据有关规定在规定媒介上刊登暂停申购公告。如果投资人的申购申请被拒绝，被拒绝的申购款项将退还给投资人。在暂停申购的情况消除时，基金管理人应及时恢复申购业务的办理。</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b/>
          <w:kern w:val="0"/>
          <w:sz w:val="24"/>
        </w:rPr>
        <w:t>（九）暂停赎回或延缓支付赎回款项的情形</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发生下列情形时，基金管理人可暂停接受投资人的赎回申请或延缓支付赎回款项：</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1、因不可抗力导致基金管理人不能支付赎回款项。</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2、发生基金合同规定的暂停基金资产估值情况时，基金管理人可暂停接受投资人的赎回申请或延缓支付赎回款项。</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3、证券、期货交易所交易时间非正常停市或港股通临时停市，导致基金管理人无法计算当日基金资产净值。</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4、连续两个或两个以上开放日发生巨额赎回。</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5、发生继续接受赎回申请将损害现有基金份额持有人利益的情形时，基金管理人可暂停接受基金份额持有人的赎回申请。</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6、当前一估值日基金资产净值50%以上的资产出现无可参考的活跃市场价格且采用估值技术仍导致公允价值存在重大不确定性时，经与基金托管人协商确认后，基金管理人应当延缓支付赎回款项或暂停接受基金赎回申请。</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7、法律法规规定、中国证监会认定或基金合同约定的其他情形。</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发生上述情形之一且基金管理人决定暂停接受基金份额持有人的赎回申请或延缓支付赎回款项时，基金管理人应及时报中国证监会备案，已确认的赎回申请，基金管理人应足额支付；如暂时不能足额支付，应将可支付部分按单个账户申请量占申请总量的比例分配给赎回申请人，未支付部分可延期支付。若出现上述第4项所述情形，按基金合同的相关条款处理。基金份额持有人在申请赎回时可事先选择将当日可能未获受理部分予以撤销。在暂停赎回的情况消除时，基金管理人应及时恢复赎回业务的办理并公告。</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b/>
          <w:kern w:val="0"/>
          <w:sz w:val="24"/>
        </w:rPr>
        <w:t>（十）巨额赎回的情形及处理方式</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1、巨额赎回的认定</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若本基金单个开放日内的基金份额净赎回申请（赎回申请份额总数加上基金转换中转出申请份额总数后扣除申购申请份额总数及基金转换中转入申请份额总数后的余额）超过前一开放日的基金总份额的10%，即认为是发生了巨额赎回。</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2、巨额赎回的处理方式</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当基金出现巨额赎回时，基金管理人可以根据基金当时的资产组合状况决定全额赎回或部分延期赎回。</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（1）全额赎回：当基金管理人认为有能力支付投资人的全部赎回申请时，按正常赎回程序执行。</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2）部分延期赎回：当基金管理人认为支付投资人的赎回申请有困难或认为因支付投资人的赎回申请而进行的财产变现可能会对基金资产净值造成较大波动时，基金管理人在当日接受赎回比例不低于上一开放日基金总份额的10%的前提下，可对其余赎回申请延期办理。对于当日的赎回申请，应当按单个账户赎回申请量占赎回申请总量的比例，确定当日受理的赎回份额；对于未能赎回部分，投资人在提交赎回申请时可以选择延期赎回或取消赎回。选择延期赎回的，将自动转入下一个开放日继续赎回，直到全部赎回为止；选择取消赎回的，当日未获受理的部分赎回申请将被撤销。延期的赎回申请与下一开放日赎回申请一并处理，无优先权并以下一开放日该类基金份额的基金份额净值为基础计算赎回金额，以此类推，直到全部赎回为止。如投资人在提交赎回申请时未作明确选择，投资人未能赎回部分作自动延期赎回处理。</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（3）本基金如发生巨额赎回且单个开放日内单个基金份额持有人申请赎回的基金份额超过前一开放日的基金总份额的20%时，本基金管理人有权采取如下措施：</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对于基金份额持有人当日超过20%的赎回申请，可以对其赎回申请延期办理。对于未能赎回部分，投资人在提交赎回申请时可以选择延期赎回或取消赎回。选择延期赎回的，将自动转入下一个开放日继续赎回，直到全部赎回为止；选择取消赎回的，当日未获受理的部分赎回申请将被撤销。延期的赎回申请与下一开放日赎回申请一并处理，无优先权并以下一开放日该类基金份额的基金份额净值为基础计算赎回金额，以此类推，直到全部赎回为止。</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对于基金份额持有人未超过上述比例的部分，基金管理人可以根据前段“（1）全额赎回”或“（2）部分延期赎回”的约定方式与其他基金份额持有人的赎回申请一并办理。但是，如基金份额持有人在当日选择取消赎回，则其当日未获受理的部分赎回申请将被撤销。</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4）暂停赎回：连续2个开放日以上（含本数）发生巨额赎回，如基金管理人认为有必要，可暂停接受基金的赎回申请；已经接受的赎回申请可以延缓支付赎回款项，但不得超过20个工作日，并应当在规定媒介上进行公告。</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3、巨额赎回的公告</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当发生上述巨额赎回并延期办理时，基金管理人应当通过邮寄、传真、刊登公告或者通知销售机构代为告知等方式在3个交易日内通知基金份额持有人，说明有关处理方法，并在两日内在规定媒介上刊登公告。</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b/>
          <w:kern w:val="0"/>
          <w:sz w:val="24"/>
        </w:rPr>
        <w:t>（十一）暂停申购或赎回的公告和重新开放申购或赎回的公告</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1、发生上述暂停申购或赎回情况的，基金管理人应在规定期限内在规定媒介上刊登暂停公告。</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2、如发生暂停的时间为1日，基金管理人应于重新开放日，在规定媒介上刊登基金重新开放申购或赎回公告，并公布最近1个开放日各类基金份额的基金份额净值。</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3、如发生暂停的时间超过1日，基金管理人可以根据暂停申购或赎回的时间，依照《信息披露办法》的有关规定，最迟于重新开放日在规定媒介上刊登重新开放申购或赎回的公告；也可以根据实际情况在暂停公告中明确重新开放申购或赎回的时间，届时不再另行发布重新开放的公告。</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b/>
          <w:kern w:val="0"/>
          <w:sz w:val="24"/>
        </w:rPr>
        <w:t>（十二）基金的非交易过户</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基金的非交易过户是指基金登记机构受理继承、捐赠和司法强制执行等情形而产生的非交易过户以及登记机构认可、符合法律法规的其它非交易过户。无论在上述何种情况下，接受划转的主体必须是依法可以持有本基金基金份额的投资人。</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继承是指基金份额持有人死亡，其持有的基金份额由其合法的继承人继承；捐赠指基金份额持有人将其合法持有的基金份额捐赠给福利性质的基金会或社会团体；司法强制执行是指司法机构依据生效司法文书将基金份额持有人持有的基金份额强制划转给其他自然人、法人或其他组织。办理非交易过户必须提供基金登记机构要求提供的相关资料，对于符合条件的非交易过户申请按基金登记机构的规定办理，并按基金登记机构规定的标准收费。</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b/>
          <w:kern w:val="0"/>
          <w:sz w:val="24"/>
        </w:rPr>
        <w:t>（十三）基金的转托管</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基金份额持有人可办理已持有基金份额在不同销售机构之间的转托管，基金销售机构可以按照规定的标准收取转托管费。</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b/>
          <w:kern w:val="0"/>
          <w:sz w:val="24"/>
        </w:rPr>
        <w:t>（十四）定期定额投资计划</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定期定额投资计划是基金申购业务的一种方式，投资人可通过向相关销售机构提交申请，约定每期申购日、扣款金额及扣款方式，由指定的销售机构在投资人指定资金账户内自动扣款并于每期约定的申购日提交基金的申购申请。定期定额投资计划并不构成对基金日常申购、赎回等业务的影响，投资人在办理相关基金定期定额投资计划的同时，仍然可以进行日常申购、赎回业务。</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本基金2023年2月23日刊登公告自2023年2月27日起开通定期定额投资计划业务，具体开通销售机构名单和业务规则参见相关公告。</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b/>
          <w:kern w:val="0"/>
          <w:sz w:val="24"/>
        </w:rPr>
        <w:t>（十五）基金份额的冻结和解冻</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基金登记机构只受理国家有权机关依法要求的基金份额的冻结与解冻，以及登记机构认可、符合法律法规的其他情况下的冻结与解冻。</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b/>
          <w:kern w:val="0"/>
          <w:sz w:val="24"/>
        </w:rPr>
        <w:t>（十六）基金份额的转让</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在法律法规允许且条件具备的情况下，基金管理人可受理基金份额持有人通过中国证监会认可的交易场所或者交易方式进行份额转让的申请并由登记机构办理基金份额的过户登记。基金管理人拟受理基金份额转让业务的，将提前公告，基金份额持有人应根据基金管理人公告的业务规则办理基金份额转让业务。</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b/>
          <w:kern w:val="0"/>
          <w:sz w:val="24"/>
        </w:rPr>
        <w:t>（十七）实施侧袋机制期间本基金的申购与赎回</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本基金实施侧袋机制的，本基金的申购和赎回安排详见本招募说明书“侧袋机制”部分的规定或相关公告。</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b/>
          <w:kern w:val="0"/>
          <w:sz w:val="24"/>
        </w:rPr>
        <w:t>（十八）其他业务</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在不违反法律法规及中国证监会规定的前提下，基金管理人可在对基金份额持有人利益无实质性不利影响的情形下，办理基金份额的质押业务或其他基金业务，基金管理人可制定相应的业务规则，并依照《信息披露办法》的有关规定进行公告。</w:t>
      </w:r>
    </w:p>
    <w:p>
      <w:pPr>
        <w:pStyle w:val="Heading1"/>
        <w:snapToGrid w:val="0"/>
        <w:spacing w:before="240" w:beforeLines="0" w:after="0"/>
        <w:rPr>
          <w:rFonts w:ascii="宋体" w:hAnsi="宋体"/>
          <w:szCs w:val="30"/>
        </w:rPr>
      </w:pPr>
      <w:r>
        <w:br w:type="page"/>
      </w:r>
      <w:bookmarkStart w:id="20" w:name="_Toc256000009"/>
      <w:bookmarkStart w:id="21" w:name="_Toc256000036"/>
      <w:r>
        <w:rPr>
          <w:rFonts w:ascii="宋体" w:hAnsi="宋体"/>
          <w:sz w:val="30"/>
        </w:rPr>
        <w:t>九、基金的转换</w:t>
      </w:r>
      <w:bookmarkEnd w:id="21"/>
      <w:bookmarkEnd w:id="20"/>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b/>
          <w:kern w:val="0"/>
          <w:sz w:val="24"/>
        </w:rPr>
        <w:t>（一）基金转换</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基金转换是指开放式基金份额持有人将其持有某只基金的部分或全部份额转换为同一基金管理人管理的另一只开放式基金份额。基金转换只能在同一销售机构进行。转换的两只基金必须都是该销售机构代理的同一基金管理人管理的、在同一注册登记机构处注册登记的、同一收费模式的开放式基金。</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b/>
          <w:kern w:val="0"/>
          <w:sz w:val="24"/>
        </w:rPr>
        <w:t>（二）转换业务办理时间</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本基金2023年2月23日刊登公告自2023年2月27日起开放日常转换业务。</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办理基金间转换的时间为上海证券交易所、深圳证券交易所交易日。若出现新的证券交易市场或交易所交易时间更改或其它原因，基金管理人将视情况进行相应的调整并公告。</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投资人可在基金开放日申请办理基金转换业务，具体办理时间与基金申购、赎回业务办理时间相同。由于各销售机构的系统差异以及业务安排等原因，开展该业务的时间可能有所不同，投资人应以各销售机构公告的时间为准。</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本基金转换业务具体开通销售机构名单参见相关公告。</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b/>
          <w:kern w:val="0"/>
          <w:sz w:val="24"/>
        </w:rPr>
        <w:t>（三）基金转换的程序</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1、申请方式：书面申请或销售机构公布的其他方式。</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2、基金转换申请的确认</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正常情况下，T日规定时间受理的申请，注册登记机构在T＋1日内为投资人对该交易的有效性进行确认，在T＋2日后(包括该日)投资人可向销售机构查询转换的确认情况。</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3、基金转换的注册登记</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注册登记机构以收到有效转换申请的当天作为转换申请日（T日）。投资人转换基金成功的，注册登记机构将在T＋1日对投资人T日的基金转换业务申请进行有效性确认，办理转出基金的权益扣除以及转入基金的权益登记，在T＋2日后（包括该日）投资人可向销售机构查询基金转换的成交情况，并有权转换或赎回该部分基金份额。</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b/>
          <w:kern w:val="0"/>
          <w:sz w:val="24"/>
        </w:rPr>
        <w:t>（四）基金转换的数额限制</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基金转换以份额为单位进行申请，申请转换份额精确到小数点后两位，小数点后两位以后的部分四舍五入，误差部分归基金财产。</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本基金遵循“份额转换”的原则，单笔转换份额不得低于1份。基金持有人可将其全部或部分基金份额转换成其它基金，单笔转换申请不受转入基金最低申购限额限制。</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基于各基金关于投资人在单个交易账户最低保留余额的规定，每个工作日投资人在单个交易账户保留的某基金基金份额余额少于该基金的最低保留余额时，若当日该账户同时有该基金的基金份额减少类业务（如赎回、转换出等）被确认，基金管理人有权将投资人在该账户保留的该基金基金份额一次性全部赎回。因此，如果某笔转换申请确认后转出基金的单个交易账户的基金份额余额少于转出基金的最低保留余额，则转出基金在该账户剩余的基金份额将被全部赎回。如果某笔转换申请确认后转入基金的单个交易账户的基金份额余额少于转入基金的最低保留余额且该账户当日有转入基金的基金份额减少类业务被确认，则转入基金在该账户剩余的基金份额（包括该部分转换入确认份额）将随即被强制赎回。</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b/>
          <w:kern w:val="0"/>
          <w:sz w:val="24"/>
        </w:rPr>
        <w:t>（五）基金转换费用</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1、每笔基金转换视为一笔赎回和一笔申购，基金转换费用相应由转出基金的赎回费用及转出、转入基金的申购补差费用构成。</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2、转出基金的赎回费用</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转出基金的赎回费用按照各基金最新的更新招募说明书及相关公告规定的赎回费率和计费方式收取，赎回费用按一定比例归入基金财产（收取标准遵循各基金最新的更新招募说明书相关规定），其余部分用于支付注册登记费等相关手续费。</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3、前端收费模式下转出与转入基金的申购补差费用</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从不收取申购费用的基金或前端申购费用低的基金向前端申购费用高的基金转换，收取前端申购补差费用；从前端申购费用高的基金向前端申购费用低的基金或不收取申购费用的基金转换，不收取前端申购补差费用。申购补差费用原则上按照转出确认金额对应的转入基金前端申购费率减去转出基金前端申购费率差额进行计算补差，若遇固定费用，则按实际产生补差费用收取。</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4、后端收费模式下转出与转入基金的申购补差费用</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从不收取申购费用的基金或后端申购费用低的基金向后端申购费用高的基金转换，不收取后端申购补差费用，但转入的基金份额赎回的时候需全额收取转入基金的后端申购费；从后端申购费用高的基金向后端申购费用低的基金或不收取申购费用的基金转换，收取后端申购补差费用，且转入的基金份额赎回的时候需全额收取转入基金的后端申购费。后端申购补差费用按照转出份额持有时间对应分档的转出基金后端申购费率减去转入基金后端申购费率差额进行补差。</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5、网上直销的申购补差费率优惠</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为更好服务投资者，本基金管理人已开通基金网上直销业务，个人投资者可以通过“网上直销交易平台”办理基金转换业务，其中部分转换业务可享受转换费率优惠，优惠费率只适用于转出与转入基金申购补差费用，转出基金的赎回费用无优惠。可通过网上直销交易平台办理的转换业务范围及转换费率优惠的具体情况请参阅本基金管理人网站。</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6、本基金管理人可以根据法律法规及基金合同的规定对上述转换费用收费方式和费率进行调整，并应于调整后的收费方式和费率实施前依照《信息披露办法》的有关规定在中国证监会规定媒介上公告。</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b/>
          <w:kern w:val="0"/>
          <w:sz w:val="24"/>
        </w:rPr>
        <w:t>（六）基金转换份额的计算公式</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1、前端收费模式下基金转换份额的计算公式及举例</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转出确认金额=转出的基金份额×转换申请当日转出基金的基金份额净值</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转出基金的赎回费=转出确认金额×对应的转出基金的赎回费率</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转入确认金额=转出确认金额-转出基金的赎回费</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转出与转入基金的申购补差费=转入确认金额×对应的转出与转入基金的申购补差费率/（1+对应的转出与转入基金的申购补差费率）</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（注：若转出基金申购费率不低于转入基金申购费率，转出与转入基金的申购补差费为零）</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对于涉及固定费用的，转出与转入基金的申购补差费＝MAX（0，转出基金和转入基金申购费用之差）</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转入基金确认份额=（转入确认金额-转出与转入基金的申购补差费+A）/转换申请当日转入基金的基金份额净值</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其中：</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A为货币市场基金转出的基金份额按比例结转的账户当前累计待支付收益（仅限转出基金为货币市场基金的情形，否则A为0）。</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转入基金确认份额的计算精确到小数点后两位，小数点后两位以后的部分四舍五入，误差部分归基金财产。</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例一：某投资者持有交银趋势前端收费模式的A类基金份额100,000份，持有期半年，转换申请当日交银趋势的A类基金份额净值为1.0100元，交银成长的基金份额净值为2.2700元。若该投资者将100,000份交银趋势前端A类基金份额转换为交银成长前端基金份额，则转入交银成长确认的基金份额为：</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转出确认金额=100,000×1.0100=101,000元</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转出基金的赎回费=101,000×0.5%=505元</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转入确认金额=101,000-505=100,495元</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转出与转入基金的申购补差费=100,495×0/（1+0）=0元</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转入基金确认份额=（100,495-0）/2.2700=44,270.93份</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例二：某投资者持有交银增利A类基金份额1,000,000份，持有期一年半，转换申请当日交银增利A类基金份额的基金份额净值为1.0200元，交银趋势的A类基金份额净值为1.0100元。若该投资者将1,000,000份交银增利A类基金份额转换为交银趋势前端A类基金份额，则转入交银趋势确认的A类基金份额为：</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转出确认金额=1,000,000×1.0200=1,020,000元</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转出基金的赎回费=1,020,000×0.05%=510元</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转入确认金额=1,020,000-510=1,019,490元</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转出与转入基金的申购补差费=1,019,490×0.5%/（1+0.5%）=5,072.09元</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转入基金确认份额=（1,019,490-5,072.09）/1.0100=1,004,374.17份</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例三：某投资者持有交银增利C类基金份额100,000份，持有期一年半，转换申请当日交银增利C类基金份额净值为1.2500元，交银精选的基金份额净值为2.2700元。若该投资者将100,000份交银增利C类基金份额转换为交银精选前端基金份额，则转入交银精选确认的基金份额为：</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转出确认金额=100,000×1.2500=125,000元</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转出基金的赎回费=0元</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转入确认金额=125,000-0=125,000元</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转出与转入基金的申购补差费=125,000×1.5%/（1+1.5%）=1,847.29元</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转入基金确认份额=（125,000-1,847.29）/2.2700=54,252.30份</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例四：某投资者持有交银货币A级基金份额100,000份，该100,000份基金份额未结转的待支付收益为61.52元，转换申请当日交银增利A类基金份额净值为1.2700元，交银货币的基金份额净值为1.00元。若该投资者将100,000份交银货币A级基金份额转换为交银增利A类基金份额，则转入确认的交银增利A类基金份额为：</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转出确认金额=100,000×1.00=100,000元</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转出基金的赎回费=0元</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转入确认金额=100,000-0=100,000元</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转出与转入基金的申购补差费=100,000×0.8%/（1+0.8%）=793.65元</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转入基金确认份额=（100,000-793.65+61.52）/1.2700=78,163.68份</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2、后端收费模式下基金转换份额的计算公式及举例</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转出确认金额=转出的基金份额×转换申请当日转出基金的基金份额净值</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转出基金的赎回费=转出确认金额×对应的转出基金的赎回费率</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转入确认金额=转出确认金额-转出基金的赎回费</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转出与转入基金的申购补差费=转入确认金额×对应的转出与转入基金的申购补差费率</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转入基金确认份额=（转入确认金额-转出与转入基金的申购补差费+A）/转换申请当日转入基金的基金份额净值</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其中：</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A为货币市场基金转出的基金份额按比例结转的账户当前累计待支付收益（仅限转出基金为货币市场基金的情形，否则A为0）。</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转入基金确认份额的计算精确到小数点后两位，小数点后两位以后的部分四舍五入，误差部分归基金财产。</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例五：某投资者持有交银主题后端收费模式的A类基金份额100,000份，持有期一年半，转换申请当日交银主题的A类基金份额净值为1.2500元，交银稳健的基金份额净值为2.2700元。若该投资者将100,000份交银主题后端A类基金份额转换为交银稳健后端基金份额，则转入交银稳健确认的基金份额为：</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转出确认金额=100,000×1.2500=125,000元</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转出基金的赎回费=125,000×0.2%=250元</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转入确认金额=125,000-250=124,750元</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转出与转入基金的申购补差费=124,750×0=0元</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转入基金确认份额=（124,750-0）/2.2700=54,955.95份</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例六：某投资者持有交银先锋后端收费模式的A类基金份额100,000份，持有期一年半，转换申请当日交银先锋的A类基金份额净值为1.2500元，交银货币的基金份额净值为1.00元。若该投资者将100,000份交银先锋后端A类基金份额转换为交银货币，则转入交银货币的基金份额为：</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转出确认金额=100,000×1.2500=125,000元</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转出基金的赎回费=125,000×0.2%=250元</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转入确认金额=125,000-250=124,750元</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转出与转入基金的申购补差费=124,750×1.2%=1497元</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转入基金确认份额=（124,750-1497）/1.00=123,253.00份</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例七：某投资者持有交银蓝筹后端收费模式的基金份额100,000份，持有期三年半，转换申请当日交银蓝筹的基金份额净值为0.8500元，交银增利B类基金份额的基金份额净值为1.0500。若该投资者将100,000份交银蓝筹后端基金份额转换为交银增利B类基金份额，则转入交银增利B类基金份额的基金份额为：</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转出确认金额=100,000×0.8500=85,000元</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转出基金的赎回费=85,000×0=0元</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转入确认金额=85,000-0=85,000元</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转出与转入基金的申购补差费=85,000×0.2%=170元</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转入基金确认份额=（85,000-170）/1.0500=80,790.48份</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例八：某投资者持有交银货币A级基金份额100,000份，该100,000份基金份额未结转的待支付收益为61.52元，转换申请当日交银增利B类基金份额净值为1.2700元，交银货币的基金份额净值为1.00元。若该投资者将100,000份交银货币A级基金份额转换为交银增利B类基金份额，则转入确认的交银增利B类基金份额为：</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转出确认金额=100,000×1.00=100,000元</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转出基金的赎回费=0元</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转入确认金额=100,000-0=100,000元</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转出与转入基金的申购补差费=100,000×0=0元</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转入基金确认份额=（100,000-0+61.52）/1.2700=78,788.60份</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b/>
          <w:kern w:val="0"/>
          <w:sz w:val="24"/>
        </w:rPr>
        <w:t>（七）业务规则</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1、基金转换只能在同一销售机构进行。转换的两只基金必须都是该销售机构销售的同一基金管理人管理的、在同一注册登记机构处注册登记的基金。投资人办理基金转换业务时，转出方的基金必须处于可赎回状态，转入方的基金必须处于可申购状态。</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2、投资人只能在相同收费模式下进行基金转换。前端收费模式的开放式基金只能转换到前端收费模式的其他基金，后端收费模式的基金只能转换到后端收费模式的其他基金。交银货币、债券基金C类基金份额与其他基金之间的转换不受上述收费模式的限制。</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3、基金转换采取未知价法，即基金的转换价格以申请受理当日各转出、转入基金的基金份额净值为基础进行计算。（货币市场基金的基金份额净值为固定价1.00元）。</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4、投资人申请转出其账户内货币市场基金的基金份额时，注册登记机构将自动结转该转出份额对应的待支付收益，该收益将一并计入转出金额并折算为转入基金的基金份额，但收益部分不收取转换费用。</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5、转换后，转入基金份额的持有时间将重新计算，即转入基金份额的持有期将自转入基金份额被确认日起重新开始计算。</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b/>
          <w:kern w:val="0"/>
          <w:sz w:val="24"/>
        </w:rPr>
        <w:t>（八）暂停基金转换</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基金转换视同为转出基金的赎回和转入基金的申购，因此有关转出基金和转入基金关于暂停或拒绝申购、暂停赎回的有关规定也一般适用于暂停基金转换。具体暂停或恢复基金转换的相关业务请详见届时本基金管理人发布的相关公告。</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单个开放日，基金净赎回申请份额（该基金赎回申请总份额加上基金转换中转出申请总份额扣除申购申请总份额及基金转换中转入申请总份额后的余额）超过上一日基金总份额的10%时，为巨额赎回。发生巨额赎回时，基金转出与基金赎回具有相同的优先级，本基金管理人可根据基金资产组合情况，决定全额转出或部分转出，并且对于基金转出和基金赎回，将采取相同的比例确认。在转出申请得到部分确认的情况下，未确认的转出申请将自动予以撤销，不再视为下一开放日的基金转换申请。</w:t>
      </w:r>
    </w:p>
    <w:p>
      <w:pPr>
        <w:pStyle w:val="Heading1"/>
        <w:snapToGrid w:val="0"/>
        <w:spacing w:before="240" w:beforeLines="0" w:after="0"/>
        <w:rPr>
          <w:rFonts w:ascii="宋体" w:hAnsi="宋体"/>
          <w:szCs w:val="30"/>
        </w:rPr>
      </w:pPr>
      <w:r>
        <w:br w:type="page"/>
      </w:r>
      <w:bookmarkStart w:id="22" w:name="_Toc256000010"/>
      <w:bookmarkStart w:id="23" w:name="_Toc256000037"/>
      <w:r>
        <w:rPr>
          <w:rFonts w:ascii="宋体" w:hAnsi="宋体"/>
          <w:sz w:val="30"/>
        </w:rPr>
        <w:t>十、基金的投资</w:t>
      </w:r>
      <w:bookmarkEnd w:id="23"/>
      <w:bookmarkEnd w:id="22"/>
    </w:p>
    <w:p>
      <w:pPr>
        <w:autoSpaceDE w:val="0"/>
        <w:autoSpaceDN w:val="0"/>
        <w:adjustRightInd w:val="0"/>
        <w:snapToGrid w:val="0"/>
        <w:spacing w:after="0" w:line="360" w:lineRule="auto"/>
        <w:ind w:firstLine="420" w:firstLineChars="200"/>
        <w:jc w:val="left"/>
        <w:rPr>
          <w:rFonts w:ascii="宋体" w:hAnsi="宋体"/>
          <w:szCs w:val="24"/>
        </w:rPr>
      </w:pPr>
      <w:r>
        <w:rPr>
          <w:rFonts w:ascii="宋体" w:hAnsi="宋体"/>
          <w:b/>
          <w:sz w:val="24"/>
        </w:rPr>
        <w:t>（一）投资目标</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本基金在严格控制风险的前提下，充分发挥专业研究与管理能力，追求超越业绩比较基准的投资收益，力争为投资者提供长期稳健的投资回报。</w:t>
      </w:r>
    </w:p>
    <w:p>
      <w:pPr>
        <w:autoSpaceDE w:val="0"/>
        <w:autoSpaceDN w:val="0"/>
        <w:adjustRightInd w:val="0"/>
        <w:snapToGrid w:val="0"/>
        <w:spacing w:after="0" w:line="360" w:lineRule="auto"/>
        <w:ind w:firstLine="420" w:firstLineChars="200"/>
        <w:jc w:val="left"/>
        <w:rPr>
          <w:rFonts w:ascii="宋体" w:hAnsi="宋体"/>
          <w:szCs w:val="24"/>
        </w:rPr>
      </w:pPr>
      <w:r>
        <w:rPr>
          <w:rFonts w:ascii="宋体" w:hAnsi="宋体"/>
          <w:b/>
          <w:sz w:val="24"/>
        </w:rPr>
        <w:t>（二）投资范围</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本基金的投资范围为具有良好流动性的金融工具，包括国内依法发行上市的股票（含创业板及其他经中国证监会核准或注册上市的股票、存托凭证）、港股通标的股票、债券（含国债、央行票据、金融债券、政府支持债券、政府支持机构债券、地方政府债券、企业债券、公司债券、可转换债券（含可分离交易可转换债券的纯债部分）、可交换公司债券、公开发行的次级债券、中期票据、短期融资券、超短期融资券等）、资产支持证券、货币市场工具、债券回购、同业存单、银行存款（含协议存款、定期存款及其他银行存款）、股指期货以及法律法规或中国证监会允许基金投资的其他金融工具（但须符合中国证监会相关规定）。</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如法律法规或监管机构以后允许基金投资其他品种，基金管理人在履行适当程序后，可以将其纳入投资范围。</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基金的投资组合比例为：股票投资（含存托凭证）占基金资产的比例为60%-95%，其中投资于港股通标的股票的比例占股票资产的0%-50%；每个交易日日终在扣除股指期货合约需缴纳的交易保证金后，本基金持有的现金或者到期日在一年以内的政府债券的比例合计不低于基金资产净值的5%，其中现金不包括结算备付金、存出保证金、应收申购款等。</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如果法律法规或中国证监会变更投资品种的投资比例限制，基金管理人在履行适当程序后，可以调整上述投资品种的投资比例。</w:t>
      </w:r>
    </w:p>
    <w:p>
      <w:pPr>
        <w:autoSpaceDE w:val="0"/>
        <w:autoSpaceDN w:val="0"/>
        <w:adjustRightInd w:val="0"/>
        <w:snapToGrid w:val="0"/>
        <w:spacing w:after="0" w:line="360" w:lineRule="auto"/>
        <w:ind w:firstLine="420" w:firstLineChars="200"/>
        <w:jc w:val="left"/>
        <w:rPr>
          <w:rFonts w:ascii="宋体" w:hAnsi="宋体"/>
          <w:szCs w:val="24"/>
        </w:rPr>
      </w:pPr>
      <w:r>
        <w:rPr>
          <w:rFonts w:ascii="宋体" w:hAnsi="宋体"/>
          <w:b/>
          <w:sz w:val="24"/>
        </w:rPr>
        <w:t>（三）投资策略</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本基金充分发挥基金管理人的研究优势，在分析和判断宏观经济周期和金融市场运行趋势的基础上，运用修正后的投资时钟分析框架，自上而下调整基金大类资产配置；在严谨深入的股票和债券研究分析基础上，自下而上精选个股和个券；在保持总体风险水平相对稳定的基础上，力争获取投资组合的较高回报。</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1、大类资产配置</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本基金利用经交银施罗德研究团队修正后的投资时钟分析框架，通过“自上而下”的定性分析和定量分析相结合形成对不同资产市场表现的预测和判断，确定基金资产在沪深A股、港股、债券及货币市场工具等各类别资产间的分配比例，并随着各类证券风险收益特征的相对变化，在基金合同约定的范围内动态调整组合中各类资产的比例，以规避或控制市场风险，提高基金收益率。</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2、股票投资策略</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本基金主要运用交银施罗德股票研究分析方法等投资分析工具，在把握宏观经济运行趋势和股票市场行业轮动的基础上，充分发挥公司股票研究团队“自下而上”的主动选股能力，基于对个股深入的基本面研究和细致的实地调研，精选股票构建股票投资组合。</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（1）品质筛选</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筛选出在公司治理、财务及管理品质上符合基本品质要求的公司，构建备选股票池。主要筛选指标包括：</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■盈利能力指标：如市盈率（P/E）、市现率（P/Cash Flow）、股价与每股自由现金流比率（P/FCF）、市销率（P/S）、股价与每股息税前利润比率（P/EBIT）等；</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■经营效率指标：如净资产收益率（ROE）、资产收益率（ROA）、经营资产回报率（Return on operating assets）等；</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■财务状况指标：如资产负债率（D/A）、流动比率等；</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■研发投入指标：如研发投入与营业收入比率、科研人员数量及占比、专利数量及在同行业的占比等。</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（2）价值评估</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股票估值水平的高低将最终决定投资回报率的高低。由于驱动公司价值创造的因素不同，本基金将借鉴市场通用估值理念，针对不同类型公司以及公司发展中所处的不同阶段，采用不同的价值评估指标对公司的内在价值进行评估，筛选出估值具有吸引力的公司作为投资目标。</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（3）港股通标的股票投资策略</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本基金可通过内地与香港股票市场交易互联互通机制投资于香港股票市场。本基金优先将基本面健康、业绩向上弹性较大、具有估值优势的港股纳入本基金的股票投资组合。</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本基金可根据投资策略需要或不同配置地市场环境的变化，选择将部分基金资产投资于港股或选择不将基金资产投资于港股，基金资产并非必然投资港股。</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（4）存托凭证的投资策略</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本基金投资存托凭证的策略依照境内上市交易的股票投资策略执行。</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3、债券投资策略</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本基金的债券投资采取主动的投资管理方式，获得与风险相匹配的投资收益，以实现在一定程度上规避股票市场的系统性风险和保证基金资产的流动性。</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在全球经济的框架下，本基金管理人对宏观经济运行趋势及其引致的财政货币政策变化作出判断，运用数量化工具，对未来市场利率趋势及市场信用环境变化作出预测，并综合考虑利率变化对不同债券品种的影响、收益率水平、信用风险的大小、流动性的好坏等因素，构造债券组合。在具体操作中，本基金运用久期控制策略、期限结构配置策略、类属配置策略、骑乘策略、杠杆放大策略和换券等多种策略，以期获取债券市场的长期稳定收益。</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4、资产支持证券投资策略</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本基金将通过宏观经济、提前偿还率、资产池结构及资产池资产所在行业景气变化等因素的研究，预测资产池未来现金流变化；研究标的证券发行条款，预测提前偿还率变化对标的证券的久期与收益率的影响，同时密切关注流动性对标的证券收益率的影响。综合运用久期管理、收益率曲线、个券选择和把握市场交易机会等积极策略，在严格控制风险的情况下，通过信用研究和流动性管理，选择风险调整后的收益高的品种进行投资，以期获得长期稳定收益。</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5、股指期货投资策略</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本基金参与股指期货投资将根据风险管理的原则，以套期保值为主要目的。本基金将在风险可控的前提下，本着谨慎原则，参与股指期货的投资，以管理投资组合的系统性风险，改善组合的风险收益特性。套期保值将主要采用流动性好、交易活跃的期货合约。本基金在进行股指期货投资时，将通过对证券市场和期货市场运行趋势的研究，并结合股指期货的定价模型寻求其合理的估值水平。</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基金管理人针对股指期货交易制订严格的授权管理制度和投资决策流程，确保研究分析、投资决策、交易执行及风险控制各环节的独立运作，并明确相关岗位职责。此外，基金管理人建立股指期货交易决策部门或小组，并授权特定的管理人员负责股指期货的投资审批事项。</w:t>
      </w:r>
    </w:p>
    <w:p>
      <w:pPr>
        <w:autoSpaceDE w:val="0"/>
        <w:autoSpaceDN w:val="0"/>
        <w:adjustRightInd w:val="0"/>
        <w:snapToGrid w:val="0"/>
        <w:spacing w:after="0" w:line="360" w:lineRule="auto"/>
        <w:ind w:firstLine="420" w:firstLineChars="200"/>
        <w:jc w:val="left"/>
        <w:rPr>
          <w:rFonts w:ascii="宋体" w:hAnsi="宋体"/>
          <w:szCs w:val="24"/>
        </w:rPr>
      </w:pPr>
      <w:r>
        <w:rPr>
          <w:rFonts w:ascii="宋体" w:hAnsi="宋体"/>
          <w:b/>
          <w:sz w:val="24"/>
        </w:rPr>
        <w:t>（四）投资限制</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1、组合限制</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基金的投资组合应遵循以下限制：</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（1）股票投资（含存托凭证）占基金资产的比例为60%-95%，其中投资于港股通标的股票的比例占股票资产的0%-50%；</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2）每个交易日日终在扣除股指期货合约需缴纳的交易保证金后，本基金持有的现金或者到期日在一年以内的政府债券的投资比例合计不低于基金资产净值的5%，其中现金不包括结算备付金、存出保证金、应收申购款等；</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（3）本基金持有一家公司发行的证券（同一家公司在内地和香港同时上市的A+H股合计计算），其市值不超过基金资产净值的10％；</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4）本基金管理人管理的全部基金持有一家公司发行的证券（同一家公司在内地和香港同时上市的A+H股合计计算），不超过该证券的10％，完全按照有关指数的构成比例进行证券投资的基金品种可以不受此条款规定的比例限制；</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（5）本基金投资于同一原始权益人的各类资产支持证券的比例，不得超过基金资产净值的10％；</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（6）本基金持有的全部资产支持证券，其市值不得超过基金资产净值的20％；</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（7）本基金持有的同一（指同一信用级别）资产支持证券的比例，不得超过该资产支持证券规模的10％；</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（8）本基金管理人管理的全部基金投资于同一原始权益人的各类资产支持证券，不得超过其各类资产支持证券合计规模的10％；</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（9）本基金应投资于信用级别评级为BBB以上（含BBB）的资产支持证券。基金持有资产支持证券期间，如果其信用等级下降、不再符合投资标准，应在评级报告发布之日起3个月内予以全部卖出；</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（10）基金财产参与股票发行申购，本基金所申报的金额不超过本基金的总资产，本基金所申报的股票数量不超过拟发行股票公司本次发行股票的总量；</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（11）本基金进入全国银行间同业市场进行债券回购的资金余额不得超过基金资产净值的40%，进入全国银行间同业市场进行债券回购的最长期限为1年，债券回购到期后不得展期；</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12）本基金管理人管理的全部开放式基金（包括开放式基金以及处于开放期的定期开放基金）持有一家上市公司发行的可流通股票，不得超过该上市公司可流通股票的15%；本基金管理人管理的全部投资组合持有一家上市公司发行的可流通股票，不得超过该上市公司可流通股票的30%；完全按照有关指数的构成比例进行证券投资的开放式基金以及中国证监会认定的特殊投资组合可不受前述比例限制；</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13）本基金主动投资于流动性受限资产的市值合计不得超过基金资产净值的15%；因证券市场波动、上市公司股票停牌、基金规模变动等基金管理人之外的因素致使基金不符合该比例限制的，基金管理人不得主动新增流动性受限资产的投资；</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（14）本基金与私募类证券资管产品及中国证监会认定的其他主体为交易对手开展逆回购交易的，可接受质押品的资质要求应当与基金合同约定的投资范围保持一致；</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（15）本基金参与股指期货交易，则：</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1）本基金在任何交易日日终，持有的买入股指期货合约价值，不得超过基金资产净值的10%；</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2）本基金在任何交易日日终，持有的买入股指期货合约价值与有价证券市值之和，不得超过基金资产净值的95%。其中，有价证券指股票、债券（不含到期日在一年以内的政府债券）、资产支持证券、买入返售金融资产（不含质押式回购）等；</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3）本基金在任何交易日日终，持有的卖出股指期货合约价值不得超过基金持有的股票总市值的20%；</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4）本基金所持有的股票市值和买入、卖出股指期货合约价值，合计（轧差计算）应当符合基金合同关于股票投资比例的有关约定；</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5）本基金在任何交易日内交易（不包括平仓）的股指期货合约的成交金额不得超过上一交易日基金资产净值的20%；</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（16）本基金资产总值不超过基金资产净值的140%；</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（17）本基金投资存托凭证的比例限制依照境内上市交易的股票执行；</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（18）法律法规及中国证监会规定的和《基金合同》约定的其他投资限制。</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除上述（2）、（9）、（13）、（14）情形之外，因证券、期货市场波动、证券发行人合并、基金规模变动等基金管理人之外的因素致使基金投资比例不符合上述规定投资比例的，基金管理人应当在10个交易日内进行调整，但中国证监会规定的特殊情形除外。法律法规另有规定的，从其规定。</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基金管理人应当自基金合同生效之日起6个月内使基金的投资组合比例符合基金合同的有关约定。在上述期间内，本基金的投资范围、投资策略应当符合基金合同的约定。基金托管人对基金的投资的监督与检查自基金合同生效之日起开始。</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法律法规对上述投资组合比例限制进行变更的，以变更后的规定为准。法律法规或监管部门取消上述限制，如适用于本基金，基金管理人在履行适当程序后，则本基金投资不再受相关限制。</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2、禁止行为</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为维护基金份额持有人的合法权益，基金财产不得用于下列投资或者活动：</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（1）承销证券；</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（2）违反规定向他人贷款或者提供担保；</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（3）从事承担无限责任的投资；</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（4）买卖其他基金份额，但是中国证监会另有规定的除外；</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（5）向其基金管理人、基金托管人出资；</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（6）从事内幕交易、操纵证券交易价格及其他不正当的证券交易活动；</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（7）法律、行政法规和中国证监会规定禁止的其他活动。</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基金管理人运用基金财产买卖基金管理人、基金托管人及其控股股东、实际控制人或者与其有重大利害关系的公司发行的证券或者承销期内承销的证券，或者从事其他重大关联交易的，应当符合基金的投资目标和投资策略，遵循基金份额持有人利益优先原则，防范利益冲突，建立健全内部审批机制和评估机制，按照市场公平合理价格执行。相关交易必须事先得到基金托管人的同意，并按法律法规予以披露。重大关联交易应提交基金管理人董事会审议，并经过三分之二以上的独立董事通过。基金管理人董事会应至少每半年对关联交易事项进行审查。</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如法律、行政法规或监管部门取消上述规定，如适用于本基金，基金管理人在履行适当程序后，本基金可不受上述规定的限制。</w:t>
      </w:r>
    </w:p>
    <w:p>
      <w:pPr>
        <w:autoSpaceDE w:val="0"/>
        <w:autoSpaceDN w:val="0"/>
        <w:adjustRightInd w:val="0"/>
        <w:snapToGrid w:val="0"/>
        <w:spacing w:after="0" w:line="360" w:lineRule="auto"/>
        <w:ind w:firstLine="420" w:firstLineChars="200"/>
        <w:jc w:val="left"/>
        <w:rPr>
          <w:rFonts w:ascii="宋体" w:hAnsi="宋体"/>
          <w:szCs w:val="24"/>
        </w:rPr>
      </w:pPr>
      <w:r>
        <w:rPr>
          <w:rFonts w:ascii="宋体" w:hAnsi="宋体"/>
          <w:b/>
          <w:sz w:val="24"/>
        </w:rPr>
        <w:t>（五）业绩比较基准</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本基金业绩比较基准：沪深300指数收益率×75%+中债-国债总财富（1-3年）指数收益率×10%+中证港股通综合指数（人民币）收益率×15%</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1、业绩比较基准设定的原因</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1）基于基金投资范围以及预期投资的主要资产类别，本基金主要投资于A股股票、港股通标的股票、债券等资产，相应选取与之匹配的A股指数、港股指数、债券指数作为基准要素。同时基于基金投资股票资产（含存托凭证）占基金资产的比例为60%-95%（其中投资于港股通标的股票的比例占股票资产的0%-50%）等投资比例限制，以及预期的资产配置比例，本基金将股票资产与债券资产所对应的基准要素权重分别设置为90%与10%，其中将股票资产中的A股股票与港股通标的股票所对应的基准要素权重分别设置为75%与15%。</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2）基于基金投资目标、投资范围和投资策略，本基金精选在公司治理、财务及管理品质上符合基本品质要求、估值具有吸引力的优质公司，从而力争在控制风险的基础上追求超越业绩比较基准的投资回报。综合考虑基准指数与产品定位和投资风格的匹配度，同时兼顾考虑基准指数的表征性、认可度，本基金选取沪深300指数和中证港股通综合指数（人民币）分别作为A股股票和港股通标的股票部分的业绩比较基准要素。</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沪深300指数由沪深市场中规模大、流动性好的最具代表性的300只证券组成，以反映沪深市场上市公司证券的整体表现。该指数样本对沪深市场的覆盖度高，具有良好的市场代表性，与市场整体表现具有较高的相关度，适合作为本基金A股股票部分的业绩比较基准要素。</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中证港股通综合指数（人民币）选取符合港股通资格的上市公司证券作为指数样本，以反映港股通范围内上市公司的整体表现，适合作为本基金港股通标的股票部分的业绩比较基准要素。</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3）基于基金投资目标、投资范围和投资策略，本基金的债券资产采用全市场策略，主要通过类属配置、久期配置、个券选择等进行投资管理。综合考虑基准指数与产品定位和投资风格的匹配度，同时兼顾考虑基准指数的表征性、认可度，以及基准指数券种、久期、信用等级分布特征等，本基金选取中债-国债总财富（1-3年）指数作为债券部分的业绩比较基准要素。</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中债-国债总财富（1-3年）指数隶属于中债-国债总指数，该指数成份券由在境内公开发行且上市流通的记账式国债组成，成份券待偿期在1-3年（含1年），适合作为本基金债券部分的业绩比较基准要素。</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综上，本基金选取的业绩比较基准与基金投资目标、投资范围、投资策略、投资比例限制相匹配。</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2、业绩比较基准要素的基本信息</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沪深300指数由中证指数有限公司编制发布，指数代码为000300，指数具体信息详见中证指数有限公司网站，网址：www.csindex.com.cn。</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中证港股通综合指数（人民币）由中证指数有限公司编制发布，指数代码为930933，指数具体信息详见中证指数有限公司网站，网址：www.csindex.com.cn。</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中债-国债总财富（1-3年）指数由中债金融估值中心有限公司编制发布，指数代码为CBA00621，指数具体信息详见中国债券信息网，网址：www.chinabond.com.cn。</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3、业绩比较基准的计算方法</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本基金业绩比较基准收益率的计算方法以每日收益率为基础，以时间加权为计算原则。本基金先分别计算业绩比较基准中沪深300指数、中证港股通综合指数（人民币）、中债-国债总财富（1-3年）指数的每日收益率，再按照预设权重比例计算当日组合要素基准的日收益率，并连乘每日收益率。</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4、管理投资偏离业绩比较基准的定性或定量方法</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本基金管理人对基金实际投资与业绩比较基准的偏离情况进行动态跟踪与监测评估，监测指标主要包括超额收益、信息比率、跟踪误差、股票配置偏离度、基准覆盖率等，以更好管理基金实际投资与业绩比较基准的偏离情况，从而力争在控制风险的基础上追求超越业绩比较基准的投资回报。</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本基金为主动管理型基金，其业绩比较基准是表征产品风格、衡量产品业绩、约束投资行为的参考标准，并非本基金的跟踪标的，也不构成对产品收益的承诺。基金管理人在基金合同约定的投资范围、投资限制内享有充分的投资决策自主权，可根据投资策略、市场研判等综合因素，自主构建投资组合，包括酌情投资于业绩比较基准要素成份证券外的证券。本基金投资组合相对业绩比较基准要素成份证券和权重可能存在偏离。</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5、未来可能变更业绩比较基准的情况和程序</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业绩比较基准变更符合下列条件之一且对基金份额持有人利益无实质性不利影响的，基金管理人应当与基金托管人协商，在新业绩比较基准生效前三十日公告并充分说明变更原因、差异及影响，无需召开基金份额持有人大会：</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1）原有业绩比较基准的要素无法持续运作、编制方案发生重大修订等客观因素导致业绩比较基准无法再表征基金产品投资风格，或不再符合基金合同关于投资目标、投资范围、投资策略、投资比例限制等的约定，或与主要的资产类别、国别或地区、市场板块、货币类型等不再匹配；或业绩比较基准的要素不再具备市场代表性；</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（2）调整业绩比较基准的要素权重、更换相同或相近特征的要素等，使新业绩比较基准代表性更强，且符合相关法律法规规定的；</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（3）中国证监会认可的其他情形。</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业绩比较基准变更涉及以下情形的，基金管理人应当按照规定履行变更注册、召开基金份额持有人大会等程序，法律法规、中国证监会另有规定的除外：</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（1）基金投资目标、投资范围、投资策略、投资比例等拟进行重大调整，并变更业绩比较基准的；</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（2）其他对基金份额持有人利益产生重大实质性影响的情形。</w:t>
      </w:r>
    </w:p>
    <w:p>
      <w:pPr>
        <w:autoSpaceDE w:val="0"/>
        <w:autoSpaceDN w:val="0"/>
        <w:adjustRightInd w:val="0"/>
        <w:snapToGrid w:val="0"/>
        <w:spacing w:after="0" w:line="360" w:lineRule="auto"/>
        <w:ind w:firstLine="420" w:firstLineChars="200"/>
        <w:jc w:val="left"/>
        <w:rPr>
          <w:rFonts w:ascii="宋体" w:hAnsi="宋体"/>
          <w:szCs w:val="24"/>
        </w:rPr>
      </w:pPr>
      <w:r>
        <w:rPr>
          <w:rFonts w:ascii="宋体" w:hAnsi="宋体"/>
          <w:b/>
          <w:sz w:val="24"/>
        </w:rPr>
        <w:t>（六）风险收益特征</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本基金是一只混合型基金，其预期风险和预期收益理论上高于债券型基金和货币市场基金，低于股票型基金。</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本基金可投资港股通标的股票，会面临港股通机制下因投资环境、投资标的、市场制度以及交易规则等差异带来的特有风险。</w:t>
      </w:r>
    </w:p>
    <w:p>
      <w:pPr>
        <w:autoSpaceDE w:val="0"/>
        <w:autoSpaceDN w:val="0"/>
        <w:adjustRightInd w:val="0"/>
        <w:snapToGrid w:val="0"/>
        <w:spacing w:after="0" w:line="360" w:lineRule="auto"/>
        <w:ind w:firstLine="420" w:firstLineChars="200"/>
        <w:jc w:val="left"/>
        <w:rPr>
          <w:rFonts w:ascii="宋体" w:hAnsi="宋体"/>
          <w:szCs w:val="24"/>
        </w:rPr>
      </w:pPr>
      <w:r>
        <w:rPr>
          <w:rFonts w:ascii="宋体" w:hAnsi="宋体"/>
          <w:b/>
          <w:sz w:val="24"/>
        </w:rPr>
        <w:t>（七）基金管理人代表基金行使股东或债权人权利的处理原则及方法</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1、基金管理人按照国家有关规定代表基金独立行使股东或债权人权利，保护基金份额持有人的利益；</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2、不谋求对上市公司的控股；</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3、有利于基金财产的安全与增值；</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4、不通过关联交易为自身、雇员、授权代理人或任何存在利害关系的第三人牟取任何不当利益。</w:t>
      </w:r>
    </w:p>
    <w:p>
      <w:pPr>
        <w:autoSpaceDE w:val="0"/>
        <w:autoSpaceDN w:val="0"/>
        <w:adjustRightInd w:val="0"/>
        <w:snapToGrid w:val="0"/>
        <w:spacing w:after="0" w:line="360" w:lineRule="auto"/>
        <w:ind w:firstLine="420" w:firstLineChars="200"/>
        <w:jc w:val="left"/>
        <w:rPr>
          <w:rFonts w:ascii="宋体" w:hAnsi="宋体"/>
          <w:szCs w:val="24"/>
        </w:rPr>
      </w:pPr>
      <w:r>
        <w:rPr>
          <w:rFonts w:ascii="宋体" w:hAnsi="宋体"/>
          <w:b/>
          <w:sz w:val="24"/>
        </w:rPr>
        <w:t>（八）侧袋机制的实施和投资运作安排</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当基金持有特定资产且存在或潜在大额赎回申请时，根据最大限度保护基金份额持有人利益的原则，基金管理人经与基金托管人协商一致，并咨询会计师事务所意见后，可以依照法律法规及基金合同的约定启用侧袋机制。</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侧袋机制实施期间，本部分约定的投资组合比例、投资策略、组合限制、业绩比较基准、风险收益特征等约定仅适用于主袋账户。</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侧袋账户的实施条件、实施程序、运作安排、投资安排、特定资产的处置变现和支付等对投资者权益有重大影响的事项详见本招募说明书“侧袋机制”部分的规定。</w:t>
      </w:r>
    </w:p>
    <w:p>
      <w:pPr>
        <w:autoSpaceDE w:val="0"/>
        <w:autoSpaceDN w:val="0"/>
        <w:adjustRightInd w:val="0"/>
        <w:snapToGrid w:val="0"/>
        <w:spacing w:after="0" w:line="360" w:lineRule="auto"/>
        <w:ind w:firstLine="420" w:firstLineChars="200"/>
        <w:jc w:val="left"/>
        <w:rPr>
          <w:rFonts w:ascii="宋体" w:hAnsi="宋体"/>
          <w:szCs w:val="24"/>
        </w:rPr>
      </w:pPr>
      <w:r>
        <w:rPr>
          <w:rFonts w:ascii="宋体" w:hAnsi="宋体"/>
          <w:b/>
          <w:sz w:val="24"/>
        </w:rPr>
        <w:t>（九）基金投资组合报告</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基金管理人的董事会及董事保证本报告所载资料不存在虚假记载、误导性陈述或重大遗漏，并对其内容的真实性、准确性和完整性承担个别及连带责任。</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基金托管人招商银行股份有限公司根据本基金合同约定，于2026年07月17日复核了本报告中的财务指标、净值表现和投资组合报告等内容，保证复核内容不存在虚假记载、误导性陈述或者重大遗漏。</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本报告期自2026年04月01日起至2026年06月30日止。本报告中财务资料未经审计。</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1、报告期末基金资产组合情况</w:t>
      </w:r>
    </w:p>
    <w:tbl>
      <w:tblPr>
        <w:tblW w:w="5000" w:type="pct"/>
        <w:tblInd w:w="0" w:type="dxa"/>
        <w:tblLayout w:type="fixed"/>
        <w:tblCellMar>
          <w:top w:w="0" w:type="dxa"/>
          <w:left w:w="0" w:type="dxa"/>
          <w:bottom w:w="0" w:type="dxa"/>
          <w:right w:w="0" w:type="dxa"/>
        </w:tblCellMar>
        <w:tblLook w:val="0000"/>
      </w:tblPr>
      <w:tblGrid>
        <w:gridCol w:w="2167"/>
        <w:gridCol w:w="2167"/>
        <w:gridCol w:w="2168"/>
        <w:gridCol w:w="2168"/>
      </w:tblGrid>
      <w:tr>
        <w:tblPrEx>
          <w:tblW w:w="5000" w:type="pct"/>
          <w:tblInd w:w="0" w:type="dxa"/>
          <w:tblLayout w:type="fixed"/>
          <w:tblCellMar>
            <w:top w:w="0" w:type="dxa"/>
            <w:left w:w="0" w:type="dxa"/>
            <w:bottom w:w="0" w:type="dxa"/>
            <w:right w:w="0" w:type="dxa"/>
          </w:tblCellMar>
          <w:tblLook w:val="0000"/>
        </w:tblPrEx>
        <w:trPr>
          <w:cantSplit/>
          <w:trHeight w:val="375"/>
        </w:trPr>
        <w:tc>
          <w:tcPr>
            <w:tcW w:w="7" w:type="dxa"/>
            <w:tcBorders>
              <w:top w:val="single" w:sz="4" w:space="0" w:color="auto"/>
              <w:left w:val="single" w:sz="4" w:space="0" w:color="auto"/>
              <w:bottom w:val="single" w:sz="4" w:space="0" w:color="auto"/>
              <w:right w:val="single" w:sz="4" w:space="0" w:color="auto"/>
            </w:tcBorders>
            <w:vAlign w:val="center"/>
          </w:tcPr>
          <w:p>
            <w:pPr>
              <w:widowControl/>
              <w:snapToGrid w:val="0"/>
              <w:spacing w:after="0" w:line="240" w:lineRule="auto"/>
              <w:jc w:val="center"/>
              <w:rPr>
                <w:rFonts w:ascii="宋体" w:hAnsi="宋体"/>
                <w:color w:val="000000"/>
                <w:kern w:val="0"/>
                <w:sz w:val="24"/>
                <w:szCs w:val="24"/>
              </w:rPr>
            </w:pPr>
            <w:r>
              <w:rPr>
                <w:rFonts w:ascii="宋体" w:hAnsi="宋体"/>
                <w:color w:val="000000"/>
                <w:kern w:val="0"/>
                <w:sz w:val="24"/>
                <w:szCs w:val="24"/>
              </w:rPr>
              <w:t>序号</w:t>
            </w:r>
          </w:p>
        </w:tc>
        <w:tc>
          <w:tcPr>
            <w:tcW w:w="7" w:type="dxa"/>
            <w:tcBorders>
              <w:top w:val="single" w:sz="4" w:space="0" w:color="auto"/>
              <w:left w:val="single" w:sz="4" w:space="0" w:color="auto"/>
              <w:bottom w:val="single" w:sz="4" w:space="0" w:color="auto"/>
              <w:right w:val="single" w:sz="4" w:space="0" w:color="auto"/>
            </w:tcBorders>
            <w:vAlign w:val="center"/>
          </w:tcPr>
          <w:p>
            <w:pPr>
              <w:widowControl/>
              <w:snapToGrid w:val="0"/>
              <w:spacing w:after="0" w:line="240" w:lineRule="auto"/>
              <w:jc w:val="center"/>
              <w:rPr>
                <w:rFonts w:ascii="宋体" w:hAnsi="宋体"/>
                <w:color w:val="000000"/>
                <w:kern w:val="0"/>
                <w:sz w:val="24"/>
                <w:szCs w:val="24"/>
              </w:rPr>
            </w:pPr>
            <w:r>
              <w:rPr>
                <w:rFonts w:ascii="宋体" w:hAnsi="宋体"/>
                <w:color w:val="000000"/>
                <w:kern w:val="0"/>
                <w:sz w:val="24"/>
                <w:szCs w:val="24"/>
              </w:rPr>
              <w:t>项目</w:t>
            </w:r>
          </w:p>
        </w:tc>
        <w:tc>
          <w:tcPr>
            <w:tcW w:w="7" w:type="dxa"/>
            <w:tcBorders>
              <w:top w:val="single" w:sz="4" w:space="0" w:color="auto"/>
              <w:left w:val="single" w:sz="4" w:space="0" w:color="auto"/>
              <w:bottom w:val="single" w:sz="4" w:space="0" w:color="auto"/>
              <w:right w:val="single" w:sz="4" w:space="0" w:color="auto"/>
            </w:tcBorders>
            <w:vAlign w:val="center"/>
          </w:tcPr>
          <w:p>
            <w:pPr>
              <w:widowControl/>
              <w:snapToGrid w:val="0"/>
              <w:spacing w:after="0" w:line="240" w:lineRule="auto"/>
              <w:jc w:val="center"/>
              <w:rPr>
                <w:rFonts w:ascii="宋体" w:hAnsi="宋体"/>
                <w:color w:val="000000"/>
                <w:kern w:val="0"/>
                <w:sz w:val="24"/>
                <w:szCs w:val="24"/>
              </w:rPr>
            </w:pPr>
            <w:r>
              <w:rPr>
                <w:rFonts w:ascii="宋体" w:hAnsi="宋体"/>
                <w:color w:val="000000"/>
                <w:kern w:val="0"/>
                <w:sz w:val="24"/>
                <w:szCs w:val="24"/>
              </w:rPr>
              <w:t>金额（元）</w:t>
            </w:r>
          </w:p>
        </w:tc>
        <w:tc>
          <w:tcPr>
            <w:tcW w:w="7" w:type="dxa"/>
            <w:tcBorders>
              <w:top w:val="single" w:sz="4" w:space="0" w:color="auto"/>
              <w:left w:val="single" w:sz="4" w:space="0" w:color="auto"/>
              <w:bottom w:val="single" w:sz="4" w:space="0" w:color="auto"/>
              <w:right w:val="single" w:sz="4" w:space="0" w:color="auto"/>
            </w:tcBorders>
            <w:vAlign w:val="center"/>
          </w:tcPr>
          <w:p>
            <w:pPr>
              <w:widowControl/>
              <w:snapToGrid w:val="0"/>
              <w:spacing w:after="0" w:line="240" w:lineRule="auto"/>
              <w:jc w:val="center"/>
              <w:rPr>
                <w:rFonts w:ascii="宋体" w:hAnsi="宋体"/>
                <w:color w:val="000000"/>
                <w:kern w:val="0"/>
                <w:sz w:val="24"/>
                <w:szCs w:val="24"/>
              </w:rPr>
            </w:pPr>
            <w:r>
              <w:rPr>
                <w:rFonts w:ascii="宋体" w:hAnsi="宋体"/>
                <w:color w:val="000000"/>
                <w:kern w:val="0"/>
                <w:sz w:val="24"/>
                <w:szCs w:val="24"/>
              </w:rPr>
              <w:t>占基金总资产的比例（%）</w:t>
            </w:r>
          </w:p>
        </w:tc>
      </w:tr>
      <w:tr>
        <w:tblPrEx>
          <w:tblW w:w="5000" w:type="pct"/>
          <w:tblInd w:w="0" w:type="dxa"/>
          <w:tblLayout w:type="fixed"/>
          <w:tblCellMar>
            <w:top w:w="0" w:type="dxa"/>
            <w:left w:w="0" w:type="dxa"/>
            <w:bottom w:w="0" w:type="dxa"/>
            <w:right w:w="0" w:type="dxa"/>
          </w:tblCellMar>
          <w:tblLook w:val="0000"/>
        </w:tblPrEx>
        <w:trPr>
          <w:cantSplit/>
          <w:trHeight w:val="375"/>
        </w:trPr>
        <w:tc>
          <w:tcPr>
            <w:tcW w:w="7" w:type="dxa"/>
            <w:tcBorders>
              <w:top w:val="single" w:sz="4" w:space="0" w:color="auto"/>
              <w:left w:val="single" w:sz="4" w:space="0" w:color="auto"/>
              <w:bottom w:val="single" w:sz="4" w:space="0" w:color="auto"/>
              <w:right w:val="single" w:sz="4" w:space="0" w:color="auto"/>
            </w:tcBorders>
            <w:vAlign w:val="center"/>
          </w:tcPr>
          <w:p>
            <w:pPr>
              <w:widowControl/>
              <w:snapToGrid w:val="0"/>
              <w:spacing w:after="0" w:line="240" w:lineRule="auto"/>
              <w:jc w:val="center"/>
              <w:rPr>
                <w:rFonts w:ascii="宋体" w:hAnsi="宋体"/>
                <w:color w:val="000000"/>
                <w:kern w:val="0"/>
                <w:sz w:val="24"/>
                <w:szCs w:val="24"/>
              </w:rPr>
            </w:pPr>
            <w:r>
              <w:rPr>
                <w:rFonts w:ascii="宋体" w:hAnsi="宋体"/>
                <w:color w:val="000000"/>
                <w:kern w:val="0"/>
                <w:sz w:val="24"/>
                <w:szCs w:val="24"/>
              </w:rPr>
              <w:t>1</w:t>
            </w:r>
          </w:p>
        </w:tc>
        <w:tc>
          <w:tcPr>
            <w:tcW w:w="7" w:type="dxa"/>
            <w:vMerge w:val="restart"/>
            <w:tcBorders>
              <w:top w:val="single" w:sz="4" w:space="0" w:color="auto"/>
              <w:left w:val="single" w:sz="4" w:space="0" w:color="auto"/>
              <w:bottom w:val="single" w:sz="4" w:space="0" w:color="auto"/>
              <w:right w:val="single" w:sz="4" w:space="0" w:color="auto"/>
            </w:tcBorders>
            <w:vAlign w:val="center"/>
          </w:tcPr>
          <w:p>
            <w:pPr>
              <w:spacing w:after="0" w:line="240" w:lineRule="auto"/>
              <w:jc w:val="left"/>
            </w:pPr>
            <w:r>
              <w:rPr>
                <w:rFonts w:ascii="宋体" w:hAnsi="宋体"/>
                <w:color w:val="000000"/>
                <w:kern w:val="0"/>
                <w:sz w:val="25"/>
                <w:szCs w:val="24"/>
              </w:rPr>
              <w:t>权益投资</w:t>
            </w:r>
          </w:p>
        </w:tc>
        <w:tc>
          <w:tcPr>
            <w:tcW w:w="7" w:type="dxa"/>
            <w:tcBorders>
              <w:top w:val="single" w:sz="4" w:space="0" w:color="auto"/>
              <w:left w:val="single" w:sz="4" w:space="0" w:color="auto"/>
              <w:bottom w:val="single" w:sz="4" w:space="0" w:color="auto"/>
              <w:right w:val="single" w:sz="4" w:space="0" w:color="auto"/>
            </w:tcBorders>
            <w:vAlign w:val="center"/>
          </w:tcPr>
          <w:p>
            <w:pPr>
              <w:widowControl/>
              <w:snapToGrid w:val="0"/>
              <w:spacing w:after="0" w:line="240" w:lineRule="auto"/>
              <w:jc w:val="right"/>
              <w:rPr>
                <w:rFonts w:ascii="宋体" w:hAnsi="宋体"/>
                <w:color w:val="000000"/>
                <w:kern w:val="0"/>
                <w:sz w:val="24"/>
                <w:szCs w:val="24"/>
              </w:rPr>
            </w:pPr>
            <w:r>
              <w:rPr>
                <w:rFonts w:ascii="宋体" w:hAnsi="宋体"/>
                <w:color w:val="000000"/>
                <w:kern w:val="0"/>
                <w:sz w:val="24"/>
                <w:szCs w:val="24"/>
              </w:rPr>
              <w:t>46,598,430.45</w:t>
            </w:r>
          </w:p>
        </w:tc>
        <w:tc>
          <w:tcPr>
            <w:tcW w:w="7" w:type="dxa"/>
            <w:tcBorders>
              <w:top w:val="single" w:sz="4" w:space="0" w:color="auto"/>
              <w:left w:val="single" w:sz="4" w:space="0" w:color="auto"/>
              <w:bottom w:val="single" w:sz="4" w:space="0" w:color="auto"/>
              <w:right w:val="single" w:sz="4" w:space="0" w:color="auto"/>
            </w:tcBorders>
            <w:vAlign w:val="center"/>
          </w:tcPr>
          <w:p>
            <w:pPr>
              <w:widowControl/>
              <w:snapToGrid w:val="0"/>
              <w:spacing w:after="0" w:line="240" w:lineRule="auto"/>
              <w:jc w:val="right"/>
              <w:rPr>
                <w:rFonts w:ascii="宋体" w:hAnsi="宋体"/>
                <w:color w:val="000000"/>
                <w:kern w:val="0"/>
                <w:sz w:val="24"/>
                <w:szCs w:val="24"/>
              </w:rPr>
            </w:pPr>
            <w:r>
              <w:rPr>
                <w:rFonts w:ascii="宋体" w:hAnsi="宋体"/>
                <w:color w:val="000000"/>
                <w:kern w:val="0"/>
                <w:sz w:val="24"/>
                <w:szCs w:val="24"/>
              </w:rPr>
              <w:t>92.38</w:t>
            </w:r>
          </w:p>
        </w:tc>
      </w:tr>
      <w:tr>
        <w:tblPrEx>
          <w:tblW w:w="5000" w:type="pct"/>
          <w:tblInd w:w="0" w:type="dxa"/>
          <w:tblLayout w:type="fixed"/>
          <w:tblCellMar>
            <w:top w:w="0" w:type="dxa"/>
            <w:left w:w="0" w:type="dxa"/>
            <w:bottom w:w="0" w:type="dxa"/>
            <w:right w:w="0" w:type="dxa"/>
          </w:tblCellMar>
          <w:tblLook w:val="0000"/>
        </w:tblPrEx>
        <w:trPr>
          <w:cantSplit/>
          <w:trHeight w:val="375"/>
        </w:trPr>
        <w:tc>
          <w:tcPr>
            <w:tcW w:w="7" w:type="dxa"/>
            <w:tcBorders>
              <w:top w:val="single" w:sz="4" w:space="0" w:color="auto"/>
              <w:left w:val="single" w:sz="4" w:space="0" w:color="auto"/>
              <w:bottom w:val="single" w:sz="4" w:space="0" w:color="auto"/>
              <w:right w:val="single" w:sz="4" w:space="0" w:color="auto"/>
            </w:tcBorders>
            <w:vAlign w:val="center"/>
          </w:tcPr>
          <w:p>
            <w:pPr>
              <w:widowControl/>
              <w:snapToGrid w:val="0"/>
              <w:spacing w:after="0" w:line="240" w:lineRule="auto"/>
              <w:jc w:val="center"/>
              <w:rPr>
                <w:rFonts w:ascii="宋体" w:hAnsi="宋体"/>
                <w:color w:val="000000"/>
                <w:kern w:val="0"/>
                <w:sz w:val="24"/>
                <w:szCs w:val="24"/>
              </w:rPr>
            </w:pPr>
            <w:r>
              <w:rPr>
                <w:rFonts w:ascii="宋体" w:hAnsi="宋体"/>
                <w:color w:val="000000"/>
                <w:kern w:val="0"/>
                <w:sz w:val="24"/>
                <w:szCs w:val="24"/>
              </w:rPr>
              <w:t>　</w:t>
            </w:r>
          </w:p>
        </w:tc>
        <w:tc>
          <w:tcPr>
            <w:tcW w:w="7" w:type="dxa"/>
            <w:vMerge w:val="restart"/>
            <w:tcBorders>
              <w:top w:val="single" w:sz="4" w:space="0" w:color="auto"/>
              <w:left w:val="single" w:sz="4" w:space="0" w:color="auto"/>
              <w:bottom w:val="single" w:sz="4" w:space="0" w:color="auto"/>
              <w:right w:val="single" w:sz="4" w:space="0" w:color="auto"/>
            </w:tcBorders>
            <w:vAlign w:val="center"/>
          </w:tcPr>
          <w:p>
            <w:pPr>
              <w:spacing w:after="0" w:line="240" w:lineRule="auto"/>
              <w:jc w:val="left"/>
            </w:pPr>
            <w:r>
              <w:rPr>
                <w:rFonts w:ascii="宋体" w:hAnsi="宋体"/>
                <w:color w:val="000000"/>
                <w:kern w:val="0"/>
                <w:sz w:val="25"/>
                <w:szCs w:val="24"/>
              </w:rPr>
              <w:t>其中：股票</w:t>
            </w:r>
          </w:p>
        </w:tc>
        <w:tc>
          <w:tcPr>
            <w:tcW w:w="7" w:type="dxa"/>
            <w:tcBorders>
              <w:top w:val="single" w:sz="4" w:space="0" w:color="auto"/>
              <w:left w:val="single" w:sz="4" w:space="0" w:color="auto"/>
              <w:bottom w:val="single" w:sz="4" w:space="0" w:color="auto"/>
              <w:right w:val="single" w:sz="4" w:space="0" w:color="auto"/>
            </w:tcBorders>
            <w:vAlign w:val="center"/>
          </w:tcPr>
          <w:p>
            <w:pPr>
              <w:widowControl/>
              <w:snapToGrid w:val="0"/>
              <w:spacing w:after="0" w:line="240" w:lineRule="auto"/>
              <w:jc w:val="right"/>
              <w:rPr>
                <w:rFonts w:ascii="宋体" w:hAnsi="宋体"/>
                <w:color w:val="000000"/>
                <w:kern w:val="0"/>
                <w:sz w:val="24"/>
                <w:szCs w:val="24"/>
              </w:rPr>
            </w:pPr>
            <w:r>
              <w:rPr>
                <w:rFonts w:ascii="宋体" w:hAnsi="宋体"/>
                <w:color w:val="000000"/>
                <w:kern w:val="0"/>
                <w:sz w:val="24"/>
                <w:szCs w:val="24"/>
              </w:rPr>
              <w:t>46,598,430.45</w:t>
            </w:r>
          </w:p>
        </w:tc>
        <w:tc>
          <w:tcPr>
            <w:tcW w:w="7" w:type="dxa"/>
            <w:tcBorders>
              <w:top w:val="single" w:sz="4" w:space="0" w:color="auto"/>
              <w:left w:val="single" w:sz="4" w:space="0" w:color="auto"/>
              <w:bottom w:val="single" w:sz="4" w:space="0" w:color="auto"/>
              <w:right w:val="single" w:sz="4" w:space="0" w:color="auto"/>
            </w:tcBorders>
            <w:vAlign w:val="center"/>
          </w:tcPr>
          <w:p>
            <w:pPr>
              <w:widowControl/>
              <w:snapToGrid w:val="0"/>
              <w:spacing w:after="0" w:line="240" w:lineRule="auto"/>
              <w:jc w:val="right"/>
              <w:rPr>
                <w:rFonts w:ascii="宋体" w:hAnsi="宋体"/>
                <w:color w:val="000000"/>
                <w:kern w:val="0"/>
                <w:sz w:val="24"/>
                <w:szCs w:val="24"/>
              </w:rPr>
            </w:pPr>
            <w:r>
              <w:rPr>
                <w:rFonts w:ascii="宋体" w:hAnsi="宋体"/>
                <w:color w:val="000000"/>
                <w:kern w:val="0"/>
                <w:sz w:val="24"/>
                <w:szCs w:val="24"/>
              </w:rPr>
              <w:t>92.38</w:t>
            </w:r>
          </w:p>
        </w:tc>
      </w:tr>
      <w:tr>
        <w:tblPrEx>
          <w:tblW w:w="5000" w:type="pct"/>
          <w:tblInd w:w="0" w:type="dxa"/>
          <w:tblLayout w:type="fixed"/>
          <w:tblCellMar>
            <w:top w:w="0" w:type="dxa"/>
            <w:left w:w="0" w:type="dxa"/>
            <w:bottom w:w="0" w:type="dxa"/>
            <w:right w:w="0" w:type="dxa"/>
          </w:tblCellMar>
          <w:tblLook w:val="0000"/>
        </w:tblPrEx>
        <w:trPr>
          <w:cantSplit/>
          <w:trHeight w:val="375"/>
        </w:trPr>
        <w:tc>
          <w:tcPr>
            <w:tcW w:w="7" w:type="dxa"/>
            <w:tcBorders>
              <w:top w:val="single" w:sz="4" w:space="0" w:color="auto"/>
              <w:left w:val="single" w:sz="4" w:space="0" w:color="auto"/>
              <w:bottom w:val="single" w:sz="4" w:space="0" w:color="auto"/>
              <w:right w:val="single" w:sz="4" w:space="0" w:color="auto"/>
            </w:tcBorders>
            <w:vAlign w:val="center"/>
          </w:tcPr>
          <w:p>
            <w:pPr>
              <w:widowControl/>
              <w:snapToGrid w:val="0"/>
              <w:spacing w:after="0" w:line="240" w:lineRule="auto"/>
              <w:jc w:val="center"/>
              <w:rPr>
                <w:rFonts w:ascii="宋体" w:hAnsi="宋体"/>
                <w:color w:val="000000"/>
                <w:kern w:val="0"/>
                <w:sz w:val="24"/>
                <w:szCs w:val="24"/>
              </w:rPr>
            </w:pPr>
            <w:r>
              <w:rPr>
                <w:rFonts w:ascii="宋体" w:hAnsi="宋体"/>
                <w:color w:val="000000"/>
                <w:kern w:val="0"/>
                <w:sz w:val="24"/>
                <w:szCs w:val="24"/>
              </w:rPr>
              <w:t>2</w:t>
            </w:r>
          </w:p>
        </w:tc>
        <w:tc>
          <w:tcPr>
            <w:tcW w:w="7" w:type="dxa"/>
            <w:vMerge w:val="restart"/>
            <w:tcBorders>
              <w:top w:val="single" w:sz="4" w:space="0" w:color="auto"/>
              <w:left w:val="single" w:sz="4" w:space="0" w:color="auto"/>
              <w:bottom w:val="single" w:sz="4" w:space="0" w:color="auto"/>
              <w:right w:val="single" w:sz="4" w:space="0" w:color="auto"/>
            </w:tcBorders>
            <w:vAlign w:val="center"/>
          </w:tcPr>
          <w:p>
            <w:pPr>
              <w:spacing w:after="0" w:line="240" w:lineRule="auto"/>
              <w:jc w:val="left"/>
            </w:pPr>
            <w:r>
              <w:rPr>
                <w:rFonts w:ascii="宋体" w:hAnsi="宋体"/>
                <w:color w:val="000000"/>
                <w:kern w:val="0"/>
                <w:sz w:val="25"/>
                <w:szCs w:val="24"/>
              </w:rPr>
              <w:t>基金投资</w:t>
            </w:r>
          </w:p>
        </w:tc>
        <w:tc>
          <w:tcPr>
            <w:tcW w:w="7" w:type="dxa"/>
            <w:tcBorders>
              <w:top w:val="single" w:sz="4" w:space="0" w:color="auto"/>
              <w:left w:val="single" w:sz="4" w:space="0" w:color="auto"/>
              <w:bottom w:val="single" w:sz="4" w:space="0" w:color="auto"/>
              <w:right w:val="single" w:sz="4" w:space="0" w:color="auto"/>
            </w:tcBorders>
            <w:vAlign w:val="center"/>
          </w:tcPr>
          <w:p>
            <w:pPr>
              <w:widowControl/>
              <w:snapToGrid w:val="0"/>
              <w:spacing w:after="0" w:line="240" w:lineRule="auto"/>
              <w:jc w:val="right"/>
              <w:rPr>
                <w:rFonts w:ascii="宋体" w:hAnsi="宋体"/>
                <w:color w:val="000000"/>
                <w:kern w:val="0"/>
                <w:sz w:val="24"/>
                <w:szCs w:val="24"/>
              </w:rPr>
            </w:pPr>
            <w:r>
              <w:rPr>
                <w:rFonts w:ascii="宋体" w:hAnsi="宋体"/>
                <w:color w:val="000000"/>
                <w:kern w:val="0"/>
                <w:sz w:val="24"/>
                <w:szCs w:val="24"/>
              </w:rPr>
              <w:t>-</w:t>
            </w:r>
          </w:p>
        </w:tc>
        <w:tc>
          <w:tcPr>
            <w:tcW w:w="7" w:type="dxa"/>
            <w:tcBorders>
              <w:top w:val="single" w:sz="4" w:space="0" w:color="auto"/>
              <w:left w:val="single" w:sz="4" w:space="0" w:color="auto"/>
              <w:bottom w:val="single" w:sz="4" w:space="0" w:color="auto"/>
              <w:right w:val="single" w:sz="4" w:space="0" w:color="auto"/>
            </w:tcBorders>
            <w:vAlign w:val="center"/>
          </w:tcPr>
          <w:p>
            <w:pPr>
              <w:widowControl/>
              <w:snapToGrid w:val="0"/>
              <w:spacing w:after="0" w:line="240" w:lineRule="auto"/>
              <w:jc w:val="right"/>
              <w:rPr>
                <w:rFonts w:ascii="宋体" w:hAnsi="宋体"/>
                <w:color w:val="000000"/>
                <w:kern w:val="0"/>
                <w:sz w:val="24"/>
                <w:szCs w:val="24"/>
              </w:rPr>
            </w:pPr>
            <w:r>
              <w:rPr>
                <w:rFonts w:ascii="宋体" w:hAnsi="宋体"/>
                <w:color w:val="000000"/>
                <w:kern w:val="0"/>
                <w:sz w:val="24"/>
                <w:szCs w:val="24"/>
              </w:rPr>
              <w:t>-</w:t>
            </w:r>
          </w:p>
        </w:tc>
      </w:tr>
      <w:tr>
        <w:tblPrEx>
          <w:tblW w:w="5000" w:type="pct"/>
          <w:tblInd w:w="0" w:type="dxa"/>
          <w:tblLayout w:type="fixed"/>
          <w:tblCellMar>
            <w:top w:w="0" w:type="dxa"/>
            <w:left w:w="0" w:type="dxa"/>
            <w:bottom w:w="0" w:type="dxa"/>
            <w:right w:w="0" w:type="dxa"/>
          </w:tblCellMar>
          <w:tblLook w:val="0000"/>
        </w:tblPrEx>
        <w:trPr>
          <w:cantSplit/>
          <w:trHeight w:val="375"/>
        </w:trPr>
        <w:tc>
          <w:tcPr>
            <w:tcW w:w="7" w:type="dxa"/>
            <w:tcBorders>
              <w:top w:val="single" w:sz="4" w:space="0" w:color="auto"/>
              <w:left w:val="single" w:sz="4" w:space="0" w:color="auto"/>
              <w:bottom w:val="single" w:sz="4" w:space="0" w:color="auto"/>
              <w:right w:val="single" w:sz="4" w:space="0" w:color="auto"/>
            </w:tcBorders>
            <w:vAlign w:val="center"/>
          </w:tcPr>
          <w:p>
            <w:pPr>
              <w:widowControl/>
              <w:snapToGrid w:val="0"/>
              <w:spacing w:after="0" w:line="240" w:lineRule="auto"/>
              <w:jc w:val="center"/>
              <w:rPr>
                <w:rFonts w:ascii="宋体" w:hAnsi="宋体"/>
                <w:color w:val="000000"/>
                <w:kern w:val="0"/>
                <w:sz w:val="24"/>
                <w:szCs w:val="24"/>
              </w:rPr>
            </w:pPr>
            <w:r>
              <w:rPr>
                <w:rFonts w:ascii="宋体" w:hAnsi="宋体"/>
                <w:color w:val="000000"/>
                <w:kern w:val="0"/>
                <w:sz w:val="24"/>
                <w:szCs w:val="24"/>
              </w:rPr>
              <w:t>3</w:t>
            </w:r>
          </w:p>
        </w:tc>
        <w:tc>
          <w:tcPr>
            <w:tcW w:w="7" w:type="dxa"/>
            <w:vMerge w:val="restart"/>
            <w:tcBorders>
              <w:top w:val="single" w:sz="4" w:space="0" w:color="auto"/>
              <w:left w:val="single" w:sz="4" w:space="0" w:color="auto"/>
              <w:bottom w:val="single" w:sz="4" w:space="0" w:color="auto"/>
              <w:right w:val="single" w:sz="4" w:space="0" w:color="auto"/>
            </w:tcBorders>
            <w:vAlign w:val="center"/>
          </w:tcPr>
          <w:p>
            <w:pPr>
              <w:spacing w:after="0" w:line="240" w:lineRule="auto"/>
              <w:jc w:val="left"/>
            </w:pPr>
            <w:r>
              <w:rPr>
                <w:rFonts w:ascii="宋体" w:hAnsi="宋体"/>
                <w:color w:val="000000"/>
                <w:kern w:val="0"/>
                <w:sz w:val="25"/>
                <w:szCs w:val="24"/>
              </w:rPr>
              <w:t>固定收益投资</w:t>
            </w:r>
          </w:p>
        </w:tc>
        <w:tc>
          <w:tcPr>
            <w:tcW w:w="7" w:type="dxa"/>
            <w:tcBorders>
              <w:top w:val="single" w:sz="4" w:space="0" w:color="auto"/>
              <w:left w:val="single" w:sz="4" w:space="0" w:color="auto"/>
              <w:bottom w:val="single" w:sz="4" w:space="0" w:color="auto"/>
              <w:right w:val="single" w:sz="4" w:space="0" w:color="auto"/>
            </w:tcBorders>
            <w:vAlign w:val="center"/>
          </w:tcPr>
          <w:p>
            <w:pPr>
              <w:widowControl/>
              <w:snapToGrid w:val="0"/>
              <w:spacing w:after="0" w:line="240" w:lineRule="auto"/>
              <w:jc w:val="right"/>
              <w:rPr>
                <w:rFonts w:ascii="宋体" w:hAnsi="宋体"/>
                <w:color w:val="000000"/>
                <w:kern w:val="0"/>
                <w:sz w:val="24"/>
                <w:szCs w:val="24"/>
              </w:rPr>
            </w:pPr>
            <w:r>
              <w:rPr>
                <w:rFonts w:ascii="宋体" w:hAnsi="宋体"/>
                <w:color w:val="000000"/>
                <w:kern w:val="0"/>
                <w:sz w:val="24"/>
                <w:szCs w:val="24"/>
              </w:rPr>
              <w:t>1,565,687.66</w:t>
            </w:r>
          </w:p>
        </w:tc>
        <w:tc>
          <w:tcPr>
            <w:tcW w:w="7" w:type="dxa"/>
            <w:tcBorders>
              <w:top w:val="single" w:sz="4" w:space="0" w:color="auto"/>
              <w:left w:val="single" w:sz="4" w:space="0" w:color="auto"/>
              <w:bottom w:val="single" w:sz="4" w:space="0" w:color="auto"/>
              <w:right w:val="single" w:sz="4" w:space="0" w:color="auto"/>
            </w:tcBorders>
            <w:vAlign w:val="center"/>
          </w:tcPr>
          <w:p>
            <w:pPr>
              <w:widowControl/>
              <w:snapToGrid w:val="0"/>
              <w:spacing w:after="0" w:line="240" w:lineRule="auto"/>
              <w:jc w:val="right"/>
              <w:rPr>
                <w:rFonts w:ascii="宋体" w:hAnsi="宋体"/>
                <w:color w:val="000000"/>
                <w:kern w:val="0"/>
                <w:sz w:val="24"/>
                <w:szCs w:val="24"/>
              </w:rPr>
            </w:pPr>
            <w:r>
              <w:rPr>
                <w:rFonts w:ascii="宋体" w:hAnsi="宋体"/>
                <w:color w:val="000000"/>
                <w:kern w:val="0"/>
                <w:sz w:val="24"/>
                <w:szCs w:val="24"/>
              </w:rPr>
              <w:t>3.10</w:t>
            </w:r>
          </w:p>
        </w:tc>
      </w:tr>
      <w:tr>
        <w:tblPrEx>
          <w:tblW w:w="5000" w:type="pct"/>
          <w:tblInd w:w="0" w:type="dxa"/>
          <w:tblLayout w:type="fixed"/>
          <w:tblCellMar>
            <w:top w:w="0" w:type="dxa"/>
            <w:left w:w="0" w:type="dxa"/>
            <w:bottom w:w="0" w:type="dxa"/>
            <w:right w:w="0" w:type="dxa"/>
          </w:tblCellMar>
          <w:tblLook w:val="0000"/>
        </w:tblPrEx>
        <w:trPr>
          <w:cantSplit/>
          <w:trHeight w:val="375"/>
        </w:trPr>
        <w:tc>
          <w:tcPr>
            <w:tcW w:w="7" w:type="dxa"/>
            <w:tcBorders>
              <w:top w:val="single" w:sz="4" w:space="0" w:color="auto"/>
              <w:left w:val="single" w:sz="4" w:space="0" w:color="auto"/>
              <w:bottom w:val="single" w:sz="4" w:space="0" w:color="auto"/>
              <w:right w:val="single" w:sz="4" w:space="0" w:color="auto"/>
            </w:tcBorders>
            <w:vAlign w:val="center"/>
          </w:tcPr>
          <w:p>
            <w:pPr>
              <w:widowControl/>
              <w:snapToGrid w:val="0"/>
              <w:spacing w:after="0" w:line="240" w:lineRule="auto"/>
              <w:jc w:val="center"/>
              <w:rPr>
                <w:rFonts w:ascii="宋体" w:hAnsi="宋体"/>
                <w:color w:val="000000"/>
                <w:kern w:val="0"/>
                <w:sz w:val="24"/>
                <w:szCs w:val="24"/>
              </w:rPr>
            </w:pPr>
            <w:r>
              <w:rPr>
                <w:rFonts w:ascii="宋体" w:hAnsi="宋体"/>
                <w:color w:val="000000"/>
                <w:kern w:val="0"/>
                <w:sz w:val="24"/>
                <w:szCs w:val="24"/>
              </w:rPr>
              <w:t>　</w:t>
            </w:r>
          </w:p>
        </w:tc>
        <w:tc>
          <w:tcPr>
            <w:tcW w:w="7" w:type="dxa"/>
            <w:vMerge w:val="restart"/>
            <w:tcBorders>
              <w:top w:val="single" w:sz="4" w:space="0" w:color="auto"/>
              <w:left w:val="single" w:sz="4" w:space="0" w:color="auto"/>
              <w:bottom w:val="single" w:sz="4" w:space="0" w:color="auto"/>
              <w:right w:val="single" w:sz="4" w:space="0" w:color="auto"/>
            </w:tcBorders>
            <w:vAlign w:val="center"/>
          </w:tcPr>
          <w:p>
            <w:pPr>
              <w:spacing w:after="0" w:line="240" w:lineRule="auto"/>
              <w:jc w:val="left"/>
            </w:pPr>
            <w:r>
              <w:rPr>
                <w:rFonts w:ascii="宋体" w:hAnsi="宋体"/>
                <w:color w:val="000000"/>
                <w:kern w:val="0"/>
                <w:sz w:val="25"/>
                <w:szCs w:val="24"/>
              </w:rPr>
              <w:t>其中：债券</w:t>
            </w:r>
          </w:p>
        </w:tc>
        <w:tc>
          <w:tcPr>
            <w:tcW w:w="7" w:type="dxa"/>
            <w:tcBorders>
              <w:top w:val="single" w:sz="4" w:space="0" w:color="auto"/>
              <w:left w:val="single" w:sz="4" w:space="0" w:color="auto"/>
              <w:bottom w:val="single" w:sz="4" w:space="0" w:color="auto"/>
              <w:right w:val="single" w:sz="4" w:space="0" w:color="auto"/>
            </w:tcBorders>
            <w:vAlign w:val="center"/>
          </w:tcPr>
          <w:p>
            <w:pPr>
              <w:widowControl/>
              <w:snapToGrid w:val="0"/>
              <w:spacing w:after="0" w:line="240" w:lineRule="auto"/>
              <w:jc w:val="right"/>
              <w:rPr>
                <w:rFonts w:ascii="宋体" w:hAnsi="宋体"/>
                <w:color w:val="000000"/>
                <w:kern w:val="0"/>
                <w:sz w:val="24"/>
                <w:szCs w:val="24"/>
              </w:rPr>
            </w:pPr>
            <w:r>
              <w:rPr>
                <w:rFonts w:ascii="宋体" w:hAnsi="宋体"/>
                <w:color w:val="000000"/>
                <w:kern w:val="0"/>
                <w:sz w:val="24"/>
                <w:szCs w:val="24"/>
              </w:rPr>
              <w:t>1,565,687.66</w:t>
            </w:r>
          </w:p>
        </w:tc>
        <w:tc>
          <w:tcPr>
            <w:tcW w:w="7" w:type="dxa"/>
            <w:tcBorders>
              <w:top w:val="single" w:sz="4" w:space="0" w:color="auto"/>
              <w:left w:val="single" w:sz="4" w:space="0" w:color="auto"/>
              <w:bottom w:val="single" w:sz="4" w:space="0" w:color="auto"/>
              <w:right w:val="single" w:sz="4" w:space="0" w:color="auto"/>
            </w:tcBorders>
            <w:vAlign w:val="center"/>
          </w:tcPr>
          <w:p>
            <w:pPr>
              <w:widowControl/>
              <w:snapToGrid w:val="0"/>
              <w:spacing w:after="0" w:line="240" w:lineRule="auto"/>
              <w:jc w:val="right"/>
              <w:rPr>
                <w:rFonts w:ascii="宋体" w:hAnsi="宋体"/>
                <w:color w:val="000000"/>
                <w:kern w:val="0"/>
                <w:sz w:val="24"/>
                <w:szCs w:val="24"/>
              </w:rPr>
            </w:pPr>
            <w:r>
              <w:rPr>
                <w:rFonts w:ascii="宋体" w:hAnsi="宋体"/>
                <w:color w:val="000000"/>
                <w:kern w:val="0"/>
                <w:sz w:val="24"/>
                <w:szCs w:val="24"/>
              </w:rPr>
              <w:t>3.10</w:t>
            </w:r>
          </w:p>
        </w:tc>
      </w:tr>
      <w:tr>
        <w:tblPrEx>
          <w:tblW w:w="5000" w:type="pct"/>
          <w:tblInd w:w="0" w:type="dxa"/>
          <w:tblLayout w:type="fixed"/>
          <w:tblCellMar>
            <w:top w:w="0" w:type="dxa"/>
            <w:left w:w="0" w:type="dxa"/>
            <w:bottom w:w="0" w:type="dxa"/>
            <w:right w:w="0" w:type="dxa"/>
          </w:tblCellMar>
          <w:tblLook w:val="0000"/>
        </w:tblPrEx>
        <w:trPr>
          <w:cantSplit/>
          <w:trHeight w:val="375"/>
        </w:trPr>
        <w:tc>
          <w:tcPr>
            <w:tcW w:w="7" w:type="dxa"/>
            <w:tcBorders>
              <w:top w:val="single" w:sz="4" w:space="0" w:color="auto"/>
              <w:left w:val="single" w:sz="4" w:space="0" w:color="auto"/>
              <w:bottom w:val="single" w:sz="4" w:space="0" w:color="auto"/>
              <w:right w:val="single" w:sz="4" w:space="0" w:color="auto"/>
            </w:tcBorders>
            <w:vAlign w:val="center"/>
          </w:tcPr>
          <w:p>
            <w:pPr>
              <w:widowControl/>
              <w:snapToGrid w:val="0"/>
              <w:spacing w:after="0" w:line="240" w:lineRule="auto"/>
              <w:jc w:val="center"/>
              <w:rPr>
                <w:rFonts w:ascii="宋体" w:hAnsi="宋体"/>
                <w:color w:val="000000"/>
                <w:kern w:val="0"/>
                <w:sz w:val="24"/>
                <w:szCs w:val="24"/>
              </w:rPr>
            </w:pPr>
            <w:r>
              <w:rPr>
                <w:rFonts w:ascii="宋体" w:hAnsi="宋体"/>
                <w:color w:val="000000"/>
                <w:kern w:val="0"/>
                <w:sz w:val="24"/>
                <w:szCs w:val="24"/>
              </w:rPr>
              <w:t>　</w:t>
            </w:r>
          </w:p>
        </w:tc>
        <w:tc>
          <w:tcPr>
            <w:tcW w:w="7" w:type="dxa"/>
            <w:vMerge w:val="restart"/>
            <w:tcBorders>
              <w:top w:val="single" w:sz="4" w:space="0" w:color="auto"/>
              <w:left w:val="single" w:sz="4" w:space="0" w:color="auto"/>
              <w:bottom w:val="single" w:sz="4" w:space="0" w:color="auto"/>
              <w:right w:val="single" w:sz="4" w:space="0" w:color="auto"/>
            </w:tcBorders>
            <w:vAlign w:val="center"/>
          </w:tcPr>
          <w:p>
            <w:pPr>
              <w:spacing w:after="0" w:line="240" w:lineRule="auto"/>
              <w:jc w:val="left"/>
            </w:pPr>
            <w:r>
              <w:rPr>
                <w:rFonts w:ascii="宋体" w:hAnsi="宋体"/>
                <w:color w:val="000000"/>
                <w:kern w:val="0"/>
                <w:sz w:val="25"/>
                <w:szCs w:val="24"/>
              </w:rPr>
              <w:t>   资产支持证券</w:t>
            </w:r>
          </w:p>
        </w:tc>
        <w:tc>
          <w:tcPr>
            <w:tcW w:w="7" w:type="dxa"/>
            <w:tcBorders>
              <w:top w:val="single" w:sz="4" w:space="0" w:color="auto"/>
              <w:left w:val="single" w:sz="4" w:space="0" w:color="auto"/>
              <w:bottom w:val="single" w:sz="4" w:space="0" w:color="auto"/>
              <w:right w:val="single" w:sz="4" w:space="0" w:color="auto"/>
            </w:tcBorders>
            <w:vAlign w:val="center"/>
          </w:tcPr>
          <w:p>
            <w:pPr>
              <w:widowControl/>
              <w:snapToGrid w:val="0"/>
              <w:spacing w:after="0" w:line="240" w:lineRule="auto"/>
              <w:jc w:val="right"/>
              <w:rPr>
                <w:rFonts w:ascii="宋体" w:hAnsi="宋体"/>
                <w:color w:val="000000"/>
                <w:kern w:val="0"/>
                <w:sz w:val="24"/>
                <w:szCs w:val="24"/>
              </w:rPr>
            </w:pPr>
            <w:r>
              <w:rPr>
                <w:rFonts w:ascii="宋体" w:hAnsi="宋体"/>
                <w:color w:val="000000"/>
                <w:kern w:val="0"/>
                <w:sz w:val="24"/>
                <w:szCs w:val="24"/>
              </w:rPr>
              <w:t>-</w:t>
            </w:r>
          </w:p>
        </w:tc>
        <w:tc>
          <w:tcPr>
            <w:tcW w:w="7" w:type="dxa"/>
            <w:tcBorders>
              <w:top w:val="single" w:sz="4" w:space="0" w:color="auto"/>
              <w:left w:val="single" w:sz="4" w:space="0" w:color="auto"/>
              <w:bottom w:val="single" w:sz="4" w:space="0" w:color="auto"/>
              <w:right w:val="single" w:sz="4" w:space="0" w:color="auto"/>
            </w:tcBorders>
            <w:vAlign w:val="center"/>
          </w:tcPr>
          <w:p>
            <w:pPr>
              <w:widowControl/>
              <w:snapToGrid w:val="0"/>
              <w:spacing w:after="0" w:line="240" w:lineRule="auto"/>
              <w:jc w:val="right"/>
              <w:rPr>
                <w:rFonts w:ascii="宋体" w:hAnsi="宋体"/>
                <w:color w:val="000000"/>
                <w:kern w:val="0"/>
                <w:sz w:val="24"/>
                <w:szCs w:val="24"/>
              </w:rPr>
            </w:pPr>
            <w:r>
              <w:rPr>
                <w:rFonts w:ascii="宋体" w:hAnsi="宋体"/>
                <w:color w:val="000000"/>
                <w:kern w:val="0"/>
                <w:sz w:val="24"/>
                <w:szCs w:val="24"/>
              </w:rPr>
              <w:t>-</w:t>
            </w:r>
          </w:p>
        </w:tc>
      </w:tr>
      <w:tr>
        <w:tblPrEx>
          <w:tblW w:w="5000" w:type="pct"/>
          <w:tblInd w:w="0" w:type="dxa"/>
          <w:tblLayout w:type="fixed"/>
          <w:tblCellMar>
            <w:top w:w="0" w:type="dxa"/>
            <w:left w:w="0" w:type="dxa"/>
            <w:bottom w:w="0" w:type="dxa"/>
            <w:right w:w="0" w:type="dxa"/>
          </w:tblCellMar>
          <w:tblLook w:val="0000"/>
        </w:tblPrEx>
        <w:trPr>
          <w:cantSplit/>
          <w:trHeight w:val="375"/>
        </w:trPr>
        <w:tc>
          <w:tcPr>
            <w:tcW w:w="7" w:type="dxa"/>
            <w:tcBorders>
              <w:top w:val="single" w:sz="4" w:space="0" w:color="auto"/>
              <w:left w:val="single" w:sz="4" w:space="0" w:color="auto"/>
              <w:bottom w:val="single" w:sz="4" w:space="0" w:color="auto"/>
              <w:right w:val="single" w:sz="4" w:space="0" w:color="auto"/>
            </w:tcBorders>
            <w:vAlign w:val="center"/>
          </w:tcPr>
          <w:p>
            <w:pPr>
              <w:widowControl/>
              <w:snapToGrid w:val="0"/>
              <w:spacing w:after="0" w:line="240" w:lineRule="auto"/>
              <w:jc w:val="center"/>
              <w:rPr>
                <w:rFonts w:ascii="宋体" w:hAnsi="宋体"/>
                <w:color w:val="000000"/>
                <w:kern w:val="0"/>
                <w:sz w:val="24"/>
                <w:szCs w:val="24"/>
              </w:rPr>
            </w:pPr>
            <w:r>
              <w:rPr>
                <w:rFonts w:ascii="宋体" w:hAnsi="宋体"/>
                <w:color w:val="000000"/>
                <w:kern w:val="0"/>
                <w:sz w:val="24"/>
                <w:szCs w:val="24"/>
              </w:rPr>
              <w:t>4</w:t>
            </w:r>
          </w:p>
        </w:tc>
        <w:tc>
          <w:tcPr>
            <w:tcW w:w="7" w:type="dxa"/>
            <w:vMerge w:val="restart"/>
            <w:tcBorders>
              <w:top w:val="single" w:sz="4" w:space="0" w:color="auto"/>
              <w:left w:val="single" w:sz="4" w:space="0" w:color="auto"/>
              <w:bottom w:val="single" w:sz="4" w:space="0" w:color="auto"/>
              <w:right w:val="single" w:sz="4" w:space="0" w:color="auto"/>
            </w:tcBorders>
            <w:vAlign w:val="center"/>
          </w:tcPr>
          <w:p>
            <w:pPr>
              <w:spacing w:after="0" w:line="240" w:lineRule="auto"/>
              <w:jc w:val="left"/>
            </w:pPr>
            <w:r>
              <w:rPr>
                <w:rFonts w:ascii="宋体" w:hAnsi="宋体"/>
                <w:color w:val="000000"/>
                <w:kern w:val="0"/>
                <w:sz w:val="25"/>
                <w:szCs w:val="24"/>
              </w:rPr>
              <w:t>贵金属投资</w:t>
            </w:r>
          </w:p>
        </w:tc>
        <w:tc>
          <w:tcPr>
            <w:tcW w:w="7" w:type="dxa"/>
            <w:tcBorders>
              <w:top w:val="single" w:sz="4" w:space="0" w:color="auto"/>
              <w:left w:val="single" w:sz="4" w:space="0" w:color="auto"/>
              <w:bottom w:val="single" w:sz="4" w:space="0" w:color="auto"/>
              <w:right w:val="single" w:sz="4" w:space="0" w:color="auto"/>
            </w:tcBorders>
            <w:vAlign w:val="center"/>
          </w:tcPr>
          <w:p>
            <w:pPr>
              <w:widowControl/>
              <w:snapToGrid w:val="0"/>
              <w:spacing w:after="0" w:line="240" w:lineRule="auto"/>
              <w:jc w:val="right"/>
              <w:rPr>
                <w:rFonts w:ascii="宋体" w:hAnsi="宋体"/>
                <w:color w:val="000000"/>
                <w:kern w:val="0"/>
                <w:sz w:val="24"/>
                <w:szCs w:val="24"/>
              </w:rPr>
            </w:pPr>
            <w:r>
              <w:rPr>
                <w:rFonts w:ascii="宋体" w:hAnsi="宋体"/>
                <w:color w:val="000000"/>
                <w:kern w:val="0"/>
                <w:sz w:val="24"/>
                <w:szCs w:val="24"/>
              </w:rPr>
              <w:t>-</w:t>
            </w:r>
          </w:p>
        </w:tc>
        <w:tc>
          <w:tcPr>
            <w:tcW w:w="7" w:type="dxa"/>
            <w:tcBorders>
              <w:top w:val="single" w:sz="4" w:space="0" w:color="auto"/>
              <w:left w:val="single" w:sz="4" w:space="0" w:color="auto"/>
              <w:bottom w:val="single" w:sz="4" w:space="0" w:color="auto"/>
              <w:right w:val="single" w:sz="4" w:space="0" w:color="auto"/>
            </w:tcBorders>
            <w:vAlign w:val="center"/>
          </w:tcPr>
          <w:p>
            <w:pPr>
              <w:widowControl/>
              <w:snapToGrid w:val="0"/>
              <w:spacing w:after="0" w:line="240" w:lineRule="auto"/>
              <w:jc w:val="right"/>
              <w:rPr>
                <w:rFonts w:ascii="宋体" w:hAnsi="宋体"/>
                <w:color w:val="000000"/>
                <w:kern w:val="0"/>
                <w:sz w:val="24"/>
                <w:szCs w:val="24"/>
              </w:rPr>
            </w:pPr>
            <w:r>
              <w:rPr>
                <w:rFonts w:ascii="宋体" w:hAnsi="宋体"/>
                <w:color w:val="000000"/>
                <w:kern w:val="0"/>
                <w:sz w:val="24"/>
                <w:szCs w:val="24"/>
              </w:rPr>
              <w:t>-</w:t>
            </w:r>
          </w:p>
        </w:tc>
      </w:tr>
      <w:tr>
        <w:tblPrEx>
          <w:tblW w:w="5000" w:type="pct"/>
          <w:tblInd w:w="0" w:type="dxa"/>
          <w:tblLayout w:type="fixed"/>
          <w:tblCellMar>
            <w:top w:w="0" w:type="dxa"/>
            <w:left w:w="0" w:type="dxa"/>
            <w:bottom w:w="0" w:type="dxa"/>
            <w:right w:w="0" w:type="dxa"/>
          </w:tblCellMar>
          <w:tblLook w:val="0000"/>
        </w:tblPrEx>
        <w:trPr>
          <w:cantSplit/>
          <w:trHeight w:val="375"/>
        </w:trPr>
        <w:tc>
          <w:tcPr>
            <w:tcW w:w="7" w:type="dxa"/>
            <w:tcBorders>
              <w:top w:val="single" w:sz="4" w:space="0" w:color="auto"/>
              <w:left w:val="single" w:sz="4" w:space="0" w:color="auto"/>
              <w:bottom w:val="single" w:sz="4" w:space="0" w:color="auto"/>
              <w:right w:val="single" w:sz="4" w:space="0" w:color="auto"/>
            </w:tcBorders>
            <w:vAlign w:val="center"/>
          </w:tcPr>
          <w:p>
            <w:pPr>
              <w:widowControl/>
              <w:snapToGrid w:val="0"/>
              <w:spacing w:after="0" w:line="240" w:lineRule="auto"/>
              <w:jc w:val="center"/>
              <w:rPr>
                <w:rFonts w:ascii="宋体" w:hAnsi="宋体"/>
                <w:color w:val="000000"/>
                <w:kern w:val="0"/>
                <w:sz w:val="24"/>
                <w:szCs w:val="24"/>
              </w:rPr>
            </w:pPr>
            <w:r>
              <w:rPr>
                <w:rFonts w:ascii="宋体" w:hAnsi="宋体"/>
                <w:color w:val="000000"/>
                <w:kern w:val="0"/>
                <w:sz w:val="24"/>
                <w:szCs w:val="24"/>
              </w:rPr>
              <w:t>5</w:t>
            </w:r>
          </w:p>
        </w:tc>
        <w:tc>
          <w:tcPr>
            <w:tcW w:w="7" w:type="dxa"/>
            <w:vMerge w:val="restart"/>
            <w:tcBorders>
              <w:top w:val="single" w:sz="4" w:space="0" w:color="auto"/>
              <w:left w:val="single" w:sz="4" w:space="0" w:color="auto"/>
              <w:bottom w:val="single" w:sz="4" w:space="0" w:color="auto"/>
              <w:right w:val="single" w:sz="4" w:space="0" w:color="auto"/>
            </w:tcBorders>
            <w:vAlign w:val="center"/>
          </w:tcPr>
          <w:p>
            <w:pPr>
              <w:spacing w:after="0" w:line="240" w:lineRule="auto"/>
              <w:jc w:val="left"/>
            </w:pPr>
            <w:r>
              <w:rPr>
                <w:rFonts w:ascii="宋体" w:hAnsi="宋体"/>
                <w:color w:val="000000"/>
                <w:kern w:val="0"/>
                <w:sz w:val="25"/>
                <w:szCs w:val="24"/>
              </w:rPr>
              <w:t>金融衍生品投资</w:t>
            </w:r>
          </w:p>
        </w:tc>
        <w:tc>
          <w:tcPr>
            <w:tcW w:w="7" w:type="dxa"/>
            <w:tcBorders>
              <w:top w:val="single" w:sz="4" w:space="0" w:color="auto"/>
              <w:left w:val="single" w:sz="4" w:space="0" w:color="auto"/>
              <w:bottom w:val="single" w:sz="4" w:space="0" w:color="auto"/>
              <w:right w:val="single" w:sz="4" w:space="0" w:color="auto"/>
            </w:tcBorders>
            <w:vAlign w:val="center"/>
          </w:tcPr>
          <w:p>
            <w:pPr>
              <w:widowControl/>
              <w:snapToGrid w:val="0"/>
              <w:spacing w:after="0" w:line="240" w:lineRule="auto"/>
              <w:jc w:val="right"/>
              <w:rPr>
                <w:rFonts w:ascii="宋体" w:hAnsi="宋体"/>
                <w:color w:val="000000"/>
                <w:kern w:val="0"/>
                <w:sz w:val="24"/>
                <w:szCs w:val="24"/>
              </w:rPr>
            </w:pPr>
            <w:r>
              <w:rPr>
                <w:rFonts w:ascii="宋体" w:hAnsi="宋体"/>
                <w:color w:val="000000"/>
                <w:kern w:val="0"/>
                <w:sz w:val="24"/>
                <w:szCs w:val="24"/>
              </w:rPr>
              <w:t>-</w:t>
            </w:r>
          </w:p>
        </w:tc>
        <w:tc>
          <w:tcPr>
            <w:tcW w:w="7" w:type="dxa"/>
            <w:tcBorders>
              <w:top w:val="single" w:sz="4" w:space="0" w:color="auto"/>
              <w:left w:val="single" w:sz="4" w:space="0" w:color="auto"/>
              <w:bottom w:val="single" w:sz="4" w:space="0" w:color="auto"/>
              <w:right w:val="single" w:sz="4" w:space="0" w:color="auto"/>
            </w:tcBorders>
            <w:vAlign w:val="center"/>
          </w:tcPr>
          <w:p>
            <w:pPr>
              <w:widowControl/>
              <w:snapToGrid w:val="0"/>
              <w:spacing w:after="0" w:line="240" w:lineRule="auto"/>
              <w:jc w:val="right"/>
              <w:rPr>
                <w:rFonts w:ascii="宋体" w:hAnsi="宋体"/>
                <w:color w:val="000000"/>
                <w:kern w:val="0"/>
                <w:sz w:val="24"/>
                <w:szCs w:val="24"/>
              </w:rPr>
            </w:pPr>
            <w:r>
              <w:rPr>
                <w:rFonts w:ascii="宋体" w:hAnsi="宋体"/>
                <w:color w:val="000000"/>
                <w:kern w:val="0"/>
                <w:sz w:val="24"/>
                <w:szCs w:val="24"/>
              </w:rPr>
              <w:t>-</w:t>
            </w:r>
          </w:p>
        </w:tc>
      </w:tr>
      <w:tr>
        <w:tblPrEx>
          <w:tblW w:w="5000" w:type="pct"/>
          <w:tblInd w:w="0" w:type="dxa"/>
          <w:tblLayout w:type="fixed"/>
          <w:tblCellMar>
            <w:top w:w="0" w:type="dxa"/>
            <w:left w:w="0" w:type="dxa"/>
            <w:bottom w:w="0" w:type="dxa"/>
            <w:right w:w="0" w:type="dxa"/>
          </w:tblCellMar>
          <w:tblLook w:val="0000"/>
        </w:tblPrEx>
        <w:trPr>
          <w:cantSplit/>
          <w:trHeight w:val="375"/>
        </w:trPr>
        <w:tc>
          <w:tcPr>
            <w:tcW w:w="7" w:type="dxa"/>
            <w:tcBorders>
              <w:top w:val="single" w:sz="4" w:space="0" w:color="auto"/>
              <w:left w:val="single" w:sz="4" w:space="0" w:color="auto"/>
              <w:bottom w:val="single" w:sz="4" w:space="0" w:color="auto"/>
              <w:right w:val="single" w:sz="4" w:space="0" w:color="auto"/>
            </w:tcBorders>
            <w:vAlign w:val="center"/>
          </w:tcPr>
          <w:p>
            <w:pPr>
              <w:widowControl/>
              <w:snapToGrid w:val="0"/>
              <w:spacing w:after="0" w:line="240" w:lineRule="auto"/>
              <w:jc w:val="center"/>
              <w:rPr>
                <w:rFonts w:ascii="宋体" w:hAnsi="宋体"/>
                <w:color w:val="000000"/>
                <w:kern w:val="0"/>
                <w:sz w:val="24"/>
                <w:szCs w:val="24"/>
              </w:rPr>
            </w:pPr>
            <w:r>
              <w:rPr>
                <w:rFonts w:ascii="宋体" w:hAnsi="宋体"/>
                <w:color w:val="000000"/>
                <w:kern w:val="0"/>
                <w:sz w:val="24"/>
                <w:szCs w:val="24"/>
              </w:rPr>
              <w:t>6</w:t>
            </w:r>
          </w:p>
        </w:tc>
        <w:tc>
          <w:tcPr>
            <w:tcW w:w="7" w:type="dxa"/>
            <w:tcBorders>
              <w:top w:val="single" w:sz="4" w:space="0" w:color="auto"/>
              <w:left w:val="single" w:sz="4" w:space="0" w:color="auto"/>
              <w:bottom w:val="single" w:sz="4" w:space="0" w:color="auto"/>
              <w:right w:val="single" w:sz="4" w:space="0" w:color="auto"/>
            </w:tcBorders>
            <w:vAlign w:val="center"/>
          </w:tcPr>
          <w:p>
            <w:pPr>
              <w:spacing w:after="0" w:line="240" w:lineRule="auto"/>
              <w:jc w:val="left"/>
            </w:pPr>
            <w:r>
              <w:rPr>
                <w:rFonts w:ascii="宋体" w:hAnsi="宋体"/>
                <w:color w:val="000000"/>
                <w:kern w:val="0"/>
                <w:sz w:val="25"/>
                <w:szCs w:val="24"/>
              </w:rPr>
              <w:t>买入返售金融资产</w:t>
            </w:r>
          </w:p>
        </w:tc>
        <w:tc>
          <w:tcPr>
            <w:tcW w:w="7" w:type="dxa"/>
            <w:tcBorders>
              <w:top w:val="single" w:sz="4" w:space="0" w:color="auto"/>
              <w:left w:val="single" w:sz="4" w:space="0" w:color="auto"/>
              <w:bottom w:val="single" w:sz="4" w:space="0" w:color="auto"/>
              <w:right w:val="single" w:sz="4" w:space="0" w:color="auto"/>
            </w:tcBorders>
            <w:vAlign w:val="center"/>
          </w:tcPr>
          <w:p>
            <w:pPr>
              <w:widowControl/>
              <w:snapToGrid w:val="0"/>
              <w:spacing w:after="0" w:line="240" w:lineRule="auto"/>
              <w:jc w:val="right"/>
              <w:rPr>
                <w:rFonts w:ascii="宋体" w:hAnsi="宋体"/>
                <w:color w:val="000000"/>
                <w:kern w:val="0"/>
                <w:sz w:val="24"/>
                <w:szCs w:val="24"/>
              </w:rPr>
            </w:pPr>
            <w:r>
              <w:rPr>
                <w:rFonts w:ascii="宋体" w:hAnsi="宋体"/>
                <w:color w:val="000000"/>
                <w:kern w:val="0"/>
                <w:sz w:val="24"/>
                <w:szCs w:val="24"/>
              </w:rPr>
              <w:t>-</w:t>
            </w:r>
          </w:p>
        </w:tc>
        <w:tc>
          <w:tcPr>
            <w:tcW w:w="7" w:type="dxa"/>
            <w:tcBorders>
              <w:top w:val="single" w:sz="4" w:space="0" w:color="auto"/>
              <w:left w:val="single" w:sz="4" w:space="0" w:color="auto"/>
              <w:bottom w:val="single" w:sz="4" w:space="0" w:color="auto"/>
              <w:right w:val="single" w:sz="4" w:space="0" w:color="auto"/>
            </w:tcBorders>
            <w:vAlign w:val="center"/>
          </w:tcPr>
          <w:p>
            <w:pPr>
              <w:widowControl/>
              <w:snapToGrid w:val="0"/>
              <w:spacing w:after="0" w:line="240" w:lineRule="auto"/>
              <w:jc w:val="right"/>
              <w:rPr>
                <w:rFonts w:ascii="宋体" w:hAnsi="宋体"/>
                <w:color w:val="000000"/>
                <w:kern w:val="0"/>
                <w:sz w:val="24"/>
                <w:szCs w:val="24"/>
              </w:rPr>
            </w:pPr>
            <w:r>
              <w:rPr>
                <w:rFonts w:ascii="宋体" w:hAnsi="宋体"/>
                <w:color w:val="000000"/>
                <w:kern w:val="0"/>
                <w:sz w:val="24"/>
                <w:szCs w:val="24"/>
              </w:rPr>
              <w:t>-</w:t>
            </w:r>
          </w:p>
        </w:tc>
      </w:tr>
      <w:tr>
        <w:tblPrEx>
          <w:tblW w:w="5000" w:type="pct"/>
          <w:tblInd w:w="0" w:type="dxa"/>
          <w:tblLayout w:type="fixed"/>
          <w:tblCellMar>
            <w:top w:w="0" w:type="dxa"/>
            <w:left w:w="0" w:type="dxa"/>
            <w:bottom w:w="0" w:type="dxa"/>
            <w:right w:w="0" w:type="dxa"/>
          </w:tblCellMar>
          <w:tblLook w:val="0000"/>
        </w:tblPrEx>
        <w:trPr>
          <w:cantSplit/>
          <w:trHeight w:val="375"/>
        </w:trPr>
        <w:tc>
          <w:tcPr>
            <w:tcW w:w="7" w:type="dxa"/>
            <w:tcBorders>
              <w:top w:val="single" w:sz="4" w:space="0" w:color="auto"/>
              <w:left w:val="single" w:sz="4" w:space="0" w:color="auto"/>
              <w:bottom w:val="single" w:sz="4" w:space="0" w:color="auto"/>
              <w:right w:val="single" w:sz="4" w:space="0" w:color="auto"/>
            </w:tcBorders>
            <w:vAlign w:val="center"/>
          </w:tcPr>
          <w:p>
            <w:pPr>
              <w:widowControl/>
              <w:snapToGrid w:val="0"/>
              <w:spacing w:after="0" w:line="240" w:lineRule="auto"/>
              <w:jc w:val="center"/>
              <w:rPr>
                <w:rFonts w:ascii="宋体" w:hAnsi="宋体"/>
                <w:color w:val="000000"/>
                <w:kern w:val="0"/>
                <w:sz w:val="24"/>
                <w:szCs w:val="24"/>
              </w:rPr>
            </w:pPr>
            <w:r>
              <w:rPr>
                <w:rFonts w:ascii="宋体" w:hAnsi="宋体"/>
                <w:color w:val="000000"/>
                <w:kern w:val="0"/>
                <w:sz w:val="24"/>
                <w:szCs w:val="24"/>
              </w:rPr>
              <w:t>　</w:t>
            </w:r>
          </w:p>
        </w:tc>
        <w:tc>
          <w:tcPr>
            <w:tcW w:w="7" w:type="dxa"/>
            <w:tcBorders>
              <w:top w:val="single" w:sz="4" w:space="0" w:color="auto"/>
              <w:left w:val="single" w:sz="4" w:space="0" w:color="auto"/>
              <w:bottom w:val="single" w:sz="4" w:space="0" w:color="auto"/>
              <w:right w:val="single" w:sz="4" w:space="0" w:color="auto"/>
            </w:tcBorders>
            <w:vAlign w:val="center"/>
          </w:tcPr>
          <w:p>
            <w:pPr>
              <w:spacing w:after="0" w:line="240" w:lineRule="auto"/>
              <w:jc w:val="left"/>
            </w:pPr>
            <w:r>
              <w:rPr>
                <w:rFonts w:ascii="宋体" w:hAnsi="宋体"/>
                <w:color w:val="000000"/>
                <w:kern w:val="0"/>
                <w:sz w:val="25"/>
                <w:szCs w:val="24"/>
              </w:rPr>
              <w:t>其中：买断式回购的买入返售金融资产</w:t>
            </w:r>
          </w:p>
        </w:tc>
        <w:tc>
          <w:tcPr>
            <w:tcW w:w="7" w:type="dxa"/>
            <w:tcBorders>
              <w:top w:val="single" w:sz="4" w:space="0" w:color="auto"/>
              <w:left w:val="single" w:sz="4" w:space="0" w:color="auto"/>
              <w:bottom w:val="single" w:sz="4" w:space="0" w:color="auto"/>
              <w:right w:val="single" w:sz="4" w:space="0" w:color="auto"/>
            </w:tcBorders>
            <w:vAlign w:val="center"/>
          </w:tcPr>
          <w:p>
            <w:pPr>
              <w:widowControl/>
              <w:snapToGrid w:val="0"/>
              <w:spacing w:after="0" w:line="240" w:lineRule="auto"/>
              <w:jc w:val="right"/>
              <w:rPr>
                <w:rFonts w:ascii="宋体" w:hAnsi="宋体"/>
                <w:color w:val="000000"/>
                <w:kern w:val="0"/>
                <w:sz w:val="24"/>
                <w:szCs w:val="24"/>
              </w:rPr>
            </w:pPr>
            <w:r>
              <w:rPr>
                <w:rFonts w:ascii="宋体" w:hAnsi="宋体"/>
                <w:color w:val="000000"/>
                <w:kern w:val="0"/>
                <w:sz w:val="24"/>
                <w:szCs w:val="24"/>
              </w:rPr>
              <w:t>-</w:t>
            </w:r>
          </w:p>
        </w:tc>
        <w:tc>
          <w:tcPr>
            <w:tcW w:w="7" w:type="dxa"/>
            <w:tcBorders>
              <w:top w:val="single" w:sz="4" w:space="0" w:color="auto"/>
              <w:left w:val="single" w:sz="4" w:space="0" w:color="auto"/>
              <w:bottom w:val="single" w:sz="4" w:space="0" w:color="auto"/>
              <w:right w:val="single" w:sz="4" w:space="0" w:color="auto"/>
            </w:tcBorders>
            <w:vAlign w:val="center"/>
          </w:tcPr>
          <w:p>
            <w:pPr>
              <w:widowControl/>
              <w:snapToGrid w:val="0"/>
              <w:spacing w:after="0" w:line="240" w:lineRule="auto"/>
              <w:jc w:val="right"/>
              <w:rPr>
                <w:rFonts w:ascii="宋体" w:hAnsi="宋体"/>
                <w:color w:val="000000"/>
                <w:kern w:val="0"/>
                <w:sz w:val="24"/>
                <w:szCs w:val="24"/>
              </w:rPr>
            </w:pPr>
            <w:r>
              <w:rPr>
                <w:rFonts w:ascii="宋体" w:hAnsi="宋体"/>
                <w:color w:val="000000"/>
                <w:kern w:val="0"/>
                <w:sz w:val="24"/>
                <w:szCs w:val="24"/>
              </w:rPr>
              <w:t>-</w:t>
            </w:r>
          </w:p>
        </w:tc>
      </w:tr>
      <w:tr>
        <w:tblPrEx>
          <w:tblW w:w="5000" w:type="pct"/>
          <w:tblInd w:w="0" w:type="dxa"/>
          <w:tblLayout w:type="fixed"/>
          <w:tblCellMar>
            <w:top w:w="0" w:type="dxa"/>
            <w:left w:w="0" w:type="dxa"/>
            <w:bottom w:w="0" w:type="dxa"/>
            <w:right w:w="0" w:type="dxa"/>
          </w:tblCellMar>
          <w:tblLook w:val="0000"/>
        </w:tblPrEx>
        <w:trPr>
          <w:cantSplit/>
          <w:trHeight w:val="375"/>
        </w:trPr>
        <w:tc>
          <w:tcPr>
            <w:tcW w:w="7" w:type="dxa"/>
            <w:tcBorders>
              <w:top w:val="single" w:sz="4" w:space="0" w:color="auto"/>
              <w:left w:val="single" w:sz="4" w:space="0" w:color="auto"/>
              <w:bottom w:val="single" w:sz="4" w:space="0" w:color="auto"/>
              <w:right w:val="single" w:sz="4" w:space="0" w:color="auto"/>
            </w:tcBorders>
            <w:vAlign w:val="center"/>
          </w:tcPr>
          <w:p>
            <w:pPr>
              <w:widowControl/>
              <w:snapToGrid w:val="0"/>
              <w:spacing w:after="0" w:line="240" w:lineRule="auto"/>
              <w:jc w:val="center"/>
              <w:rPr>
                <w:rFonts w:ascii="宋体" w:hAnsi="宋体"/>
                <w:color w:val="000000"/>
                <w:kern w:val="0"/>
                <w:sz w:val="24"/>
                <w:szCs w:val="24"/>
              </w:rPr>
            </w:pPr>
            <w:r>
              <w:rPr>
                <w:rFonts w:ascii="宋体" w:hAnsi="宋体"/>
                <w:color w:val="000000"/>
                <w:kern w:val="0"/>
                <w:sz w:val="24"/>
                <w:szCs w:val="24"/>
              </w:rPr>
              <w:t>7</w:t>
            </w:r>
          </w:p>
        </w:tc>
        <w:tc>
          <w:tcPr>
            <w:tcW w:w="7" w:type="dxa"/>
            <w:tcBorders>
              <w:top w:val="single" w:sz="4" w:space="0" w:color="auto"/>
              <w:left w:val="single" w:sz="4" w:space="0" w:color="auto"/>
              <w:bottom w:val="single" w:sz="4" w:space="0" w:color="auto"/>
              <w:right w:val="single" w:sz="4" w:space="0" w:color="auto"/>
            </w:tcBorders>
            <w:vAlign w:val="center"/>
          </w:tcPr>
          <w:p>
            <w:pPr>
              <w:spacing w:after="0" w:line="240" w:lineRule="auto"/>
              <w:jc w:val="left"/>
            </w:pPr>
            <w:r>
              <w:rPr>
                <w:rFonts w:ascii="宋体" w:hAnsi="宋体"/>
                <w:color w:val="000000"/>
                <w:kern w:val="0"/>
                <w:sz w:val="25"/>
                <w:szCs w:val="24"/>
              </w:rPr>
              <w:t>银行存款和结算备付金合计</w:t>
            </w:r>
          </w:p>
        </w:tc>
        <w:tc>
          <w:tcPr>
            <w:tcW w:w="7" w:type="dxa"/>
            <w:tcBorders>
              <w:top w:val="single" w:sz="4" w:space="0" w:color="auto"/>
              <w:left w:val="single" w:sz="4" w:space="0" w:color="auto"/>
              <w:bottom w:val="single" w:sz="4" w:space="0" w:color="auto"/>
              <w:right w:val="single" w:sz="4" w:space="0" w:color="auto"/>
            </w:tcBorders>
            <w:vAlign w:val="center"/>
          </w:tcPr>
          <w:p>
            <w:pPr>
              <w:widowControl/>
              <w:snapToGrid w:val="0"/>
              <w:spacing w:after="0" w:line="240" w:lineRule="auto"/>
              <w:jc w:val="right"/>
              <w:rPr>
                <w:rFonts w:ascii="宋体" w:hAnsi="宋体"/>
                <w:color w:val="000000"/>
                <w:kern w:val="0"/>
                <w:sz w:val="24"/>
                <w:szCs w:val="24"/>
              </w:rPr>
            </w:pPr>
            <w:r>
              <w:rPr>
                <w:rFonts w:ascii="宋体" w:hAnsi="宋体"/>
                <w:color w:val="000000"/>
                <w:kern w:val="0"/>
                <w:sz w:val="24"/>
                <w:szCs w:val="24"/>
              </w:rPr>
              <w:t>2,159,974.04</w:t>
            </w:r>
          </w:p>
        </w:tc>
        <w:tc>
          <w:tcPr>
            <w:tcW w:w="7" w:type="dxa"/>
            <w:tcBorders>
              <w:top w:val="single" w:sz="4" w:space="0" w:color="auto"/>
              <w:left w:val="single" w:sz="4" w:space="0" w:color="auto"/>
              <w:bottom w:val="single" w:sz="4" w:space="0" w:color="auto"/>
              <w:right w:val="single" w:sz="4" w:space="0" w:color="auto"/>
            </w:tcBorders>
            <w:vAlign w:val="center"/>
          </w:tcPr>
          <w:p>
            <w:pPr>
              <w:widowControl/>
              <w:snapToGrid w:val="0"/>
              <w:spacing w:after="0" w:line="240" w:lineRule="auto"/>
              <w:jc w:val="right"/>
              <w:rPr>
                <w:rFonts w:ascii="宋体" w:hAnsi="宋体"/>
                <w:color w:val="000000"/>
                <w:kern w:val="0"/>
                <w:sz w:val="24"/>
                <w:szCs w:val="24"/>
              </w:rPr>
            </w:pPr>
            <w:r>
              <w:rPr>
                <w:rFonts w:ascii="宋体" w:hAnsi="宋体"/>
                <w:color w:val="000000"/>
                <w:kern w:val="0"/>
                <w:sz w:val="24"/>
                <w:szCs w:val="24"/>
              </w:rPr>
              <w:t>4.28</w:t>
            </w:r>
          </w:p>
        </w:tc>
      </w:tr>
      <w:tr>
        <w:tblPrEx>
          <w:tblW w:w="5000" w:type="pct"/>
          <w:tblInd w:w="0" w:type="dxa"/>
          <w:tblLayout w:type="fixed"/>
          <w:tblCellMar>
            <w:top w:w="0" w:type="dxa"/>
            <w:left w:w="0" w:type="dxa"/>
            <w:bottom w:w="0" w:type="dxa"/>
            <w:right w:w="0" w:type="dxa"/>
          </w:tblCellMar>
          <w:tblLook w:val="0000"/>
        </w:tblPrEx>
        <w:trPr>
          <w:cantSplit/>
          <w:trHeight w:val="375"/>
        </w:trPr>
        <w:tc>
          <w:tcPr>
            <w:tcW w:w="7" w:type="dxa"/>
            <w:tcBorders>
              <w:top w:val="single" w:sz="4" w:space="0" w:color="auto"/>
              <w:left w:val="single" w:sz="4" w:space="0" w:color="auto"/>
              <w:bottom w:val="single" w:sz="4" w:space="0" w:color="auto"/>
              <w:right w:val="single" w:sz="4" w:space="0" w:color="auto"/>
            </w:tcBorders>
            <w:vAlign w:val="center"/>
          </w:tcPr>
          <w:p>
            <w:pPr>
              <w:widowControl/>
              <w:snapToGrid w:val="0"/>
              <w:spacing w:after="0" w:line="240" w:lineRule="auto"/>
              <w:jc w:val="center"/>
              <w:rPr>
                <w:rFonts w:ascii="宋体" w:hAnsi="宋体"/>
                <w:color w:val="000000"/>
                <w:kern w:val="0"/>
                <w:sz w:val="24"/>
                <w:szCs w:val="24"/>
              </w:rPr>
            </w:pPr>
            <w:r>
              <w:rPr>
                <w:rFonts w:ascii="宋体" w:hAnsi="宋体"/>
                <w:color w:val="000000"/>
                <w:kern w:val="0"/>
                <w:sz w:val="24"/>
                <w:szCs w:val="24"/>
              </w:rPr>
              <w:t>8</w:t>
            </w:r>
          </w:p>
        </w:tc>
        <w:tc>
          <w:tcPr>
            <w:tcW w:w="7" w:type="dxa"/>
            <w:tcBorders>
              <w:top w:val="single" w:sz="4" w:space="0" w:color="auto"/>
              <w:left w:val="single" w:sz="4" w:space="0" w:color="auto"/>
              <w:bottom w:val="single" w:sz="4" w:space="0" w:color="auto"/>
              <w:right w:val="single" w:sz="4" w:space="0" w:color="auto"/>
            </w:tcBorders>
            <w:vAlign w:val="center"/>
          </w:tcPr>
          <w:p>
            <w:pPr>
              <w:spacing w:after="0" w:line="240" w:lineRule="auto"/>
              <w:jc w:val="left"/>
            </w:pPr>
            <w:r>
              <w:rPr>
                <w:rFonts w:ascii="宋体" w:hAnsi="宋体"/>
                <w:color w:val="000000"/>
                <w:kern w:val="0"/>
                <w:sz w:val="25"/>
                <w:szCs w:val="24"/>
              </w:rPr>
              <w:t>其他资产</w:t>
            </w:r>
          </w:p>
        </w:tc>
        <w:tc>
          <w:tcPr>
            <w:tcW w:w="7" w:type="dxa"/>
            <w:tcBorders>
              <w:top w:val="single" w:sz="4" w:space="0" w:color="auto"/>
              <w:left w:val="single" w:sz="4" w:space="0" w:color="auto"/>
              <w:bottom w:val="single" w:sz="4" w:space="0" w:color="auto"/>
              <w:right w:val="single" w:sz="4" w:space="0" w:color="auto"/>
            </w:tcBorders>
            <w:vAlign w:val="center"/>
          </w:tcPr>
          <w:p>
            <w:pPr>
              <w:widowControl/>
              <w:snapToGrid w:val="0"/>
              <w:spacing w:after="0" w:line="240" w:lineRule="auto"/>
              <w:jc w:val="right"/>
              <w:rPr>
                <w:rFonts w:ascii="宋体" w:hAnsi="宋体"/>
                <w:color w:val="000000"/>
                <w:kern w:val="0"/>
                <w:sz w:val="24"/>
                <w:szCs w:val="24"/>
              </w:rPr>
            </w:pPr>
            <w:r>
              <w:rPr>
                <w:rFonts w:ascii="宋体" w:hAnsi="宋体"/>
                <w:color w:val="000000"/>
                <w:kern w:val="0"/>
                <w:sz w:val="24"/>
                <w:szCs w:val="24"/>
              </w:rPr>
              <w:t>120,260.23</w:t>
            </w:r>
          </w:p>
        </w:tc>
        <w:tc>
          <w:tcPr>
            <w:tcW w:w="7" w:type="dxa"/>
            <w:tcBorders>
              <w:top w:val="single" w:sz="4" w:space="0" w:color="auto"/>
              <w:left w:val="single" w:sz="4" w:space="0" w:color="auto"/>
              <w:bottom w:val="single" w:sz="4" w:space="0" w:color="auto"/>
              <w:right w:val="single" w:sz="4" w:space="0" w:color="auto"/>
            </w:tcBorders>
            <w:vAlign w:val="center"/>
          </w:tcPr>
          <w:p>
            <w:pPr>
              <w:widowControl/>
              <w:snapToGrid w:val="0"/>
              <w:spacing w:after="0" w:line="240" w:lineRule="auto"/>
              <w:jc w:val="right"/>
              <w:rPr>
                <w:rFonts w:ascii="宋体" w:hAnsi="宋体"/>
                <w:color w:val="000000"/>
                <w:kern w:val="0"/>
                <w:sz w:val="24"/>
                <w:szCs w:val="24"/>
              </w:rPr>
            </w:pPr>
            <w:r>
              <w:rPr>
                <w:rFonts w:ascii="宋体" w:hAnsi="宋体"/>
                <w:color w:val="000000"/>
                <w:kern w:val="0"/>
                <w:sz w:val="24"/>
                <w:szCs w:val="24"/>
              </w:rPr>
              <w:t>0.24</w:t>
            </w:r>
          </w:p>
        </w:tc>
      </w:tr>
      <w:tr>
        <w:tblPrEx>
          <w:tblW w:w="5000" w:type="pct"/>
          <w:tblInd w:w="0" w:type="dxa"/>
          <w:tblLayout w:type="fixed"/>
          <w:tblCellMar>
            <w:top w:w="0" w:type="dxa"/>
            <w:left w:w="0" w:type="dxa"/>
            <w:bottom w:w="0" w:type="dxa"/>
            <w:right w:w="0" w:type="dxa"/>
          </w:tblCellMar>
          <w:tblLook w:val="0000"/>
        </w:tblPrEx>
        <w:trPr>
          <w:cantSplit/>
          <w:trHeight w:val="375"/>
        </w:trPr>
        <w:tc>
          <w:tcPr>
            <w:tcW w:w="7" w:type="dxa"/>
            <w:tcBorders>
              <w:top w:val="single" w:sz="4" w:space="0" w:color="auto"/>
              <w:left w:val="single" w:sz="4" w:space="0" w:color="auto"/>
              <w:bottom w:val="single" w:sz="4" w:space="0" w:color="auto"/>
              <w:right w:val="single" w:sz="4" w:space="0" w:color="auto"/>
            </w:tcBorders>
            <w:vAlign w:val="center"/>
          </w:tcPr>
          <w:p>
            <w:pPr>
              <w:widowControl/>
              <w:snapToGrid w:val="0"/>
              <w:spacing w:after="0" w:line="240" w:lineRule="auto"/>
              <w:jc w:val="center"/>
              <w:rPr>
                <w:rFonts w:ascii="宋体" w:hAnsi="宋体"/>
                <w:color w:val="000000"/>
                <w:kern w:val="0"/>
                <w:sz w:val="24"/>
                <w:szCs w:val="24"/>
              </w:rPr>
            </w:pPr>
            <w:r>
              <w:rPr>
                <w:rFonts w:ascii="宋体" w:hAnsi="宋体"/>
                <w:color w:val="000000"/>
                <w:kern w:val="0"/>
                <w:sz w:val="24"/>
                <w:szCs w:val="24"/>
              </w:rPr>
              <w:t>9</w:t>
            </w:r>
          </w:p>
        </w:tc>
        <w:tc>
          <w:tcPr>
            <w:tcW w:w="7" w:type="dxa"/>
            <w:tcBorders>
              <w:top w:val="single" w:sz="4" w:space="0" w:color="auto"/>
              <w:left w:val="single" w:sz="4" w:space="0" w:color="auto"/>
              <w:bottom w:val="single" w:sz="4" w:space="0" w:color="auto"/>
              <w:right w:val="single" w:sz="4" w:space="0" w:color="auto"/>
            </w:tcBorders>
            <w:vAlign w:val="center"/>
          </w:tcPr>
          <w:p>
            <w:pPr>
              <w:spacing w:after="0" w:line="240" w:lineRule="auto"/>
              <w:jc w:val="left"/>
            </w:pPr>
            <w:r>
              <w:rPr>
                <w:rFonts w:ascii="宋体" w:hAnsi="宋体"/>
                <w:color w:val="000000"/>
                <w:kern w:val="0"/>
                <w:sz w:val="25"/>
                <w:szCs w:val="24"/>
              </w:rPr>
              <w:t>合计</w:t>
            </w:r>
          </w:p>
        </w:tc>
        <w:tc>
          <w:tcPr>
            <w:tcW w:w="7" w:type="dxa"/>
            <w:tcBorders>
              <w:top w:val="single" w:sz="4" w:space="0" w:color="auto"/>
              <w:left w:val="single" w:sz="4" w:space="0" w:color="auto"/>
              <w:bottom w:val="single" w:sz="4" w:space="0" w:color="auto"/>
              <w:right w:val="single" w:sz="4" w:space="0" w:color="auto"/>
            </w:tcBorders>
            <w:vAlign w:val="center"/>
          </w:tcPr>
          <w:p>
            <w:pPr>
              <w:widowControl/>
              <w:snapToGrid w:val="0"/>
              <w:spacing w:after="0" w:line="240" w:lineRule="auto"/>
              <w:jc w:val="right"/>
              <w:rPr>
                <w:rFonts w:ascii="宋体" w:hAnsi="宋体"/>
                <w:color w:val="000000"/>
                <w:kern w:val="0"/>
                <w:sz w:val="24"/>
                <w:szCs w:val="24"/>
              </w:rPr>
            </w:pPr>
            <w:r>
              <w:rPr>
                <w:rFonts w:ascii="宋体" w:hAnsi="宋体"/>
                <w:color w:val="000000"/>
                <w:kern w:val="0"/>
                <w:sz w:val="24"/>
                <w:szCs w:val="24"/>
              </w:rPr>
              <w:t>50,444,352.38</w:t>
            </w:r>
          </w:p>
        </w:tc>
        <w:tc>
          <w:tcPr>
            <w:tcW w:w="7" w:type="dxa"/>
            <w:tcBorders>
              <w:top w:val="single" w:sz="4" w:space="0" w:color="auto"/>
              <w:left w:val="single" w:sz="4" w:space="0" w:color="auto"/>
              <w:bottom w:val="single" w:sz="4" w:space="0" w:color="auto"/>
              <w:right w:val="single" w:sz="4" w:space="0" w:color="auto"/>
            </w:tcBorders>
            <w:vAlign w:val="center"/>
          </w:tcPr>
          <w:p>
            <w:pPr>
              <w:widowControl/>
              <w:snapToGrid w:val="0"/>
              <w:spacing w:after="0" w:line="240" w:lineRule="auto"/>
              <w:jc w:val="right"/>
              <w:rPr>
                <w:rFonts w:ascii="宋体" w:hAnsi="宋体"/>
                <w:color w:val="000000"/>
                <w:kern w:val="0"/>
                <w:sz w:val="24"/>
                <w:szCs w:val="24"/>
              </w:rPr>
            </w:pPr>
            <w:r>
              <w:rPr>
                <w:rFonts w:ascii="宋体" w:hAnsi="宋体"/>
                <w:color w:val="000000"/>
                <w:kern w:val="0"/>
                <w:sz w:val="24"/>
                <w:szCs w:val="24"/>
              </w:rPr>
              <w:t>100.00</w:t>
            </w:r>
          </w:p>
        </w:tc>
      </w:tr>
    </w:tbl>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注：本基金本报告期末通过港股通机制投资香港股票的公允价值为1,731,021.89元，占基金资产净值比例为3.46%。</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2、报告期末按行业分类的股票投资组合</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2.1 报告期末按行业分类的境内股票投资组合</w:t>
      </w:r>
    </w:p>
    <w:tbl>
      <w:tblPr>
        <w:tblW w:w="5000" w:type="pct"/>
        <w:tblInd w:w="0" w:type="dxa"/>
        <w:tblLayout w:type="fixed"/>
        <w:tblCellMar>
          <w:top w:w="0" w:type="dxa"/>
          <w:left w:w="0" w:type="dxa"/>
          <w:bottom w:w="0" w:type="dxa"/>
          <w:right w:w="0" w:type="dxa"/>
        </w:tblCellMar>
        <w:tblLook w:val="0000"/>
      </w:tblPr>
      <w:tblGrid>
        <w:gridCol w:w="2167"/>
        <w:gridCol w:w="2167"/>
        <w:gridCol w:w="2168"/>
        <w:gridCol w:w="2168"/>
      </w:tblGrid>
      <w:tr>
        <w:tblPrEx>
          <w:tblW w:w="5000" w:type="pct"/>
          <w:tblInd w:w="0" w:type="dxa"/>
          <w:tblLayout w:type="fixed"/>
          <w:tblCellMar>
            <w:top w:w="0" w:type="dxa"/>
            <w:left w:w="0" w:type="dxa"/>
            <w:bottom w:w="0" w:type="dxa"/>
            <w:right w:w="0" w:type="dxa"/>
          </w:tblCellMar>
          <w:tblLook w:val="0000"/>
        </w:tblPrEx>
        <w:trPr>
          <w:cantSplit/>
          <w:trHeight w:val="375"/>
        </w:trPr>
        <w:tc>
          <w:tcPr>
            <w:tcW w:w="7" w:type="dxa"/>
            <w:tcBorders>
              <w:top w:val="single" w:sz="4" w:space="0" w:color="auto"/>
              <w:left w:val="single" w:sz="4" w:space="0" w:color="auto"/>
              <w:bottom w:val="single" w:sz="4" w:space="0" w:color="auto"/>
              <w:right w:val="single" w:sz="4" w:space="0" w:color="auto"/>
            </w:tcBorders>
            <w:vAlign w:val="center"/>
          </w:tcPr>
          <w:p>
            <w:pPr>
              <w:widowControl/>
              <w:snapToGrid w:val="0"/>
              <w:spacing w:after="0" w:line="240" w:lineRule="auto"/>
              <w:jc w:val="center"/>
              <w:rPr>
                <w:rFonts w:ascii="宋体" w:hAnsi="宋体"/>
                <w:color w:val="000000"/>
                <w:kern w:val="0"/>
                <w:sz w:val="24"/>
                <w:szCs w:val="24"/>
              </w:rPr>
            </w:pPr>
            <w:r>
              <w:rPr>
                <w:rFonts w:ascii="宋体" w:hAnsi="宋体"/>
                <w:color w:val="000000"/>
                <w:kern w:val="0"/>
                <w:sz w:val="24"/>
                <w:szCs w:val="24"/>
              </w:rPr>
              <w:t>代码</w:t>
            </w:r>
          </w:p>
        </w:tc>
        <w:tc>
          <w:tcPr>
            <w:tcW w:w="7" w:type="dxa"/>
            <w:tcBorders>
              <w:top w:val="single" w:sz="4" w:space="0" w:color="auto"/>
              <w:left w:val="single" w:sz="4" w:space="0" w:color="auto"/>
              <w:bottom w:val="single" w:sz="4" w:space="0" w:color="auto"/>
              <w:right w:val="single" w:sz="4" w:space="0" w:color="auto"/>
            </w:tcBorders>
            <w:vAlign w:val="center"/>
          </w:tcPr>
          <w:p>
            <w:pPr>
              <w:widowControl/>
              <w:snapToGrid w:val="0"/>
              <w:spacing w:after="0" w:line="240" w:lineRule="auto"/>
              <w:jc w:val="center"/>
              <w:rPr>
                <w:rFonts w:ascii="宋体" w:hAnsi="宋体"/>
                <w:color w:val="000000"/>
                <w:kern w:val="0"/>
                <w:sz w:val="24"/>
                <w:szCs w:val="24"/>
              </w:rPr>
            </w:pPr>
            <w:r>
              <w:rPr>
                <w:rFonts w:ascii="宋体" w:hAnsi="宋体"/>
                <w:color w:val="000000"/>
                <w:kern w:val="0"/>
                <w:sz w:val="24"/>
                <w:szCs w:val="24"/>
              </w:rPr>
              <w:t>行业类别</w:t>
            </w:r>
          </w:p>
        </w:tc>
        <w:tc>
          <w:tcPr>
            <w:tcW w:w="7" w:type="dxa"/>
            <w:tcBorders>
              <w:top w:val="single" w:sz="4" w:space="0" w:color="auto"/>
              <w:left w:val="single" w:sz="4" w:space="0" w:color="auto"/>
              <w:bottom w:val="single" w:sz="4" w:space="0" w:color="auto"/>
              <w:right w:val="single" w:sz="4" w:space="0" w:color="auto"/>
            </w:tcBorders>
            <w:vAlign w:val="center"/>
          </w:tcPr>
          <w:p>
            <w:pPr>
              <w:widowControl/>
              <w:snapToGrid w:val="0"/>
              <w:spacing w:after="0" w:line="240" w:lineRule="auto"/>
              <w:jc w:val="center"/>
              <w:rPr>
                <w:rFonts w:ascii="宋体" w:hAnsi="宋体"/>
                <w:color w:val="000000"/>
                <w:kern w:val="0"/>
                <w:sz w:val="24"/>
                <w:szCs w:val="24"/>
              </w:rPr>
            </w:pPr>
            <w:r>
              <w:rPr>
                <w:rFonts w:ascii="宋体" w:hAnsi="宋体"/>
                <w:color w:val="000000"/>
                <w:kern w:val="0"/>
                <w:sz w:val="24"/>
                <w:szCs w:val="24"/>
              </w:rPr>
              <w:t>公允价值（元）</w:t>
            </w:r>
          </w:p>
        </w:tc>
        <w:tc>
          <w:tcPr>
            <w:tcW w:w="7" w:type="dxa"/>
            <w:tcBorders>
              <w:top w:val="single" w:sz="4" w:space="0" w:color="auto"/>
              <w:left w:val="single" w:sz="4" w:space="0" w:color="auto"/>
              <w:bottom w:val="single" w:sz="4" w:space="0" w:color="auto"/>
              <w:right w:val="single" w:sz="4" w:space="0" w:color="auto"/>
            </w:tcBorders>
            <w:vAlign w:val="center"/>
          </w:tcPr>
          <w:p>
            <w:pPr>
              <w:widowControl/>
              <w:snapToGrid w:val="0"/>
              <w:spacing w:after="0" w:line="240" w:lineRule="auto"/>
              <w:jc w:val="center"/>
              <w:rPr>
                <w:rFonts w:ascii="宋体" w:hAnsi="宋体"/>
                <w:color w:val="000000"/>
                <w:kern w:val="0"/>
                <w:sz w:val="24"/>
                <w:szCs w:val="24"/>
              </w:rPr>
            </w:pPr>
            <w:r>
              <w:rPr>
                <w:rFonts w:ascii="宋体" w:hAnsi="宋体"/>
                <w:color w:val="000000"/>
                <w:kern w:val="0"/>
                <w:sz w:val="24"/>
                <w:szCs w:val="24"/>
              </w:rPr>
              <w:t>占基金资产净值比例（%）</w:t>
            </w:r>
          </w:p>
        </w:tc>
      </w:tr>
      <w:tr>
        <w:tblPrEx>
          <w:tblW w:w="5000" w:type="pct"/>
          <w:tblInd w:w="0" w:type="dxa"/>
          <w:tblLayout w:type="fixed"/>
          <w:tblCellMar>
            <w:top w:w="0" w:type="dxa"/>
            <w:left w:w="0" w:type="dxa"/>
            <w:bottom w:w="0" w:type="dxa"/>
            <w:right w:w="0" w:type="dxa"/>
          </w:tblCellMar>
          <w:tblLook w:val="0000"/>
        </w:tblPrEx>
        <w:trPr>
          <w:cantSplit/>
          <w:trHeight w:val="375"/>
        </w:trPr>
        <w:tc>
          <w:tcPr>
            <w:tcW w:w="7" w:type="dxa"/>
            <w:tcBorders>
              <w:top w:val="single" w:sz="4" w:space="0" w:color="auto"/>
              <w:left w:val="single" w:sz="4" w:space="0" w:color="auto"/>
              <w:bottom w:val="single" w:sz="4" w:space="0" w:color="auto"/>
              <w:right w:val="single" w:sz="4" w:space="0" w:color="auto"/>
            </w:tcBorders>
            <w:vAlign w:val="center"/>
          </w:tcPr>
          <w:p>
            <w:pPr>
              <w:widowControl/>
              <w:snapToGrid w:val="0"/>
              <w:spacing w:after="0" w:line="240" w:lineRule="auto"/>
              <w:jc w:val="center"/>
              <w:rPr>
                <w:rFonts w:ascii="宋体" w:hAnsi="宋体"/>
                <w:color w:val="000000"/>
                <w:kern w:val="0"/>
                <w:sz w:val="24"/>
                <w:szCs w:val="24"/>
              </w:rPr>
            </w:pPr>
            <w:r>
              <w:rPr>
                <w:rFonts w:ascii="宋体" w:hAnsi="宋体"/>
                <w:color w:val="000000"/>
                <w:kern w:val="0"/>
                <w:sz w:val="24"/>
                <w:szCs w:val="24"/>
              </w:rPr>
              <w:t>A</w:t>
            </w:r>
          </w:p>
        </w:tc>
        <w:tc>
          <w:tcPr>
            <w:tcW w:w="7" w:type="dxa"/>
            <w:vMerge w:val="restart"/>
            <w:tcBorders>
              <w:top w:val="single" w:sz="4" w:space="0" w:color="auto"/>
              <w:left w:val="single" w:sz="4" w:space="0" w:color="auto"/>
              <w:bottom w:val="single" w:sz="4" w:space="0" w:color="auto"/>
              <w:right w:val="single" w:sz="4" w:space="0" w:color="auto"/>
            </w:tcBorders>
            <w:vAlign w:val="center"/>
          </w:tcPr>
          <w:p>
            <w:pPr>
              <w:spacing w:after="0" w:line="240" w:lineRule="auto"/>
              <w:jc w:val="left"/>
            </w:pPr>
            <w:r>
              <w:rPr>
                <w:rFonts w:ascii="宋体" w:hAnsi="宋体"/>
                <w:color w:val="000000"/>
                <w:kern w:val="0"/>
                <w:sz w:val="25"/>
                <w:szCs w:val="24"/>
              </w:rPr>
              <w:t>农、林、牧、渔业</w:t>
            </w:r>
          </w:p>
        </w:tc>
        <w:tc>
          <w:tcPr>
            <w:tcW w:w="7" w:type="dxa"/>
            <w:tcBorders>
              <w:top w:val="single" w:sz="4" w:space="0" w:color="auto"/>
              <w:left w:val="single" w:sz="4" w:space="0" w:color="auto"/>
              <w:bottom w:val="single" w:sz="4" w:space="0" w:color="auto"/>
              <w:right w:val="single" w:sz="4" w:space="0" w:color="auto"/>
            </w:tcBorders>
            <w:vAlign w:val="center"/>
          </w:tcPr>
          <w:p>
            <w:pPr>
              <w:widowControl/>
              <w:snapToGrid w:val="0"/>
              <w:spacing w:after="0" w:line="240" w:lineRule="auto"/>
              <w:jc w:val="right"/>
              <w:rPr>
                <w:rFonts w:ascii="宋体" w:hAnsi="宋体"/>
                <w:color w:val="000000"/>
                <w:kern w:val="0"/>
                <w:sz w:val="24"/>
                <w:szCs w:val="24"/>
              </w:rPr>
            </w:pPr>
            <w:r>
              <w:rPr>
                <w:rFonts w:ascii="宋体" w:hAnsi="宋体"/>
                <w:color w:val="000000"/>
                <w:kern w:val="0"/>
                <w:sz w:val="24"/>
                <w:szCs w:val="24"/>
              </w:rPr>
              <w:t>-</w:t>
            </w:r>
          </w:p>
        </w:tc>
        <w:tc>
          <w:tcPr>
            <w:tcW w:w="7" w:type="dxa"/>
            <w:tcBorders>
              <w:top w:val="single" w:sz="4" w:space="0" w:color="auto"/>
              <w:left w:val="single" w:sz="4" w:space="0" w:color="auto"/>
              <w:bottom w:val="single" w:sz="4" w:space="0" w:color="auto"/>
              <w:right w:val="single" w:sz="4" w:space="0" w:color="auto"/>
            </w:tcBorders>
            <w:vAlign w:val="center"/>
          </w:tcPr>
          <w:p>
            <w:pPr>
              <w:widowControl/>
              <w:snapToGrid w:val="0"/>
              <w:spacing w:after="0" w:line="240" w:lineRule="auto"/>
              <w:jc w:val="right"/>
              <w:rPr>
                <w:rFonts w:ascii="宋体" w:hAnsi="宋体"/>
                <w:color w:val="000000"/>
                <w:kern w:val="0"/>
                <w:sz w:val="24"/>
                <w:szCs w:val="24"/>
              </w:rPr>
            </w:pPr>
            <w:r>
              <w:rPr>
                <w:rFonts w:ascii="宋体" w:hAnsi="宋体"/>
                <w:color w:val="000000"/>
                <w:kern w:val="0"/>
                <w:sz w:val="24"/>
                <w:szCs w:val="24"/>
              </w:rPr>
              <w:t>-</w:t>
            </w:r>
          </w:p>
        </w:tc>
      </w:tr>
      <w:tr>
        <w:tblPrEx>
          <w:tblW w:w="5000" w:type="pct"/>
          <w:tblInd w:w="0" w:type="dxa"/>
          <w:tblLayout w:type="fixed"/>
          <w:tblCellMar>
            <w:top w:w="0" w:type="dxa"/>
            <w:left w:w="0" w:type="dxa"/>
            <w:bottom w:w="0" w:type="dxa"/>
            <w:right w:w="0" w:type="dxa"/>
          </w:tblCellMar>
          <w:tblLook w:val="0000"/>
        </w:tblPrEx>
        <w:trPr>
          <w:cantSplit/>
          <w:trHeight w:val="375"/>
        </w:trPr>
        <w:tc>
          <w:tcPr>
            <w:tcW w:w="7" w:type="dxa"/>
            <w:tcBorders>
              <w:top w:val="single" w:sz="4" w:space="0" w:color="auto"/>
              <w:left w:val="single" w:sz="4" w:space="0" w:color="auto"/>
              <w:bottom w:val="single" w:sz="4" w:space="0" w:color="auto"/>
              <w:right w:val="single" w:sz="4" w:space="0" w:color="auto"/>
            </w:tcBorders>
            <w:vAlign w:val="center"/>
          </w:tcPr>
          <w:p>
            <w:pPr>
              <w:widowControl/>
              <w:snapToGrid w:val="0"/>
              <w:spacing w:after="0" w:line="240" w:lineRule="auto"/>
              <w:jc w:val="center"/>
              <w:rPr>
                <w:rFonts w:ascii="宋体" w:hAnsi="宋体"/>
                <w:color w:val="000000"/>
                <w:kern w:val="0"/>
                <w:sz w:val="24"/>
                <w:szCs w:val="24"/>
              </w:rPr>
            </w:pPr>
            <w:r>
              <w:rPr>
                <w:rFonts w:ascii="宋体" w:hAnsi="宋体"/>
                <w:color w:val="000000"/>
                <w:kern w:val="0"/>
                <w:sz w:val="24"/>
                <w:szCs w:val="24"/>
              </w:rPr>
              <w:t>B</w:t>
            </w:r>
          </w:p>
        </w:tc>
        <w:tc>
          <w:tcPr>
            <w:tcW w:w="7" w:type="dxa"/>
            <w:vMerge w:val="restart"/>
            <w:tcBorders>
              <w:top w:val="single" w:sz="4" w:space="0" w:color="auto"/>
              <w:left w:val="single" w:sz="4" w:space="0" w:color="auto"/>
              <w:bottom w:val="single" w:sz="4" w:space="0" w:color="auto"/>
              <w:right w:val="single" w:sz="4" w:space="0" w:color="auto"/>
            </w:tcBorders>
            <w:vAlign w:val="center"/>
          </w:tcPr>
          <w:p>
            <w:pPr>
              <w:spacing w:after="0" w:line="240" w:lineRule="auto"/>
              <w:jc w:val="left"/>
            </w:pPr>
            <w:r>
              <w:rPr>
                <w:rFonts w:ascii="宋体" w:hAnsi="宋体"/>
                <w:color w:val="000000"/>
                <w:kern w:val="0"/>
                <w:sz w:val="25"/>
                <w:szCs w:val="24"/>
              </w:rPr>
              <w:t>采矿业</w:t>
            </w:r>
          </w:p>
        </w:tc>
        <w:tc>
          <w:tcPr>
            <w:tcW w:w="7" w:type="dxa"/>
            <w:tcBorders>
              <w:top w:val="single" w:sz="4" w:space="0" w:color="auto"/>
              <w:left w:val="single" w:sz="4" w:space="0" w:color="auto"/>
              <w:bottom w:val="single" w:sz="4" w:space="0" w:color="auto"/>
              <w:right w:val="single" w:sz="4" w:space="0" w:color="auto"/>
            </w:tcBorders>
            <w:vAlign w:val="center"/>
          </w:tcPr>
          <w:p>
            <w:pPr>
              <w:widowControl/>
              <w:snapToGrid w:val="0"/>
              <w:spacing w:after="0" w:line="240" w:lineRule="auto"/>
              <w:jc w:val="right"/>
              <w:rPr>
                <w:rFonts w:ascii="宋体" w:hAnsi="宋体"/>
                <w:color w:val="000000"/>
                <w:kern w:val="0"/>
                <w:sz w:val="24"/>
                <w:szCs w:val="24"/>
              </w:rPr>
            </w:pPr>
            <w:r>
              <w:rPr>
                <w:rFonts w:ascii="宋体" w:hAnsi="宋体"/>
                <w:color w:val="000000"/>
                <w:kern w:val="0"/>
                <w:sz w:val="24"/>
                <w:szCs w:val="24"/>
              </w:rPr>
              <w:t>5,841,708.00</w:t>
            </w:r>
          </w:p>
        </w:tc>
        <w:tc>
          <w:tcPr>
            <w:tcW w:w="7" w:type="dxa"/>
            <w:tcBorders>
              <w:top w:val="single" w:sz="4" w:space="0" w:color="auto"/>
              <w:left w:val="single" w:sz="4" w:space="0" w:color="auto"/>
              <w:bottom w:val="single" w:sz="4" w:space="0" w:color="auto"/>
              <w:right w:val="single" w:sz="4" w:space="0" w:color="auto"/>
            </w:tcBorders>
            <w:vAlign w:val="center"/>
          </w:tcPr>
          <w:p>
            <w:pPr>
              <w:widowControl/>
              <w:snapToGrid w:val="0"/>
              <w:spacing w:after="0" w:line="240" w:lineRule="auto"/>
              <w:jc w:val="right"/>
              <w:rPr>
                <w:rFonts w:ascii="宋体" w:hAnsi="宋体"/>
                <w:color w:val="000000"/>
                <w:kern w:val="0"/>
                <w:sz w:val="24"/>
                <w:szCs w:val="24"/>
              </w:rPr>
            </w:pPr>
            <w:r>
              <w:rPr>
                <w:rFonts w:ascii="宋体" w:hAnsi="宋体"/>
                <w:color w:val="000000"/>
                <w:kern w:val="0"/>
                <w:sz w:val="24"/>
                <w:szCs w:val="24"/>
              </w:rPr>
              <w:t>11.69</w:t>
            </w:r>
          </w:p>
        </w:tc>
      </w:tr>
      <w:tr>
        <w:tblPrEx>
          <w:tblW w:w="5000" w:type="pct"/>
          <w:tblInd w:w="0" w:type="dxa"/>
          <w:tblLayout w:type="fixed"/>
          <w:tblCellMar>
            <w:top w:w="0" w:type="dxa"/>
            <w:left w:w="0" w:type="dxa"/>
            <w:bottom w:w="0" w:type="dxa"/>
            <w:right w:w="0" w:type="dxa"/>
          </w:tblCellMar>
          <w:tblLook w:val="0000"/>
        </w:tblPrEx>
        <w:trPr>
          <w:cantSplit/>
          <w:trHeight w:val="375"/>
        </w:trPr>
        <w:tc>
          <w:tcPr>
            <w:tcW w:w="7" w:type="dxa"/>
            <w:tcBorders>
              <w:top w:val="single" w:sz="4" w:space="0" w:color="auto"/>
              <w:left w:val="single" w:sz="4" w:space="0" w:color="auto"/>
              <w:bottom w:val="single" w:sz="4" w:space="0" w:color="auto"/>
              <w:right w:val="single" w:sz="4" w:space="0" w:color="auto"/>
            </w:tcBorders>
            <w:vAlign w:val="center"/>
          </w:tcPr>
          <w:p>
            <w:pPr>
              <w:widowControl/>
              <w:snapToGrid w:val="0"/>
              <w:spacing w:after="0" w:line="240" w:lineRule="auto"/>
              <w:jc w:val="center"/>
              <w:rPr>
                <w:rFonts w:ascii="宋体" w:hAnsi="宋体"/>
                <w:color w:val="000000"/>
                <w:kern w:val="0"/>
                <w:sz w:val="24"/>
                <w:szCs w:val="24"/>
              </w:rPr>
            </w:pPr>
            <w:r>
              <w:rPr>
                <w:rFonts w:ascii="宋体" w:hAnsi="宋体"/>
                <w:color w:val="000000"/>
                <w:kern w:val="0"/>
                <w:sz w:val="24"/>
                <w:szCs w:val="24"/>
              </w:rPr>
              <w:t>C</w:t>
            </w:r>
          </w:p>
        </w:tc>
        <w:tc>
          <w:tcPr>
            <w:tcW w:w="7" w:type="dxa"/>
            <w:vMerge w:val="restart"/>
            <w:tcBorders>
              <w:top w:val="single" w:sz="4" w:space="0" w:color="auto"/>
              <w:left w:val="single" w:sz="4" w:space="0" w:color="auto"/>
              <w:bottom w:val="single" w:sz="4" w:space="0" w:color="auto"/>
              <w:right w:val="single" w:sz="4" w:space="0" w:color="auto"/>
            </w:tcBorders>
            <w:vAlign w:val="center"/>
          </w:tcPr>
          <w:p>
            <w:pPr>
              <w:spacing w:after="0" w:line="240" w:lineRule="auto"/>
              <w:jc w:val="left"/>
            </w:pPr>
            <w:r>
              <w:rPr>
                <w:rFonts w:ascii="宋体" w:hAnsi="宋体"/>
                <w:color w:val="000000"/>
                <w:kern w:val="0"/>
                <w:sz w:val="25"/>
                <w:szCs w:val="24"/>
              </w:rPr>
              <w:t>制造业</w:t>
            </w:r>
          </w:p>
        </w:tc>
        <w:tc>
          <w:tcPr>
            <w:tcW w:w="7" w:type="dxa"/>
            <w:tcBorders>
              <w:top w:val="single" w:sz="4" w:space="0" w:color="auto"/>
              <w:left w:val="single" w:sz="4" w:space="0" w:color="auto"/>
              <w:bottom w:val="single" w:sz="4" w:space="0" w:color="auto"/>
              <w:right w:val="single" w:sz="4" w:space="0" w:color="auto"/>
            </w:tcBorders>
            <w:vAlign w:val="center"/>
          </w:tcPr>
          <w:p>
            <w:pPr>
              <w:widowControl/>
              <w:snapToGrid w:val="0"/>
              <w:spacing w:after="0" w:line="240" w:lineRule="auto"/>
              <w:jc w:val="right"/>
              <w:rPr>
                <w:rFonts w:ascii="宋体" w:hAnsi="宋体"/>
                <w:color w:val="000000"/>
                <w:kern w:val="0"/>
                <w:sz w:val="24"/>
                <w:szCs w:val="24"/>
              </w:rPr>
            </w:pPr>
            <w:r>
              <w:rPr>
                <w:rFonts w:ascii="宋体" w:hAnsi="宋体"/>
                <w:color w:val="000000"/>
                <w:kern w:val="0"/>
                <w:sz w:val="24"/>
                <w:szCs w:val="24"/>
              </w:rPr>
              <w:t>34,721,691.88</w:t>
            </w:r>
          </w:p>
        </w:tc>
        <w:tc>
          <w:tcPr>
            <w:tcW w:w="7" w:type="dxa"/>
            <w:tcBorders>
              <w:top w:val="single" w:sz="4" w:space="0" w:color="auto"/>
              <w:left w:val="single" w:sz="4" w:space="0" w:color="auto"/>
              <w:bottom w:val="single" w:sz="4" w:space="0" w:color="auto"/>
              <w:right w:val="single" w:sz="4" w:space="0" w:color="auto"/>
            </w:tcBorders>
            <w:vAlign w:val="center"/>
          </w:tcPr>
          <w:p>
            <w:pPr>
              <w:widowControl/>
              <w:snapToGrid w:val="0"/>
              <w:spacing w:after="0" w:line="240" w:lineRule="auto"/>
              <w:jc w:val="right"/>
              <w:rPr>
                <w:rFonts w:ascii="宋体" w:hAnsi="宋体"/>
                <w:color w:val="000000"/>
                <w:kern w:val="0"/>
                <w:sz w:val="24"/>
                <w:szCs w:val="24"/>
              </w:rPr>
            </w:pPr>
            <w:r>
              <w:rPr>
                <w:rFonts w:ascii="宋体" w:hAnsi="宋体"/>
                <w:color w:val="000000"/>
                <w:kern w:val="0"/>
                <w:sz w:val="24"/>
                <w:szCs w:val="24"/>
              </w:rPr>
              <w:t>69.45</w:t>
            </w:r>
          </w:p>
        </w:tc>
      </w:tr>
      <w:tr>
        <w:tblPrEx>
          <w:tblW w:w="5000" w:type="pct"/>
          <w:tblInd w:w="0" w:type="dxa"/>
          <w:tblLayout w:type="fixed"/>
          <w:tblCellMar>
            <w:top w:w="0" w:type="dxa"/>
            <w:left w:w="0" w:type="dxa"/>
            <w:bottom w:w="0" w:type="dxa"/>
            <w:right w:w="0" w:type="dxa"/>
          </w:tblCellMar>
          <w:tblLook w:val="0000"/>
        </w:tblPrEx>
        <w:trPr>
          <w:cantSplit/>
          <w:trHeight w:val="375"/>
        </w:trPr>
        <w:tc>
          <w:tcPr>
            <w:tcW w:w="7" w:type="dxa"/>
            <w:tcBorders>
              <w:top w:val="single" w:sz="4" w:space="0" w:color="auto"/>
              <w:left w:val="single" w:sz="4" w:space="0" w:color="auto"/>
              <w:bottom w:val="single" w:sz="4" w:space="0" w:color="auto"/>
              <w:right w:val="single" w:sz="4" w:space="0" w:color="auto"/>
            </w:tcBorders>
            <w:vAlign w:val="center"/>
          </w:tcPr>
          <w:p>
            <w:pPr>
              <w:widowControl/>
              <w:snapToGrid w:val="0"/>
              <w:spacing w:after="0" w:line="240" w:lineRule="auto"/>
              <w:jc w:val="center"/>
              <w:rPr>
                <w:rFonts w:ascii="宋体" w:hAnsi="宋体"/>
                <w:color w:val="000000"/>
                <w:kern w:val="0"/>
                <w:sz w:val="24"/>
                <w:szCs w:val="24"/>
              </w:rPr>
            </w:pPr>
            <w:r>
              <w:rPr>
                <w:rFonts w:ascii="宋体" w:hAnsi="宋体"/>
                <w:color w:val="000000"/>
                <w:kern w:val="0"/>
                <w:sz w:val="24"/>
                <w:szCs w:val="24"/>
              </w:rPr>
              <w:t>D</w:t>
            </w:r>
          </w:p>
        </w:tc>
        <w:tc>
          <w:tcPr>
            <w:tcW w:w="7" w:type="dxa"/>
            <w:vMerge w:val="restart"/>
            <w:tcBorders>
              <w:top w:val="single" w:sz="4" w:space="0" w:color="auto"/>
              <w:left w:val="single" w:sz="4" w:space="0" w:color="auto"/>
              <w:bottom w:val="single" w:sz="4" w:space="0" w:color="auto"/>
              <w:right w:val="single" w:sz="4" w:space="0" w:color="auto"/>
            </w:tcBorders>
            <w:vAlign w:val="center"/>
          </w:tcPr>
          <w:p>
            <w:pPr>
              <w:spacing w:after="0" w:line="240" w:lineRule="auto"/>
              <w:jc w:val="left"/>
            </w:pPr>
            <w:r>
              <w:rPr>
                <w:rFonts w:ascii="宋体" w:hAnsi="宋体"/>
                <w:color w:val="000000"/>
                <w:kern w:val="0"/>
                <w:sz w:val="25"/>
                <w:szCs w:val="24"/>
              </w:rPr>
              <w:t>电力、热力、燃气及水生产和供应业</w:t>
            </w:r>
          </w:p>
        </w:tc>
        <w:tc>
          <w:tcPr>
            <w:tcW w:w="7" w:type="dxa"/>
            <w:tcBorders>
              <w:top w:val="single" w:sz="4" w:space="0" w:color="auto"/>
              <w:left w:val="single" w:sz="4" w:space="0" w:color="auto"/>
              <w:bottom w:val="single" w:sz="4" w:space="0" w:color="auto"/>
              <w:right w:val="single" w:sz="4" w:space="0" w:color="auto"/>
            </w:tcBorders>
            <w:vAlign w:val="center"/>
          </w:tcPr>
          <w:p>
            <w:pPr>
              <w:widowControl/>
              <w:snapToGrid w:val="0"/>
              <w:spacing w:after="0" w:line="240" w:lineRule="auto"/>
              <w:jc w:val="right"/>
              <w:rPr>
                <w:rFonts w:ascii="宋体" w:hAnsi="宋体"/>
                <w:color w:val="000000"/>
                <w:kern w:val="0"/>
                <w:sz w:val="24"/>
                <w:szCs w:val="24"/>
              </w:rPr>
            </w:pPr>
            <w:r>
              <w:rPr>
                <w:rFonts w:ascii="宋体" w:hAnsi="宋体"/>
                <w:color w:val="000000"/>
                <w:kern w:val="0"/>
                <w:sz w:val="24"/>
                <w:szCs w:val="24"/>
              </w:rPr>
              <w:t>2,456,087.48</w:t>
            </w:r>
          </w:p>
        </w:tc>
        <w:tc>
          <w:tcPr>
            <w:tcW w:w="7" w:type="dxa"/>
            <w:tcBorders>
              <w:top w:val="single" w:sz="4" w:space="0" w:color="auto"/>
              <w:left w:val="single" w:sz="4" w:space="0" w:color="auto"/>
              <w:bottom w:val="single" w:sz="4" w:space="0" w:color="auto"/>
              <w:right w:val="single" w:sz="4" w:space="0" w:color="auto"/>
            </w:tcBorders>
            <w:vAlign w:val="center"/>
          </w:tcPr>
          <w:p>
            <w:pPr>
              <w:widowControl/>
              <w:snapToGrid w:val="0"/>
              <w:spacing w:after="0" w:line="240" w:lineRule="auto"/>
              <w:jc w:val="right"/>
              <w:rPr>
                <w:rFonts w:ascii="宋体" w:hAnsi="宋体"/>
                <w:color w:val="000000"/>
                <w:kern w:val="0"/>
                <w:sz w:val="24"/>
                <w:szCs w:val="24"/>
              </w:rPr>
            </w:pPr>
            <w:r>
              <w:rPr>
                <w:rFonts w:ascii="宋体" w:hAnsi="宋体"/>
                <w:color w:val="000000"/>
                <w:kern w:val="0"/>
                <w:sz w:val="24"/>
                <w:szCs w:val="24"/>
              </w:rPr>
              <w:t>4.91</w:t>
            </w:r>
          </w:p>
        </w:tc>
      </w:tr>
      <w:tr>
        <w:tblPrEx>
          <w:tblW w:w="5000" w:type="pct"/>
          <w:tblInd w:w="0" w:type="dxa"/>
          <w:tblLayout w:type="fixed"/>
          <w:tblCellMar>
            <w:top w:w="0" w:type="dxa"/>
            <w:left w:w="0" w:type="dxa"/>
            <w:bottom w:w="0" w:type="dxa"/>
            <w:right w:w="0" w:type="dxa"/>
          </w:tblCellMar>
          <w:tblLook w:val="0000"/>
        </w:tblPrEx>
        <w:trPr>
          <w:cantSplit/>
          <w:trHeight w:val="375"/>
        </w:trPr>
        <w:tc>
          <w:tcPr>
            <w:tcW w:w="7" w:type="dxa"/>
            <w:tcBorders>
              <w:top w:val="single" w:sz="4" w:space="0" w:color="auto"/>
              <w:left w:val="single" w:sz="4" w:space="0" w:color="auto"/>
              <w:bottom w:val="single" w:sz="4" w:space="0" w:color="auto"/>
              <w:right w:val="single" w:sz="4" w:space="0" w:color="auto"/>
            </w:tcBorders>
            <w:vAlign w:val="center"/>
          </w:tcPr>
          <w:p>
            <w:pPr>
              <w:widowControl/>
              <w:snapToGrid w:val="0"/>
              <w:spacing w:after="0" w:line="240" w:lineRule="auto"/>
              <w:jc w:val="center"/>
              <w:rPr>
                <w:rFonts w:ascii="宋体" w:hAnsi="宋体"/>
                <w:color w:val="000000"/>
                <w:kern w:val="0"/>
                <w:sz w:val="24"/>
                <w:szCs w:val="24"/>
              </w:rPr>
            </w:pPr>
            <w:r>
              <w:rPr>
                <w:rFonts w:ascii="宋体" w:hAnsi="宋体"/>
                <w:color w:val="000000"/>
                <w:kern w:val="0"/>
                <w:sz w:val="24"/>
                <w:szCs w:val="24"/>
              </w:rPr>
              <w:t>E</w:t>
            </w:r>
          </w:p>
        </w:tc>
        <w:tc>
          <w:tcPr>
            <w:tcW w:w="7" w:type="dxa"/>
            <w:vMerge w:val="restart"/>
            <w:tcBorders>
              <w:top w:val="single" w:sz="4" w:space="0" w:color="auto"/>
              <w:left w:val="single" w:sz="4" w:space="0" w:color="auto"/>
              <w:bottom w:val="single" w:sz="4" w:space="0" w:color="auto"/>
              <w:right w:val="single" w:sz="4" w:space="0" w:color="auto"/>
            </w:tcBorders>
            <w:vAlign w:val="center"/>
          </w:tcPr>
          <w:p>
            <w:pPr>
              <w:spacing w:after="0" w:line="240" w:lineRule="auto"/>
              <w:jc w:val="left"/>
            </w:pPr>
            <w:r>
              <w:rPr>
                <w:rFonts w:ascii="宋体" w:hAnsi="宋体"/>
                <w:color w:val="000000"/>
                <w:kern w:val="0"/>
                <w:sz w:val="25"/>
                <w:szCs w:val="24"/>
              </w:rPr>
              <w:t>建筑业</w:t>
            </w:r>
          </w:p>
        </w:tc>
        <w:tc>
          <w:tcPr>
            <w:tcW w:w="7" w:type="dxa"/>
            <w:tcBorders>
              <w:top w:val="single" w:sz="4" w:space="0" w:color="auto"/>
              <w:left w:val="single" w:sz="4" w:space="0" w:color="auto"/>
              <w:bottom w:val="single" w:sz="4" w:space="0" w:color="auto"/>
              <w:right w:val="single" w:sz="4" w:space="0" w:color="auto"/>
            </w:tcBorders>
            <w:vAlign w:val="center"/>
          </w:tcPr>
          <w:p>
            <w:pPr>
              <w:widowControl/>
              <w:snapToGrid w:val="0"/>
              <w:spacing w:after="0" w:line="240" w:lineRule="auto"/>
              <w:jc w:val="right"/>
              <w:rPr>
                <w:rFonts w:ascii="宋体" w:hAnsi="宋体"/>
                <w:color w:val="000000"/>
                <w:kern w:val="0"/>
                <w:sz w:val="24"/>
                <w:szCs w:val="24"/>
              </w:rPr>
            </w:pPr>
            <w:r>
              <w:rPr>
                <w:rFonts w:ascii="宋体" w:hAnsi="宋体"/>
                <w:color w:val="000000"/>
                <w:kern w:val="0"/>
                <w:sz w:val="24"/>
                <w:szCs w:val="24"/>
              </w:rPr>
              <w:t>-</w:t>
            </w:r>
          </w:p>
        </w:tc>
        <w:tc>
          <w:tcPr>
            <w:tcW w:w="7" w:type="dxa"/>
            <w:tcBorders>
              <w:top w:val="single" w:sz="4" w:space="0" w:color="auto"/>
              <w:left w:val="single" w:sz="4" w:space="0" w:color="auto"/>
              <w:bottom w:val="single" w:sz="4" w:space="0" w:color="auto"/>
              <w:right w:val="single" w:sz="4" w:space="0" w:color="auto"/>
            </w:tcBorders>
            <w:vAlign w:val="center"/>
          </w:tcPr>
          <w:p>
            <w:pPr>
              <w:widowControl/>
              <w:snapToGrid w:val="0"/>
              <w:spacing w:after="0" w:line="240" w:lineRule="auto"/>
              <w:jc w:val="right"/>
              <w:rPr>
                <w:rFonts w:ascii="宋体" w:hAnsi="宋体"/>
                <w:color w:val="000000"/>
                <w:kern w:val="0"/>
                <w:sz w:val="24"/>
                <w:szCs w:val="24"/>
              </w:rPr>
            </w:pPr>
            <w:r>
              <w:rPr>
                <w:rFonts w:ascii="宋体" w:hAnsi="宋体"/>
                <w:color w:val="000000"/>
                <w:kern w:val="0"/>
                <w:sz w:val="24"/>
                <w:szCs w:val="24"/>
              </w:rPr>
              <w:t>-</w:t>
            </w:r>
          </w:p>
        </w:tc>
      </w:tr>
      <w:tr>
        <w:tblPrEx>
          <w:tblW w:w="5000" w:type="pct"/>
          <w:tblInd w:w="0" w:type="dxa"/>
          <w:tblLayout w:type="fixed"/>
          <w:tblCellMar>
            <w:top w:w="0" w:type="dxa"/>
            <w:left w:w="0" w:type="dxa"/>
            <w:bottom w:w="0" w:type="dxa"/>
            <w:right w:w="0" w:type="dxa"/>
          </w:tblCellMar>
          <w:tblLook w:val="0000"/>
        </w:tblPrEx>
        <w:trPr>
          <w:cantSplit/>
          <w:trHeight w:val="375"/>
        </w:trPr>
        <w:tc>
          <w:tcPr>
            <w:tcW w:w="7" w:type="dxa"/>
            <w:tcBorders>
              <w:top w:val="single" w:sz="4" w:space="0" w:color="auto"/>
              <w:left w:val="single" w:sz="4" w:space="0" w:color="auto"/>
              <w:bottom w:val="single" w:sz="4" w:space="0" w:color="auto"/>
              <w:right w:val="single" w:sz="4" w:space="0" w:color="auto"/>
            </w:tcBorders>
            <w:vAlign w:val="center"/>
          </w:tcPr>
          <w:p>
            <w:pPr>
              <w:widowControl/>
              <w:snapToGrid w:val="0"/>
              <w:spacing w:after="0" w:line="240" w:lineRule="auto"/>
              <w:jc w:val="center"/>
              <w:rPr>
                <w:rFonts w:ascii="宋体" w:hAnsi="宋体"/>
                <w:color w:val="000000"/>
                <w:kern w:val="0"/>
                <w:sz w:val="24"/>
                <w:szCs w:val="24"/>
              </w:rPr>
            </w:pPr>
            <w:r>
              <w:rPr>
                <w:rFonts w:ascii="宋体" w:hAnsi="宋体"/>
                <w:color w:val="000000"/>
                <w:kern w:val="0"/>
                <w:sz w:val="24"/>
                <w:szCs w:val="24"/>
              </w:rPr>
              <w:t>F</w:t>
            </w:r>
          </w:p>
        </w:tc>
        <w:tc>
          <w:tcPr>
            <w:tcW w:w="7" w:type="dxa"/>
            <w:vMerge w:val="restart"/>
            <w:tcBorders>
              <w:top w:val="single" w:sz="4" w:space="0" w:color="auto"/>
              <w:left w:val="single" w:sz="4" w:space="0" w:color="auto"/>
              <w:bottom w:val="single" w:sz="4" w:space="0" w:color="auto"/>
              <w:right w:val="single" w:sz="4" w:space="0" w:color="auto"/>
            </w:tcBorders>
            <w:vAlign w:val="center"/>
          </w:tcPr>
          <w:p>
            <w:pPr>
              <w:spacing w:after="0" w:line="240" w:lineRule="auto"/>
              <w:jc w:val="left"/>
            </w:pPr>
            <w:r>
              <w:rPr>
                <w:rFonts w:ascii="宋体" w:hAnsi="宋体"/>
                <w:color w:val="000000"/>
                <w:kern w:val="0"/>
                <w:sz w:val="25"/>
                <w:szCs w:val="24"/>
              </w:rPr>
              <w:t>批发和零售业</w:t>
            </w:r>
          </w:p>
        </w:tc>
        <w:tc>
          <w:tcPr>
            <w:tcW w:w="7" w:type="dxa"/>
            <w:tcBorders>
              <w:top w:val="single" w:sz="4" w:space="0" w:color="auto"/>
              <w:left w:val="single" w:sz="4" w:space="0" w:color="auto"/>
              <w:bottom w:val="single" w:sz="4" w:space="0" w:color="auto"/>
              <w:right w:val="single" w:sz="4" w:space="0" w:color="auto"/>
            </w:tcBorders>
            <w:vAlign w:val="center"/>
          </w:tcPr>
          <w:p>
            <w:pPr>
              <w:widowControl/>
              <w:snapToGrid w:val="0"/>
              <w:spacing w:after="0" w:line="240" w:lineRule="auto"/>
              <w:jc w:val="right"/>
              <w:rPr>
                <w:rFonts w:ascii="宋体" w:hAnsi="宋体"/>
                <w:color w:val="000000"/>
                <w:kern w:val="0"/>
                <w:sz w:val="24"/>
                <w:szCs w:val="24"/>
              </w:rPr>
            </w:pPr>
            <w:r>
              <w:rPr>
                <w:rFonts w:ascii="宋体" w:hAnsi="宋体"/>
                <w:color w:val="000000"/>
                <w:kern w:val="0"/>
                <w:sz w:val="24"/>
                <w:szCs w:val="24"/>
              </w:rPr>
              <w:t>-</w:t>
            </w:r>
          </w:p>
        </w:tc>
        <w:tc>
          <w:tcPr>
            <w:tcW w:w="7" w:type="dxa"/>
            <w:tcBorders>
              <w:top w:val="single" w:sz="4" w:space="0" w:color="auto"/>
              <w:left w:val="single" w:sz="4" w:space="0" w:color="auto"/>
              <w:bottom w:val="single" w:sz="4" w:space="0" w:color="auto"/>
              <w:right w:val="single" w:sz="4" w:space="0" w:color="auto"/>
            </w:tcBorders>
            <w:vAlign w:val="center"/>
          </w:tcPr>
          <w:p>
            <w:pPr>
              <w:widowControl/>
              <w:snapToGrid w:val="0"/>
              <w:spacing w:after="0" w:line="240" w:lineRule="auto"/>
              <w:jc w:val="right"/>
              <w:rPr>
                <w:rFonts w:ascii="宋体" w:hAnsi="宋体"/>
                <w:color w:val="000000"/>
                <w:kern w:val="0"/>
                <w:sz w:val="24"/>
                <w:szCs w:val="24"/>
              </w:rPr>
            </w:pPr>
            <w:r>
              <w:rPr>
                <w:rFonts w:ascii="宋体" w:hAnsi="宋体"/>
                <w:color w:val="000000"/>
                <w:kern w:val="0"/>
                <w:sz w:val="24"/>
                <w:szCs w:val="24"/>
              </w:rPr>
              <w:t>-</w:t>
            </w:r>
          </w:p>
        </w:tc>
      </w:tr>
      <w:tr>
        <w:tblPrEx>
          <w:tblW w:w="5000" w:type="pct"/>
          <w:tblInd w:w="0" w:type="dxa"/>
          <w:tblLayout w:type="fixed"/>
          <w:tblCellMar>
            <w:top w:w="0" w:type="dxa"/>
            <w:left w:w="0" w:type="dxa"/>
            <w:bottom w:w="0" w:type="dxa"/>
            <w:right w:w="0" w:type="dxa"/>
          </w:tblCellMar>
          <w:tblLook w:val="0000"/>
        </w:tblPrEx>
        <w:trPr>
          <w:cantSplit/>
          <w:trHeight w:val="375"/>
        </w:trPr>
        <w:tc>
          <w:tcPr>
            <w:tcW w:w="7" w:type="dxa"/>
            <w:tcBorders>
              <w:top w:val="single" w:sz="4" w:space="0" w:color="auto"/>
              <w:left w:val="single" w:sz="4" w:space="0" w:color="auto"/>
              <w:bottom w:val="single" w:sz="4" w:space="0" w:color="auto"/>
              <w:right w:val="single" w:sz="4" w:space="0" w:color="auto"/>
            </w:tcBorders>
            <w:vAlign w:val="center"/>
          </w:tcPr>
          <w:p>
            <w:pPr>
              <w:widowControl/>
              <w:snapToGrid w:val="0"/>
              <w:spacing w:after="0" w:line="240" w:lineRule="auto"/>
              <w:jc w:val="center"/>
              <w:rPr>
                <w:rFonts w:ascii="宋体" w:hAnsi="宋体"/>
                <w:color w:val="000000"/>
                <w:kern w:val="0"/>
                <w:sz w:val="24"/>
                <w:szCs w:val="24"/>
              </w:rPr>
            </w:pPr>
            <w:r>
              <w:rPr>
                <w:rFonts w:ascii="宋体" w:hAnsi="宋体"/>
                <w:color w:val="000000"/>
                <w:kern w:val="0"/>
                <w:sz w:val="24"/>
                <w:szCs w:val="24"/>
              </w:rPr>
              <w:t>G</w:t>
            </w:r>
          </w:p>
        </w:tc>
        <w:tc>
          <w:tcPr>
            <w:tcW w:w="7" w:type="dxa"/>
            <w:vMerge w:val="restart"/>
            <w:tcBorders>
              <w:top w:val="single" w:sz="4" w:space="0" w:color="auto"/>
              <w:left w:val="single" w:sz="4" w:space="0" w:color="auto"/>
              <w:bottom w:val="single" w:sz="4" w:space="0" w:color="auto"/>
              <w:right w:val="single" w:sz="4" w:space="0" w:color="auto"/>
            </w:tcBorders>
            <w:vAlign w:val="center"/>
          </w:tcPr>
          <w:p>
            <w:pPr>
              <w:spacing w:after="0" w:line="240" w:lineRule="auto"/>
              <w:jc w:val="left"/>
            </w:pPr>
            <w:r>
              <w:rPr>
                <w:rFonts w:ascii="宋体" w:hAnsi="宋体"/>
                <w:color w:val="000000"/>
                <w:kern w:val="0"/>
                <w:sz w:val="25"/>
                <w:szCs w:val="24"/>
              </w:rPr>
              <w:t>交通运输、仓储和邮政业</w:t>
            </w:r>
          </w:p>
        </w:tc>
        <w:tc>
          <w:tcPr>
            <w:tcW w:w="7" w:type="dxa"/>
            <w:tcBorders>
              <w:top w:val="single" w:sz="4" w:space="0" w:color="auto"/>
              <w:left w:val="single" w:sz="4" w:space="0" w:color="auto"/>
              <w:bottom w:val="single" w:sz="4" w:space="0" w:color="auto"/>
              <w:right w:val="single" w:sz="4" w:space="0" w:color="auto"/>
            </w:tcBorders>
            <w:vAlign w:val="center"/>
          </w:tcPr>
          <w:p>
            <w:pPr>
              <w:widowControl/>
              <w:snapToGrid w:val="0"/>
              <w:spacing w:after="0" w:line="240" w:lineRule="auto"/>
              <w:jc w:val="right"/>
              <w:rPr>
                <w:rFonts w:ascii="宋体" w:hAnsi="宋体"/>
                <w:color w:val="000000"/>
                <w:kern w:val="0"/>
                <w:sz w:val="24"/>
                <w:szCs w:val="24"/>
              </w:rPr>
            </w:pPr>
            <w:r>
              <w:rPr>
                <w:rFonts w:ascii="宋体" w:hAnsi="宋体"/>
                <w:color w:val="000000"/>
                <w:kern w:val="0"/>
                <w:sz w:val="24"/>
                <w:szCs w:val="24"/>
              </w:rPr>
              <w:t>409,381.00</w:t>
            </w:r>
          </w:p>
        </w:tc>
        <w:tc>
          <w:tcPr>
            <w:tcW w:w="7" w:type="dxa"/>
            <w:tcBorders>
              <w:top w:val="single" w:sz="4" w:space="0" w:color="auto"/>
              <w:left w:val="single" w:sz="4" w:space="0" w:color="auto"/>
              <w:bottom w:val="single" w:sz="4" w:space="0" w:color="auto"/>
              <w:right w:val="single" w:sz="4" w:space="0" w:color="auto"/>
            </w:tcBorders>
            <w:vAlign w:val="center"/>
          </w:tcPr>
          <w:p>
            <w:pPr>
              <w:widowControl/>
              <w:snapToGrid w:val="0"/>
              <w:spacing w:after="0" w:line="240" w:lineRule="auto"/>
              <w:jc w:val="right"/>
              <w:rPr>
                <w:rFonts w:ascii="宋体" w:hAnsi="宋体"/>
                <w:color w:val="000000"/>
                <w:kern w:val="0"/>
                <w:sz w:val="24"/>
                <w:szCs w:val="24"/>
              </w:rPr>
            </w:pPr>
            <w:r>
              <w:rPr>
                <w:rFonts w:ascii="宋体" w:hAnsi="宋体"/>
                <w:color w:val="000000"/>
                <w:kern w:val="0"/>
                <w:sz w:val="24"/>
                <w:szCs w:val="24"/>
              </w:rPr>
              <w:t>0.82</w:t>
            </w:r>
          </w:p>
        </w:tc>
      </w:tr>
      <w:tr>
        <w:tblPrEx>
          <w:tblW w:w="5000" w:type="pct"/>
          <w:tblInd w:w="0" w:type="dxa"/>
          <w:tblLayout w:type="fixed"/>
          <w:tblCellMar>
            <w:top w:w="0" w:type="dxa"/>
            <w:left w:w="0" w:type="dxa"/>
            <w:bottom w:w="0" w:type="dxa"/>
            <w:right w:w="0" w:type="dxa"/>
          </w:tblCellMar>
          <w:tblLook w:val="0000"/>
        </w:tblPrEx>
        <w:trPr>
          <w:cantSplit/>
          <w:trHeight w:val="375"/>
        </w:trPr>
        <w:tc>
          <w:tcPr>
            <w:tcW w:w="7" w:type="dxa"/>
            <w:tcBorders>
              <w:top w:val="single" w:sz="4" w:space="0" w:color="auto"/>
              <w:left w:val="single" w:sz="4" w:space="0" w:color="auto"/>
              <w:bottom w:val="single" w:sz="4" w:space="0" w:color="auto"/>
              <w:right w:val="single" w:sz="4" w:space="0" w:color="auto"/>
            </w:tcBorders>
            <w:vAlign w:val="center"/>
          </w:tcPr>
          <w:p>
            <w:pPr>
              <w:widowControl/>
              <w:snapToGrid w:val="0"/>
              <w:spacing w:after="0" w:line="240" w:lineRule="auto"/>
              <w:jc w:val="center"/>
              <w:rPr>
                <w:rFonts w:ascii="宋体" w:hAnsi="宋体"/>
                <w:color w:val="000000"/>
                <w:kern w:val="0"/>
                <w:sz w:val="24"/>
                <w:szCs w:val="24"/>
              </w:rPr>
            </w:pPr>
            <w:r>
              <w:rPr>
                <w:rFonts w:ascii="宋体" w:hAnsi="宋体"/>
                <w:color w:val="000000"/>
                <w:kern w:val="0"/>
                <w:sz w:val="24"/>
                <w:szCs w:val="24"/>
              </w:rPr>
              <w:t>H</w:t>
            </w:r>
          </w:p>
        </w:tc>
        <w:tc>
          <w:tcPr>
            <w:tcW w:w="7" w:type="dxa"/>
            <w:vMerge w:val="restart"/>
            <w:tcBorders>
              <w:top w:val="single" w:sz="4" w:space="0" w:color="auto"/>
              <w:left w:val="single" w:sz="4" w:space="0" w:color="auto"/>
              <w:bottom w:val="single" w:sz="4" w:space="0" w:color="auto"/>
              <w:right w:val="single" w:sz="4" w:space="0" w:color="auto"/>
            </w:tcBorders>
            <w:vAlign w:val="center"/>
          </w:tcPr>
          <w:p>
            <w:pPr>
              <w:spacing w:after="0" w:line="240" w:lineRule="auto"/>
              <w:jc w:val="left"/>
            </w:pPr>
            <w:r>
              <w:rPr>
                <w:rFonts w:ascii="宋体" w:hAnsi="宋体"/>
                <w:color w:val="000000"/>
                <w:kern w:val="0"/>
                <w:sz w:val="25"/>
                <w:szCs w:val="24"/>
              </w:rPr>
              <w:t>住宿和餐饮业</w:t>
            </w:r>
          </w:p>
        </w:tc>
        <w:tc>
          <w:tcPr>
            <w:tcW w:w="7" w:type="dxa"/>
            <w:tcBorders>
              <w:top w:val="single" w:sz="4" w:space="0" w:color="auto"/>
              <w:left w:val="single" w:sz="4" w:space="0" w:color="auto"/>
              <w:bottom w:val="single" w:sz="4" w:space="0" w:color="auto"/>
              <w:right w:val="single" w:sz="4" w:space="0" w:color="auto"/>
            </w:tcBorders>
            <w:vAlign w:val="center"/>
          </w:tcPr>
          <w:p>
            <w:pPr>
              <w:widowControl/>
              <w:snapToGrid w:val="0"/>
              <w:spacing w:after="0" w:line="240" w:lineRule="auto"/>
              <w:jc w:val="right"/>
              <w:rPr>
                <w:rFonts w:ascii="宋体" w:hAnsi="宋体"/>
                <w:color w:val="000000"/>
                <w:kern w:val="0"/>
                <w:sz w:val="24"/>
                <w:szCs w:val="24"/>
              </w:rPr>
            </w:pPr>
            <w:r>
              <w:rPr>
                <w:rFonts w:ascii="宋体" w:hAnsi="宋体"/>
                <w:color w:val="000000"/>
                <w:kern w:val="0"/>
                <w:sz w:val="24"/>
                <w:szCs w:val="24"/>
              </w:rPr>
              <w:t>-</w:t>
            </w:r>
          </w:p>
        </w:tc>
        <w:tc>
          <w:tcPr>
            <w:tcW w:w="7" w:type="dxa"/>
            <w:tcBorders>
              <w:top w:val="single" w:sz="4" w:space="0" w:color="auto"/>
              <w:left w:val="single" w:sz="4" w:space="0" w:color="auto"/>
              <w:bottom w:val="single" w:sz="4" w:space="0" w:color="auto"/>
              <w:right w:val="single" w:sz="4" w:space="0" w:color="auto"/>
            </w:tcBorders>
            <w:vAlign w:val="center"/>
          </w:tcPr>
          <w:p>
            <w:pPr>
              <w:widowControl/>
              <w:snapToGrid w:val="0"/>
              <w:spacing w:after="0" w:line="240" w:lineRule="auto"/>
              <w:jc w:val="right"/>
              <w:rPr>
                <w:rFonts w:ascii="宋体" w:hAnsi="宋体"/>
                <w:color w:val="000000"/>
                <w:kern w:val="0"/>
                <w:sz w:val="24"/>
                <w:szCs w:val="24"/>
              </w:rPr>
            </w:pPr>
            <w:r>
              <w:rPr>
                <w:rFonts w:ascii="宋体" w:hAnsi="宋体"/>
                <w:color w:val="000000"/>
                <w:kern w:val="0"/>
                <w:sz w:val="24"/>
                <w:szCs w:val="24"/>
              </w:rPr>
              <w:t>-</w:t>
            </w:r>
          </w:p>
        </w:tc>
      </w:tr>
      <w:tr>
        <w:tblPrEx>
          <w:tblW w:w="5000" w:type="pct"/>
          <w:tblInd w:w="0" w:type="dxa"/>
          <w:tblLayout w:type="fixed"/>
          <w:tblCellMar>
            <w:top w:w="0" w:type="dxa"/>
            <w:left w:w="0" w:type="dxa"/>
            <w:bottom w:w="0" w:type="dxa"/>
            <w:right w:w="0" w:type="dxa"/>
          </w:tblCellMar>
          <w:tblLook w:val="0000"/>
        </w:tblPrEx>
        <w:trPr>
          <w:cantSplit/>
          <w:trHeight w:val="375"/>
        </w:trPr>
        <w:tc>
          <w:tcPr>
            <w:tcW w:w="7" w:type="dxa"/>
            <w:tcBorders>
              <w:top w:val="single" w:sz="4" w:space="0" w:color="auto"/>
              <w:left w:val="single" w:sz="4" w:space="0" w:color="auto"/>
              <w:bottom w:val="single" w:sz="4" w:space="0" w:color="auto"/>
              <w:right w:val="single" w:sz="4" w:space="0" w:color="auto"/>
            </w:tcBorders>
            <w:vAlign w:val="center"/>
          </w:tcPr>
          <w:p>
            <w:pPr>
              <w:widowControl/>
              <w:snapToGrid w:val="0"/>
              <w:spacing w:after="0" w:line="240" w:lineRule="auto"/>
              <w:jc w:val="center"/>
              <w:rPr>
                <w:rFonts w:ascii="宋体" w:hAnsi="宋体"/>
                <w:color w:val="000000"/>
                <w:kern w:val="0"/>
                <w:sz w:val="24"/>
                <w:szCs w:val="24"/>
              </w:rPr>
            </w:pPr>
            <w:r>
              <w:rPr>
                <w:rFonts w:ascii="宋体" w:hAnsi="宋体"/>
                <w:color w:val="000000"/>
                <w:kern w:val="0"/>
                <w:sz w:val="24"/>
                <w:szCs w:val="24"/>
              </w:rPr>
              <w:t>I</w:t>
            </w:r>
          </w:p>
        </w:tc>
        <w:tc>
          <w:tcPr>
            <w:tcW w:w="7" w:type="dxa"/>
            <w:vMerge w:val="restart"/>
            <w:tcBorders>
              <w:top w:val="single" w:sz="4" w:space="0" w:color="auto"/>
              <w:left w:val="single" w:sz="4" w:space="0" w:color="auto"/>
              <w:bottom w:val="single" w:sz="4" w:space="0" w:color="auto"/>
              <w:right w:val="single" w:sz="4" w:space="0" w:color="auto"/>
            </w:tcBorders>
            <w:vAlign w:val="center"/>
          </w:tcPr>
          <w:p>
            <w:pPr>
              <w:spacing w:after="0" w:line="240" w:lineRule="auto"/>
              <w:jc w:val="left"/>
            </w:pPr>
            <w:r>
              <w:rPr>
                <w:rFonts w:ascii="宋体" w:hAnsi="宋体"/>
                <w:color w:val="000000"/>
                <w:kern w:val="0"/>
                <w:sz w:val="25"/>
                <w:szCs w:val="24"/>
              </w:rPr>
              <w:t>信息传输、软件和信息技术服务业</w:t>
            </w:r>
          </w:p>
        </w:tc>
        <w:tc>
          <w:tcPr>
            <w:tcW w:w="7" w:type="dxa"/>
            <w:tcBorders>
              <w:top w:val="single" w:sz="4" w:space="0" w:color="auto"/>
              <w:left w:val="single" w:sz="4" w:space="0" w:color="auto"/>
              <w:bottom w:val="single" w:sz="4" w:space="0" w:color="auto"/>
              <w:right w:val="single" w:sz="4" w:space="0" w:color="auto"/>
            </w:tcBorders>
            <w:vAlign w:val="center"/>
          </w:tcPr>
          <w:p>
            <w:pPr>
              <w:widowControl/>
              <w:snapToGrid w:val="0"/>
              <w:spacing w:after="0" w:line="240" w:lineRule="auto"/>
              <w:jc w:val="right"/>
              <w:rPr>
                <w:rFonts w:ascii="宋体" w:hAnsi="宋体"/>
                <w:color w:val="000000"/>
                <w:kern w:val="0"/>
                <w:sz w:val="24"/>
                <w:szCs w:val="24"/>
              </w:rPr>
            </w:pPr>
            <w:r>
              <w:rPr>
                <w:rFonts w:ascii="宋体" w:hAnsi="宋体"/>
                <w:color w:val="000000"/>
                <w:kern w:val="0"/>
                <w:sz w:val="24"/>
                <w:szCs w:val="24"/>
              </w:rPr>
              <w:t>1,399,044.30</w:t>
            </w:r>
          </w:p>
        </w:tc>
        <w:tc>
          <w:tcPr>
            <w:tcW w:w="7" w:type="dxa"/>
            <w:tcBorders>
              <w:top w:val="single" w:sz="4" w:space="0" w:color="auto"/>
              <w:left w:val="single" w:sz="4" w:space="0" w:color="auto"/>
              <w:bottom w:val="single" w:sz="4" w:space="0" w:color="auto"/>
              <w:right w:val="single" w:sz="4" w:space="0" w:color="auto"/>
            </w:tcBorders>
            <w:vAlign w:val="center"/>
          </w:tcPr>
          <w:p>
            <w:pPr>
              <w:widowControl/>
              <w:snapToGrid w:val="0"/>
              <w:spacing w:after="0" w:line="240" w:lineRule="auto"/>
              <w:jc w:val="right"/>
              <w:rPr>
                <w:rFonts w:ascii="宋体" w:hAnsi="宋体"/>
                <w:color w:val="000000"/>
                <w:kern w:val="0"/>
                <w:sz w:val="24"/>
                <w:szCs w:val="24"/>
              </w:rPr>
            </w:pPr>
            <w:r>
              <w:rPr>
                <w:rFonts w:ascii="宋体" w:hAnsi="宋体"/>
                <w:color w:val="000000"/>
                <w:kern w:val="0"/>
                <w:sz w:val="24"/>
                <w:szCs w:val="24"/>
              </w:rPr>
              <w:t>2.80</w:t>
            </w:r>
          </w:p>
        </w:tc>
      </w:tr>
      <w:tr>
        <w:tblPrEx>
          <w:tblW w:w="5000" w:type="pct"/>
          <w:tblInd w:w="0" w:type="dxa"/>
          <w:tblLayout w:type="fixed"/>
          <w:tblCellMar>
            <w:top w:w="0" w:type="dxa"/>
            <w:left w:w="0" w:type="dxa"/>
            <w:bottom w:w="0" w:type="dxa"/>
            <w:right w:w="0" w:type="dxa"/>
          </w:tblCellMar>
          <w:tblLook w:val="0000"/>
        </w:tblPrEx>
        <w:trPr>
          <w:cantSplit/>
          <w:trHeight w:val="375"/>
        </w:trPr>
        <w:tc>
          <w:tcPr>
            <w:tcW w:w="7" w:type="dxa"/>
            <w:tcBorders>
              <w:top w:val="single" w:sz="4" w:space="0" w:color="auto"/>
              <w:left w:val="single" w:sz="4" w:space="0" w:color="auto"/>
              <w:bottom w:val="single" w:sz="4" w:space="0" w:color="auto"/>
              <w:right w:val="single" w:sz="4" w:space="0" w:color="auto"/>
            </w:tcBorders>
            <w:vAlign w:val="center"/>
          </w:tcPr>
          <w:p>
            <w:pPr>
              <w:widowControl/>
              <w:snapToGrid w:val="0"/>
              <w:spacing w:after="0" w:line="240" w:lineRule="auto"/>
              <w:jc w:val="center"/>
              <w:rPr>
                <w:rFonts w:ascii="宋体" w:hAnsi="宋体"/>
                <w:color w:val="000000"/>
                <w:kern w:val="0"/>
                <w:sz w:val="24"/>
                <w:szCs w:val="24"/>
              </w:rPr>
            </w:pPr>
            <w:r>
              <w:rPr>
                <w:rFonts w:ascii="宋体" w:hAnsi="宋体"/>
                <w:color w:val="000000"/>
                <w:kern w:val="0"/>
                <w:sz w:val="24"/>
                <w:szCs w:val="24"/>
              </w:rPr>
              <w:t>J</w:t>
            </w:r>
          </w:p>
        </w:tc>
        <w:tc>
          <w:tcPr>
            <w:tcW w:w="7" w:type="dxa"/>
            <w:vMerge w:val="restart"/>
            <w:tcBorders>
              <w:top w:val="single" w:sz="4" w:space="0" w:color="auto"/>
              <w:left w:val="single" w:sz="4" w:space="0" w:color="auto"/>
              <w:bottom w:val="single" w:sz="4" w:space="0" w:color="auto"/>
              <w:right w:val="single" w:sz="4" w:space="0" w:color="auto"/>
            </w:tcBorders>
            <w:vAlign w:val="center"/>
          </w:tcPr>
          <w:p>
            <w:pPr>
              <w:spacing w:after="0" w:line="240" w:lineRule="auto"/>
              <w:jc w:val="left"/>
            </w:pPr>
            <w:r>
              <w:rPr>
                <w:rFonts w:ascii="宋体" w:hAnsi="宋体"/>
                <w:color w:val="000000"/>
                <w:kern w:val="0"/>
                <w:sz w:val="25"/>
                <w:szCs w:val="24"/>
              </w:rPr>
              <w:t>金融业</w:t>
            </w:r>
          </w:p>
        </w:tc>
        <w:tc>
          <w:tcPr>
            <w:tcW w:w="7" w:type="dxa"/>
            <w:tcBorders>
              <w:top w:val="single" w:sz="4" w:space="0" w:color="auto"/>
              <w:left w:val="single" w:sz="4" w:space="0" w:color="auto"/>
              <w:bottom w:val="single" w:sz="4" w:space="0" w:color="auto"/>
              <w:right w:val="single" w:sz="4" w:space="0" w:color="auto"/>
            </w:tcBorders>
            <w:vAlign w:val="center"/>
          </w:tcPr>
          <w:p>
            <w:pPr>
              <w:widowControl/>
              <w:snapToGrid w:val="0"/>
              <w:spacing w:after="0" w:line="240" w:lineRule="auto"/>
              <w:jc w:val="right"/>
              <w:rPr>
                <w:rFonts w:ascii="宋体" w:hAnsi="宋体"/>
                <w:color w:val="000000"/>
                <w:kern w:val="0"/>
                <w:sz w:val="24"/>
                <w:szCs w:val="24"/>
              </w:rPr>
            </w:pPr>
            <w:r>
              <w:rPr>
                <w:rFonts w:ascii="宋体" w:hAnsi="宋体"/>
                <w:color w:val="000000"/>
                <w:kern w:val="0"/>
                <w:sz w:val="24"/>
                <w:szCs w:val="24"/>
              </w:rPr>
              <w:t>-</w:t>
            </w:r>
          </w:p>
        </w:tc>
        <w:tc>
          <w:tcPr>
            <w:tcW w:w="7" w:type="dxa"/>
            <w:tcBorders>
              <w:top w:val="single" w:sz="4" w:space="0" w:color="auto"/>
              <w:left w:val="single" w:sz="4" w:space="0" w:color="auto"/>
              <w:bottom w:val="single" w:sz="4" w:space="0" w:color="auto"/>
              <w:right w:val="single" w:sz="4" w:space="0" w:color="auto"/>
            </w:tcBorders>
            <w:vAlign w:val="center"/>
          </w:tcPr>
          <w:p>
            <w:pPr>
              <w:widowControl/>
              <w:snapToGrid w:val="0"/>
              <w:spacing w:after="0" w:line="240" w:lineRule="auto"/>
              <w:jc w:val="right"/>
              <w:rPr>
                <w:rFonts w:ascii="宋体" w:hAnsi="宋体"/>
                <w:color w:val="000000"/>
                <w:kern w:val="0"/>
                <w:sz w:val="24"/>
                <w:szCs w:val="24"/>
              </w:rPr>
            </w:pPr>
            <w:r>
              <w:rPr>
                <w:rFonts w:ascii="宋体" w:hAnsi="宋体"/>
                <w:color w:val="000000"/>
                <w:kern w:val="0"/>
                <w:sz w:val="24"/>
                <w:szCs w:val="24"/>
              </w:rPr>
              <w:t>-</w:t>
            </w:r>
          </w:p>
        </w:tc>
      </w:tr>
      <w:tr>
        <w:tblPrEx>
          <w:tblW w:w="5000" w:type="pct"/>
          <w:tblInd w:w="0" w:type="dxa"/>
          <w:tblLayout w:type="fixed"/>
          <w:tblCellMar>
            <w:top w:w="0" w:type="dxa"/>
            <w:left w:w="0" w:type="dxa"/>
            <w:bottom w:w="0" w:type="dxa"/>
            <w:right w:w="0" w:type="dxa"/>
          </w:tblCellMar>
          <w:tblLook w:val="0000"/>
        </w:tblPrEx>
        <w:trPr>
          <w:cantSplit/>
          <w:trHeight w:val="375"/>
        </w:trPr>
        <w:tc>
          <w:tcPr>
            <w:tcW w:w="7" w:type="dxa"/>
            <w:tcBorders>
              <w:top w:val="single" w:sz="4" w:space="0" w:color="auto"/>
              <w:left w:val="single" w:sz="4" w:space="0" w:color="auto"/>
              <w:bottom w:val="single" w:sz="4" w:space="0" w:color="auto"/>
              <w:right w:val="single" w:sz="4" w:space="0" w:color="auto"/>
            </w:tcBorders>
            <w:vAlign w:val="center"/>
          </w:tcPr>
          <w:p>
            <w:pPr>
              <w:widowControl/>
              <w:snapToGrid w:val="0"/>
              <w:spacing w:after="0" w:line="240" w:lineRule="auto"/>
              <w:jc w:val="center"/>
              <w:rPr>
                <w:rFonts w:ascii="宋体" w:hAnsi="宋体"/>
                <w:color w:val="000000"/>
                <w:kern w:val="0"/>
                <w:sz w:val="24"/>
                <w:szCs w:val="24"/>
              </w:rPr>
            </w:pPr>
            <w:r>
              <w:rPr>
                <w:rFonts w:ascii="宋体" w:hAnsi="宋体"/>
                <w:color w:val="000000"/>
                <w:kern w:val="0"/>
                <w:sz w:val="24"/>
                <w:szCs w:val="24"/>
              </w:rPr>
              <w:t>K</w:t>
            </w:r>
          </w:p>
        </w:tc>
        <w:tc>
          <w:tcPr>
            <w:tcW w:w="7" w:type="dxa"/>
            <w:vMerge w:val="restart"/>
            <w:tcBorders>
              <w:top w:val="single" w:sz="4" w:space="0" w:color="auto"/>
              <w:left w:val="single" w:sz="4" w:space="0" w:color="auto"/>
              <w:bottom w:val="single" w:sz="4" w:space="0" w:color="auto"/>
              <w:right w:val="single" w:sz="4" w:space="0" w:color="auto"/>
            </w:tcBorders>
            <w:vAlign w:val="center"/>
          </w:tcPr>
          <w:p>
            <w:pPr>
              <w:spacing w:after="0" w:line="240" w:lineRule="auto"/>
              <w:jc w:val="left"/>
            </w:pPr>
            <w:r>
              <w:rPr>
                <w:rFonts w:ascii="宋体" w:hAnsi="宋体"/>
                <w:color w:val="000000"/>
                <w:kern w:val="0"/>
                <w:sz w:val="25"/>
                <w:szCs w:val="24"/>
              </w:rPr>
              <w:t>房地产业</w:t>
            </w:r>
          </w:p>
        </w:tc>
        <w:tc>
          <w:tcPr>
            <w:tcW w:w="7" w:type="dxa"/>
            <w:tcBorders>
              <w:top w:val="single" w:sz="4" w:space="0" w:color="auto"/>
              <w:left w:val="single" w:sz="4" w:space="0" w:color="auto"/>
              <w:bottom w:val="single" w:sz="4" w:space="0" w:color="auto"/>
              <w:right w:val="single" w:sz="4" w:space="0" w:color="auto"/>
            </w:tcBorders>
            <w:vAlign w:val="center"/>
          </w:tcPr>
          <w:p>
            <w:pPr>
              <w:widowControl/>
              <w:snapToGrid w:val="0"/>
              <w:spacing w:after="0" w:line="240" w:lineRule="auto"/>
              <w:jc w:val="right"/>
              <w:rPr>
                <w:rFonts w:ascii="宋体" w:hAnsi="宋体"/>
                <w:color w:val="000000"/>
                <w:kern w:val="0"/>
                <w:sz w:val="24"/>
                <w:szCs w:val="24"/>
              </w:rPr>
            </w:pPr>
            <w:r>
              <w:rPr>
                <w:rFonts w:ascii="宋体" w:hAnsi="宋体"/>
                <w:color w:val="000000"/>
                <w:kern w:val="0"/>
                <w:sz w:val="24"/>
                <w:szCs w:val="24"/>
              </w:rPr>
              <w:t>-</w:t>
            </w:r>
          </w:p>
        </w:tc>
        <w:tc>
          <w:tcPr>
            <w:tcW w:w="7" w:type="dxa"/>
            <w:tcBorders>
              <w:top w:val="single" w:sz="4" w:space="0" w:color="auto"/>
              <w:left w:val="single" w:sz="4" w:space="0" w:color="auto"/>
              <w:bottom w:val="single" w:sz="4" w:space="0" w:color="auto"/>
              <w:right w:val="single" w:sz="4" w:space="0" w:color="auto"/>
            </w:tcBorders>
            <w:vAlign w:val="center"/>
          </w:tcPr>
          <w:p>
            <w:pPr>
              <w:widowControl/>
              <w:snapToGrid w:val="0"/>
              <w:spacing w:after="0" w:line="240" w:lineRule="auto"/>
              <w:jc w:val="right"/>
              <w:rPr>
                <w:rFonts w:ascii="宋体" w:hAnsi="宋体"/>
                <w:color w:val="000000"/>
                <w:kern w:val="0"/>
                <w:sz w:val="24"/>
                <w:szCs w:val="24"/>
              </w:rPr>
            </w:pPr>
            <w:r>
              <w:rPr>
                <w:rFonts w:ascii="宋体" w:hAnsi="宋体"/>
                <w:color w:val="000000"/>
                <w:kern w:val="0"/>
                <w:sz w:val="24"/>
                <w:szCs w:val="24"/>
              </w:rPr>
              <w:t>-</w:t>
            </w:r>
          </w:p>
        </w:tc>
      </w:tr>
      <w:tr>
        <w:tblPrEx>
          <w:tblW w:w="5000" w:type="pct"/>
          <w:tblInd w:w="0" w:type="dxa"/>
          <w:tblLayout w:type="fixed"/>
          <w:tblCellMar>
            <w:top w:w="0" w:type="dxa"/>
            <w:left w:w="0" w:type="dxa"/>
            <w:bottom w:w="0" w:type="dxa"/>
            <w:right w:w="0" w:type="dxa"/>
          </w:tblCellMar>
          <w:tblLook w:val="0000"/>
        </w:tblPrEx>
        <w:trPr>
          <w:cantSplit/>
          <w:trHeight w:val="375"/>
        </w:trPr>
        <w:tc>
          <w:tcPr>
            <w:tcW w:w="7" w:type="dxa"/>
            <w:tcBorders>
              <w:top w:val="single" w:sz="4" w:space="0" w:color="auto"/>
              <w:left w:val="single" w:sz="4" w:space="0" w:color="auto"/>
              <w:bottom w:val="single" w:sz="4" w:space="0" w:color="auto"/>
              <w:right w:val="single" w:sz="4" w:space="0" w:color="auto"/>
            </w:tcBorders>
            <w:vAlign w:val="center"/>
          </w:tcPr>
          <w:p>
            <w:pPr>
              <w:widowControl/>
              <w:snapToGrid w:val="0"/>
              <w:spacing w:after="0" w:line="240" w:lineRule="auto"/>
              <w:jc w:val="center"/>
              <w:rPr>
                <w:rFonts w:ascii="宋体" w:hAnsi="宋体"/>
                <w:color w:val="000000"/>
                <w:kern w:val="0"/>
                <w:sz w:val="24"/>
                <w:szCs w:val="24"/>
              </w:rPr>
            </w:pPr>
            <w:r>
              <w:rPr>
                <w:rFonts w:ascii="宋体" w:hAnsi="宋体"/>
                <w:color w:val="000000"/>
                <w:kern w:val="0"/>
                <w:sz w:val="24"/>
                <w:szCs w:val="24"/>
              </w:rPr>
              <w:t>L</w:t>
            </w:r>
          </w:p>
        </w:tc>
        <w:tc>
          <w:tcPr>
            <w:tcW w:w="7" w:type="dxa"/>
            <w:vMerge w:val="restart"/>
            <w:tcBorders>
              <w:top w:val="single" w:sz="4" w:space="0" w:color="auto"/>
              <w:left w:val="single" w:sz="4" w:space="0" w:color="auto"/>
              <w:bottom w:val="single" w:sz="4" w:space="0" w:color="auto"/>
              <w:right w:val="single" w:sz="4" w:space="0" w:color="auto"/>
            </w:tcBorders>
            <w:vAlign w:val="center"/>
          </w:tcPr>
          <w:p>
            <w:pPr>
              <w:spacing w:after="0" w:line="240" w:lineRule="auto"/>
              <w:jc w:val="left"/>
            </w:pPr>
            <w:r>
              <w:rPr>
                <w:rFonts w:ascii="宋体" w:hAnsi="宋体"/>
                <w:color w:val="000000"/>
                <w:kern w:val="0"/>
                <w:sz w:val="25"/>
                <w:szCs w:val="24"/>
              </w:rPr>
              <w:t>租赁和商务服务业</w:t>
            </w:r>
          </w:p>
        </w:tc>
        <w:tc>
          <w:tcPr>
            <w:tcW w:w="7" w:type="dxa"/>
            <w:tcBorders>
              <w:top w:val="single" w:sz="4" w:space="0" w:color="auto"/>
              <w:left w:val="single" w:sz="4" w:space="0" w:color="auto"/>
              <w:bottom w:val="single" w:sz="4" w:space="0" w:color="auto"/>
              <w:right w:val="single" w:sz="4" w:space="0" w:color="auto"/>
            </w:tcBorders>
            <w:vAlign w:val="center"/>
          </w:tcPr>
          <w:p>
            <w:pPr>
              <w:widowControl/>
              <w:snapToGrid w:val="0"/>
              <w:spacing w:after="0" w:line="240" w:lineRule="auto"/>
              <w:jc w:val="right"/>
              <w:rPr>
                <w:rFonts w:ascii="宋体" w:hAnsi="宋体"/>
                <w:color w:val="000000"/>
                <w:kern w:val="0"/>
                <w:sz w:val="24"/>
                <w:szCs w:val="24"/>
              </w:rPr>
            </w:pPr>
            <w:r>
              <w:rPr>
                <w:rFonts w:ascii="宋体" w:hAnsi="宋体"/>
                <w:color w:val="000000"/>
                <w:kern w:val="0"/>
                <w:sz w:val="24"/>
                <w:szCs w:val="24"/>
              </w:rPr>
              <w:t>-</w:t>
            </w:r>
          </w:p>
        </w:tc>
        <w:tc>
          <w:tcPr>
            <w:tcW w:w="7" w:type="dxa"/>
            <w:tcBorders>
              <w:top w:val="single" w:sz="4" w:space="0" w:color="auto"/>
              <w:left w:val="single" w:sz="4" w:space="0" w:color="auto"/>
              <w:bottom w:val="single" w:sz="4" w:space="0" w:color="auto"/>
              <w:right w:val="single" w:sz="4" w:space="0" w:color="auto"/>
            </w:tcBorders>
            <w:vAlign w:val="center"/>
          </w:tcPr>
          <w:p>
            <w:pPr>
              <w:widowControl/>
              <w:snapToGrid w:val="0"/>
              <w:spacing w:after="0" w:line="240" w:lineRule="auto"/>
              <w:jc w:val="right"/>
              <w:rPr>
                <w:rFonts w:ascii="宋体" w:hAnsi="宋体"/>
                <w:color w:val="000000"/>
                <w:kern w:val="0"/>
                <w:sz w:val="24"/>
                <w:szCs w:val="24"/>
              </w:rPr>
            </w:pPr>
            <w:r>
              <w:rPr>
                <w:rFonts w:ascii="宋体" w:hAnsi="宋体"/>
                <w:color w:val="000000"/>
                <w:kern w:val="0"/>
                <w:sz w:val="24"/>
                <w:szCs w:val="24"/>
              </w:rPr>
              <w:t>-</w:t>
            </w:r>
          </w:p>
        </w:tc>
      </w:tr>
      <w:tr>
        <w:tblPrEx>
          <w:tblW w:w="5000" w:type="pct"/>
          <w:tblInd w:w="0" w:type="dxa"/>
          <w:tblLayout w:type="fixed"/>
          <w:tblCellMar>
            <w:top w:w="0" w:type="dxa"/>
            <w:left w:w="0" w:type="dxa"/>
            <w:bottom w:w="0" w:type="dxa"/>
            <w:right w:w="0" w:type="dxa"/>
          </w:tblCellMar>
          <w:tblLook w:val="0000"/>
        </w:tblPrEx>
        <w:trPr>
          <w:cantSplit/>
          <w:trHeight w:val="375"/>
        </w:trPr>
        <w:tc>
          <w:tcPr>
            <w:tcW w:w="7" w:type="dxa"/>
            <w:tcBorders>
              <w:top w:val="single" w:sz="4" w:space="0" w:color="auto"/>
              <w:left w:val="single" w:sz="4" w:space="0" w:color="auto"/>
              <w:bottom w:val="single" w:sz="4" w:space="0" w:color="auto"/>
              <w:right w:val="single" w:sz="4" w:space="0" w:color="auto"/>
            </w:tcBorders>
            <w:vAlign w:val="center"/>
          </w:tcPr>
          <w:p>
            <w:pPr>
              <w:widowControl/>
              <w:snapToGrid w:val="0"/>
              <w:spacing w:after="0" w:line="240" w:lineRule="auto"/>
              <w:jc w:val="center"/>
              <w:rPr>
                <w:rFonts w:ascii="宋体" w:hAnsi="宋体"/>
                <w:color w:val="000000"/>
                <w:kern w:val="0"/>
                <w:sz w:val="24"/>
                <w:szCs w:val="24"/>
              </w:rPr>
            </w:pPr>
            <w:r>
              <w:rPr>
                <w:rFonts w:ascii="宋体" w:hAnsi="宋体"/>
                <w:color w:val="000000"/>
                <w:kern w:val="0"/>
                <w:sz w:val="24"/>
                <w:szCs w:val="24"/>
              </w:rPr>
              <w:t>M</w:t>
            </w:r>
          </w:p>
        </w:tc>
        <w:tc>
          <w:tcPr>
            <w:tcW w:w="7" w:type="dxa"/>
            <w:vMerge w:val="restart"/>
            <w:tcBorders>
              <w:top w:val="single" w:sz="4" w:space="0" w:color="auto"/>
              <w:left w:val="single" w:sz="4" w:space="0" w:color="auto"/>
              <w:bottom w:val="single" w:sz="4" w:space="0" w:color="auto"/>
              <w:right w:val="single" w:sz="4" w:space="0" w:color="auto"/>
            </w:tcBorders>
            <w:vAlign w:val="center"/>
          </w:tcPr>
          <w:p>
            <w:pPr>
              <w:spacing w:after="0" w:line="240" w:lineRule="auto"/>
              <w:jc w:val="left"/>
            </w:pPr>
            <w:r>
              <w:rPr>
                <w:rFonts w:ascii="宋体" w:hAnsi="宋体"/>
                <w:color w:val="000000"/>
                <w:kern w:val="0"/>
                <w:sz w:val="25"/>
                <w:szCs w:val="24"/>
              </w:rPr>
              <w:t>科学研究和技术服务业</w:t>
            </w:r>
          </w:p>
        </w:tc>
        <w:tc>
          <w:tcPr>
            <w:tcW w:w="7" w:type="dxa"/>
            <w:tcBorders>
              <w:top w:val="single" w:sz="4" w:space="0" w:color="auto"/>
              <w:left w:val="single" w:sz="4" w:space="0" w:color="auto"/>
              <w:bottom w:val="single" w:sz="4" w:space="0" w:color="auto"/>
              <w:right w:val="single" w:sz="4" w:space="0" w:color="auto"/>
            </w:tcBorders>
            <w:vAlign w:val="center"/>
          </w:tcPr>
          <w:p>
            <w:pPr>
              <w:widowControl/>
              <w:snapToGrid w:val="0"/>
              <w:spacing w:after="0" w:line="240" w:lineRule="auto"/>
              <w:jc w:val="right"/>
              <w:rPr>
                <w:rFonts w:ascii="宋体" w:hAnsi="宋体"/>
                <w:color w:val="000000"/>
                <w:kern w:val="0"/>
                <w:sz w:val="24"/>
                <w:szCs w:val="24"/>
              </w:rPr>
            </w:pPr>
            <w:r>
              <w:rPr>
                <w:rFonts w:ascii="宋体" w:hAnsi="宋体"/>
                <w:color w:val="000000"/>
                <w:kern w:val="0"/>
                <w:sz w:val="24"/>
                <w:szCs w:val="24"/>
              </w:rPr>
              <w:t>-</w:t>
            </w:r>
          </w:p>
        </w:tc>
        <w:tc>
          <w:tcPr>
            <w:tcW w:w="7" w:type="dxa"/>
            <w:tcBorders>
              <w:top w:val="single" w:sz="4" w:space="0" w:color="auto"/>
              <w:left w:val="single" w:sz="4" w:space="0" w:color="auto"/>
              <w:bottom w:val="single" w:sz="4" w:space="0" w:color="auto"/>
              <w:right w:val="single" w:sz="4" w:space="0" w:color="auto"/>
            </w:tcBorders>
            <w:vAlign w:val="center"/>
          </w:tcPr>
          <w:p>
            <w:pPr>
              <w:widowControl/>
              <w:snapToGrid w:val="0"/>
              <w:spacing w:after="0" w:line="240" w:lineRule="auto"/>
              <w:jc w:val="right"/>
              <w:rPr>
                <w:rFonts w:ascii="宋体" w:hAnsi="宋体"/>
                <w:color w:val="000000"/>
                <w:kern w:val="0"/>
                <w:sz w:val="24"/>
                <w:szCs w:val="24"/>
              </w:rPr>
            </w:pPr>
            <w:r>
              <w:rPr>
                <w:rFonts w:ascii="宋体" w:hAnsi="宋体"/>
                <w:color w:val="000000"/>
                <w:kern w:val="0"/>
                <w:sz w:val="24"/>
                <w:szCs w:val="24"/>
              </w:rPr>
              <w:t>-</w:t>
            </w:r>
          </w:p>
        </w:tc>
      </w:tr>
      <w:tr>
        <w:tblPrEx>
          <w:tblW w:w="5000" w:type="pct"/>
          <w:tblInd w:w="0" w:type="dxa"/>
          <w:tblLayout w:type="fixed"/>
          <w:tblCellMar>
            <w:top w:w="0" w:type="dxa"/>
            <w:left w:w="0" w:type="dxa"/>
            <w:bottom w:w="0" w:type="dxa"/>
            <w:right w:w="0" w:type="dxa"/>
          </w:tblCellMar>
          <w:tblLook w:val="0000"/>
        </w:tblPrEx>
        <w:trPr>
          <w:cantSplit/>
          <w:trHeight w:val="375"/>
        </w:trPr>
        <w:tc>
          <w:tcPr>
            <w:tcW w:w="7" w:type="dxa"/>
            <w:tcBorders>
              <w:top w:val="single" w:sz="4" w:space="0" w:color="auto"/>
              <w:left w:val="single" w:sz="4" w:space="0" w:color="auto"/>
              <w:bottom w:val="single" w:sz="4" w:space="0" w:color="auto"/>
              <w:right w:val="single" w:sz="4" w:space="0" w:color="auto"/>
            </w:tcBorders>
            <w:vAlign w:val="center"/>
          </w:tcPr>
          <w:p>
            <w:pPr>
              <w:widowControl/>
              <w:snapToGrid w:val="0"/>
              <w:spacing w:after="0" w:line="240" w:lineRule="auto"/>
              <w:jc w:val="center"/>
              <w:rPr>
                <w:rFonts w:ascii="宋体" w:hAnsi="宋体"/>
                <w:color w:val="000000"/>
                <w:kern w:val="0"/>
                <w:sz w:val="24"/>
                <w:szCs w:val="24"/>
              </w:rPr>
            </w:pPr>
            <w:r>
              <w:rPr>
                <w:rFonts w:ascii="宋体" w:hAnsi="宋体"/>
                <w:color w:val="000000"/>
                <w:kern w:val="0"/>
                <w:sz w:val="24"/>
                <w:szCs w:val="24"/>
              </w:rPr>
              <w:t>N</w:t>
            </w:r>
          </w:p>
        </w:tc>
        <w:tc>
          <w:tcPr>
            <w:tcW w:w="7" w:type="dxa"/>
            <w:vMerge w:val="restart"/>
            <w:tcBorders>
              <w:top w:val="single" w:sz="4" w:space="0" w:color="auto"/>
              <w:left w:val="single" w:sz="4" w:space="0" w:color="auto"/>
              <w:bottom w:val="single" w:sz="4" w:space="0" w:color="auto"/>
              <w:right w:val="single" w:sz="4" w:space="0" w:color="auto"/>
            </w:tcBorders>
            <w:vAlign w:val="center"/>
          </w:tcPr>
          <w:p>
            <w:pPr>
              <w:spacing w:after="0" w:line="240" w:lineRule="auto"/>
              <w:jc w:val="left"/>
            </w:pPr>
            <w:r>
              <w:rPr>
                <w:rFonts w:ascii="宋体" w:hAnsi="宋体"/>
                <w:color w:val="000000"/>
                <w:kern w:val="0"/>
                <w:sz w:val="25"/>
                <w:szCs w:val="24"/>
              </w:rPr>
              <w:t>水利、环境和公共设施管理业</w:t>
            </w:r>
          </w:p>
        </w:tc>
        <w:tc>
          <w:tcPr>
            <w:tcW w:w="7" w:type="dxa"/>
            <w:tcBorders>
              <w:top w:val="single" w:sz="4" w:space="0" w:color="auto"/>
              <w:left w:val="single" w:sz="4" w:space="0" w:color="auto"/>
              <w:bottom w:val="single" w:sz="4" w:space="0" w:color="auto"/>
              <w:right w:val="single" w:sz="4" w:space="0" w:color="auto"/>
            </w:tcBorders>
            <w:vAlign w:val="center"/>
          </w:tcPr>
          <w:p>
            <w:pPr>
              <w:widowControl/>
              <w:snapToGrid w:val="0"/>
              <w:spacing w:after="0" w:line="240" w:lineRule="auto"/>
              <w:jc w:val="right"/>
              <w:rPr>
                <w:rFonts w:ascii="宋体" w:hAnsi="宋体"/>
                <w:color w:val="000000"/>
                <w:kern w:val="0"/>
                <w:sz w:val="24"/>
                <w:szCs w:val="24"/>
              </w:rPr>
            </w:pPr>
            <w:r>
              <w:rPr>
                <w:rFonts w:ascii="宋体" w:hAnsi="宋体"/>
                <w:color w:val="000000"/>
                <w:kern w:val="0"/>
                <w:sz w:val="24"/>
                <w:szCs w:val="24"/>
              </w:rPr>
              <w:t>38,714.78</w:t>
            </w:r>
          </w:p>
        </w:tc>
        <w:tc>
          <w:tcPr>
            <w:tcW w:w="7" w:type="dxa"/>
            <w:tcBorders>
              <w:top w:val="single" w:sz="4" w:space="0" w:color="auto"/>
              <w:left w:val="single" w:sz="4" w:space="0" w:color="auto"/>
              <w:bottom w:val="single" w:sz="4" w:space="0" w:color="auto"/>
              <w:right w:val="single" w:sz="4" w:space="0" w:color="auto"/>
            </w:tcBorders>
            <w:vAlign w:val="center"/>
          </w:tcPr>
          <w:p>
            <w:pPr>
              <w:widowControl/>
              <w:snapToGrid w:val="0"/>
              <w:spacing w:after="0" w:line="240" w:lineRule="auto"/>
              <w:jc w:val="right"/>
              <w:rPr>
                <w:rFonts w:ascii="宋体" w:hAnsi="宋体"/>
                <w:color w:val="000000"/>
                <w:kern w:val="0"/>
                <w:sz w:val="24"/>
                <w:szCs w:val="24"/>
              </w:rPr>
            </w:pPr>
            <w:r>
              <w:rPr>
                <w:rFonts w:ascii="宋体" w:hAnsi="宋体"/>
                <w:color w:val="000000"/>
                <w:kern w:val="0"/>
                <w:sz w:val="24"/>
                <w:szCs w:val="24"/>
              </w:rPr>
              <w:t>0.08</w:t>
            </w:r>
          </w:p>
        </w:tc>
      </w:tr>
      <w:tr>
        <w:tblPrEx>
          <w:tblW w:w="5000" w:type="pct"/>
          <w:tblInd w:w="0" w:type="dxa"/>
          <w:tblLayout w:type="fixed"/>
          <w:tblCellMar>
            <w:top w:w="0" w:type="dxa"/>
            <w:left w:w="0" w:type="dxa"/>
            <w:bottom w:w="0" w:type="dxa"/>
            <w:right w:w="0" w:type="dxa"/>
          </w:tblCellMar>
          <w:tblLook w:val="0000"/>
        </w:tblPrEx>
        <w:trPr>
          <w:cantSplit/>
          <w:trHeight w:val="375"/>
        </w:trPr>
        <w:tc>
          <w:tcPr>
            <w:tcW w:w="7" w:type="dxa"/>
            <w:tcBorders>
              <w:top w:val="single" w:sz="4" w:space="0" w:color="auto"/>
              <w:left w:val="single" w:sz="4" w:space="0" w:color="auto"/>
              <w:bottom w:val="single" w:sz="4" w:space="0" w:color="auto"/>
              <w:right w:val="single" w:sz="4" w:space="0" w:color="auto"/>
            </w:tcBorders>
            <w:vAlign w:val="center"/>
          </w:tcPr>
          <w:p>
            <w:pPr>
              <w:widowControl/>
              <w:snapToGrid w:val="0"/>
              <w:spacing w:after="0" w:line="240" w:lineRule="auto"/>
              <w:jc w:val="center"/>
              <w:rPr>
                <w:rFonts w:ascii="宋体" w:hAnsi="宋体"/>
                <w:color w:val="000000"/>
                <w:kern w:val="0"/>
                <w:sz w:val="24"/>
                <w:szCs w:val="24"/>
              </w:rPr>
            </w:pPr>
            <w:r>
              <w:rPr>
                <w:rFonts w:ascii="宋体" w:hAnsi="宋体"/>
                <w:color w:val="000000"/>
                <w:kern w:val="0"/>
                <w:sz w:val="24"/>
                <w:szCs w:val="24"/>
              </w:rPr>
              <w:t>O</w:t>
            </w:r>
          </w:p>
        </w:tc>
        <w:tc>
          <w:tcPr>
            <w:tcW w:w="7" w:type="dxa"/>
            <w:vMerge w:val="restart"/>
            <w:tcBorders>
              <w:top w:val="single" w:sz="4" w:space="0" w:color="auto"/>
              <w:left w:val="single" w:sz="4" w:space="0" w:color="auto"/>
              <w:bottom w:val="single" w:sz="4" w:space="0" w:color="auto"/>
              <w:right w:val="single" w:sz="4" w:space="0" w:color="auto"/>
            </w:tcBorders>
            <w:vAlign w:val="center"/>
          </w:tcPr>
          <w:p>
            <w:pPr>
              <w:spacing w:after="0" w:line="240" w:lineRule="auto"/>
              <w:jc w:val="left"/>
            </w:pPr>
            <w:r>
              <w:rPr>
                <w:rFonts w:ascii="宋体" w:hAnsi="宋体"/>
                <w:color w:val="000000"/>
                <w:kern w:val="0"/>
                <w:sz w:val="25"/>
                <w:szCs w:val="24"/>
              </w:rPr>
              <w:t>居民服务、修理和其他服务业</w:t>
            </w:r>
          </w:p>
        </w:tc>
        <w:tc>
          <w:tcPr>
            <w:tcW w:w="7" w:type="dxa"/>
            <w:tcBorders>
              <w:top w:val="single" w:sz="4" w:space="0" w:color="auto"/>
              <w:left w:val="single" w:sz="4" w:space="0" w:color="auto"/>
              <w:bottom w:val="single" w:sz="4" w:space="0" w:color="auto"/>
              <w:right w:val="single" w:sz="4" w:space="0" w:color="auto"/>
            </w:tcBorders>
            <w:vAlign w:val="center"/>
          </w:tcPr>
          <w:p>
            <w:pPr>
              <w:widowControl/>
              <w:snapToGrid w:val="0"/>
              <w:spacing w:after="0" w:line="240" w:lineRule="auto"/>
              <w:jc w:val="right"/>
              <w:rPr>
                <w:rFonts w:ascii="宋体" w:hAnsi="宋体"/>
                <w:color w:val="000000"/>
                <w:kern w:val="0"/>
                <w:sz w:val="24"/>
                <w:szCs w:val="24"/>
              </w:rPr>
            </w:pPr>
            <w:r>
              <w:rPr>
                <w:rFonts w:ascii="宋体" w:hAnsi="宋体"/>
                <w:color w:val="000000"/>
                <w:kern w:val="0"/>
                <w:sz w:val="24"/>
                <w:szCs w:val="24"/>
              </w:rPr>
              <w:t>-</w:t>
            </w:r>
          </w:p>
        </w:tc>
        <w:tc>
          <w:tcPr>
            <w:tcW w:w="7" w:type="dxa"/>
            <w:tcBorders>
              <w:top w:val="single" w:sz="4" w:space="0" w:color="auto"/>
              <w:left w:val="single" w:sz="4" w:space="0" w:color="auto"/>
              <w:bottom w:val="single" w:sz="4" w:space="0" w:color="auto"/>
              <w:right w:val="single" w:sz="4" w:space="0" w:color="auto"/>
            </w:tcBorders>
            <w:vAlign w:val="center"/>
          </w:tcPr>
          <w:p>
            <w:pPr>
              <w:widowControl/>
              <w:snapToGrid w:val="0"/>
              <w:spacing w:after="0" w:line="240" w:lineRule="auto"/>
              <w:jc w:val="right"/>
              <w:rPr>
                <w:rFonts w:ascii="宋体" w:hAnsi="宋体"/>
                <w:color w:val="000000"/>
                <w:kern w:val="0"/>
                <w:sz w:val="24"/>
                <w:szCs w:val="24"/>
              </w:rPr>
            </w:pPr>
            <w:r>
              <w:rPr>
                <w:rFonts w:ascii="宋体" w:hAnsi="宋体"/>
                <w:color w:val="000000"/>
                <w:kern w:val="0"/>
                <w:sz w:val="24"/>
                <w:szCs w:val="24"/>
              </w:rPr>
              <w:t>-</w:t>
            </w:r>
          </w:p>
        </w:tc>
      </w:tr>
      <w:tr>
        <w:tblPrEx>
          <w:tblW w:w="5000" w:type="pct"/>
          <w:tblInd w:w="0" w:type="dxa"/>
          <w:tblLayout w:type="fixed"/>
          <w:tblCellMar>
            <w:top w:w="0" w:type="dxa"/>
            <w:left w:w="0" w:type="dxa"/>
            <w:bottom w:w="0" w:type="dxa"/>
            <w:right w:w="0" w:type="dxa"/>
          </w:tblCellMar>
          <w:tblLook w:val="0000"/>
        </w:tblPrEx>
        <w:trPr>
          <w:cantSplit/>
          <w:trHeight w:val="375"/>
        </w:trPr>
        <w:tc>
          <w:tcPr>
            <w:tcW w:w="7" w:type="dxa"/>
            <w:tcBorders>
              <w:top w:val="single" w:sz="4" w:space="0" w:color="auto"/>
              <w:left w:val="single" w:sz="4" w:space="0" w:color="auto"/>
              <w:bottom w:val="single" w:sz="4" w:space="0" w:color="auto"/>
              <w:right w:val="single" w:sz="4" w:space="0" w:color="auto"/>
            </w:tcBorders>
            <w:vAlign w:val="center"/>
          </w:tcPr>
          <w:p>
            <w:pPr>
              <w:widowControl/>
              <w:snapToGrid w:val="0"/>
              <w:spacing w:after="0" w:line="240" w:lineRule="auto"/>
              <w:jc w:val="center"/>
              <w:rPr>
                <w:rFonts w:ascii="宋体" w:hAnsi="宋体"/>
                <w:color w:val="000000"/>
                <w:kern w:val="0"/>
                <w:sz w:val="24"/>
                <w:szCs w:val="24"/>
              </w:rPr>
            </w:pPr>
            <w:r>
              <w:rPr>
                <w:rFonts w:ascii="宋体" w:hAnsi="宋体"/>
                <w:color w:val="000000"/>
                <w:kern w:val="0"/>
                <w:sz w:val="24"/>
                <w:szCs w:val="24"/>
              </w:rPr>
              <w:t>P</w:t>
            </w:r>
          </w:p>
        </w:tc>
        <w:tc>
          <w:tcPr>
            <w:tcW w:w="7" w:type="dxa"/>
            <w:tcBorders>
              <w:top w:val="single" w:sz="4" w:space="0" w:color="auto"/>
              <w:left w:val="single" w:sz="4" w:space="0" w:color="auto"/>
              <w:bottom w:val="single" w:sz="4" w:space="0" w:color="auto"/>
              <w:right w:val="single" w:sz="4" w:space="0" w:color="auto"/>
            </w:tcBorders>
            <w:vAlign w:val="center"/>
          </w:tcPr>
          <w:p>
            <w:pPr>
              <w:spacing w:after="0" w:line="240" w:lineRule="auto"/>
              <w:jc w:val="left"/>
            </w:pPr>
            <w:r>
              <w:rPr>
                <w:rFonts w:ascii="宋体" w:hAnsi="宋体"/>
                <w:color w:val="000000"/>
                <w:kern w:val="0"/>
                <w:sz w:val="25"/>
                <w:szCs w:val="24"/>
              </w:rPr>
              <w:t>教育</w:t>
            </w:r>
          </w:p>
        </w:tc>
        <w:tc>
          <w:tcPr>
            <w:tcW w:w="7" w:type="dxa"/>
            <w:tcBorders>
              <w:top w:val="single" w:sz="4" w:space="0" w:color="auto"/>
              <w:left w:val="single" w:sz="4" w:space="0" w:color="auto"/>
              <w:bottom w:val="single" w:sz="4" w:space="0" w:color="auto"/>
              <w:right w:val="single" w:sz="4" w:space="0" w:color="auto"/>
            </w:tcBorders>
            <w:vAlign w:val="center"/>
          </w:tcPr>
          <w:p>
            <w:pPr>
              <w:widowControl/>
              <w:snapToGrid w:val="0"/>
              <w:spacing w:after="0" w:line="240" w:lineRule="auto"/>
              <w:jc w:val="right"/>
              <w:rPr>
                <w:rFonts w:ascii="宋体" w:hAnsi="宋体"/>
                <w:color w:val="000000"/>
                <w:kern w:val="0"/>
                <w:sz w:val="24"/>
                <w:szCs w:val="24"/>
              </w:rPr>
            </w:pPr>
            <w:r>
              <w:rPr>
                <w:rFonts w:ascii="宋体" w:hAnsi="宋体"/>
                <w:color w:val="000000"/>
                <w:kern w:val="0"/>
                <w:sz w:val="24"/>
                <w:szCs w:val="24"/>
              </w:rPr>
              <w:t>-</w:t>
            </w:r>
          </w:p>
        </w:tc>
        <w:tc>
          <w:tcPr>
            <w:tcW w:w="7" w:type="dxa"/>
            <w:tcBorders>
              <w:top w:val="single" w:sz="4" w:space="0" w:color="auto"/>
              <w:left w:val="single" w:sz="4" w:space="0" w:color="auto"/>
              <w:bottom w:val="single" w:sz="4" w:space="0" w:color="auto"/>
              <w:right w:val="single" w:sz="4" w:space="0" w:color="auto"/>
            </w:tcBorders>
            <w:vAlign w:val="center"/>
          </w:tcPr>
          <w:p>
            <w:pPr>
              <w:widowControl/>
              <w:snapToGrid w:val="0"/>
              <w:spacing w:after="0" w:line="240" w:lineRule="auto"/>
              <w:jc w:val="right"/>
              <w:rPr>
                <w:rFonts w:ascii="宋体" w:hAnsi="宋体"/>
                <w:color w:val="000000"/>
                <w:kern w:val="0"/>
                <w:sz w:val="24"/>
                <w:szCs w:val="24"/>
              </w:rPr>
            </w:pPr>
            <w:r>
              <w:rPr>
                <w:rFonts w:ascii="宋体" w:hAnsi="宋体"/>
                <w:color w:val="000000"/>
                <w:kern w:val="0"/>
                <w:sz w:val="24"/>
                <w:szCs w:val="24"/>
              </w:rPr>
              <w:t>-</w:t>
            </w:r>
          </w:p>
        </w:tc>
      </w:tr>
      <w:tr>
        <w:tblPrEx>
          <w:tblW w:w="5000" w:type="pct"/>
          <w:tblInd w:w="0" w:type="dxa"/>
          <w:tblLayout w:type="fixed"/>
          <w:tblCellMar>
            <w:top w:w="0" w:type="dxa"/>
            <w:left w:w="0" w:type="dxa"/>
            <w:bottom w:w="0" w:type="dxa"/>
            <w:right w:w="0" w:type="dxa"/>
          </w:tblCellMar>
          <w:tblLook w:val="0000"/>
        </w:tblPrEx>
        <w:trPr>
          <w:cantSplit/>
          <w:trHeight w:val="375"/>
        </w:trPr>
        <w:tc>
          <w:tcPr>
            <w:tcW w:w="7" w:type="dxa"/>
            <w:tcBorders>
              <w:top w:val="single" w:sz="4" w:space="0" w:color="auto"/>
              <w:left w:val="single" w:sz="4" w:space="0" w:color="auto"/>
              <w:bottom w:val="single" w:sz="4" w:space="0" w:color="auto"/>
              <w:right w:val="single" w:sz="4" w:space="0" w:color="auto"/>
            </w:tcBorders>
            <w:vAlign w:val="center"/>
          </w:tcPr>
          <w:p>
            <w:pPr>
              <w:widowControl/>
              <w:snapToGrid w:val="0"/>
              <w:spacing w:after="0" w:line="240" w:lineRule="auto"/>
              <w:jc w:val="center"/>
              <w:rPr>
                <w:rFonts w:ascii="宋体" w:hAnsi="宋体"/>
                <w:color w:val="000000"/>
                <w:kern w:val="0"/>
                <w:sz w:val="24"/>
                <w:szCs w:val="24"/>
              </w:rPr>
            </w:pPr>
            <w:r>
              <w:rPr>
                <w:rFonts w:ascii="宋体" w:hAnsi="宋体"/>
                <w:color w:val="000000"/>
                <w:kern w:val="0"/>
                <w:sz w:val="24"/>
                <w:szCs w:val="24"/>
              </w:rPr>
              <w:t>Q</w:t>
            </w:r>
          </w:p>
        </w:tc>
        <w:tc>
          <w:tcPr>
            <w:tcW w:w="7" w:type="dxa"/>
            <w:tcBorders>
              <w:top w:val="single" w:sz="4" w:space="0" w:color="auto"/>
              <w:left w:val="single" w:sz="4" w:space="0" w:color="auto"/>
              <w:bottom w:val="single" w:sz="4" w:space="0" w:color="auto"/>
              <w:right w:val="single" w:sz="4" w:space="0" w:color="auto"/>
            </w:tcBorders>
            <w:vAlign w:val="center"/>
          </w:tcPr>
          <w:p>
            <w:pPr>
              <w:spacing w:after="0" w:line="240" w:lineRule="auto"/>
              <w:jc w:val="left"/>
            </w:pPr>
            <w:r>
              <w:rPr>
                <w:rFonts w:ascii="宋体" w:hAnsi="宋体"/>
                <w:color w:val="000000"/>
                <w:kern w:val="0"/>
                <w:sz w:val="25"/>
                <w:szCs w:val="24"/>
              </w:rPr>
              <w:t>卫生和社会工作</w:t>
            </w:r>
          </w:p>
        </w:tc>
        <w:tc>
          <w:tcPr>
            <w:tcW w:w="7" w:type="dxa"/>
            <w:tcBorders>
              <w:top w:val="single" w:sz="4" w:space="0" w:color="auto"/>
              <w:left w:val="single" w:sz="4" w:space="0" w:color="auto"/>
              <w:bottom w:val="single" w:sz="4" w:space="0" w:color="auto"/>
              <w:right w:val="single" w:sz="4" w:space="0" w:color="auto"/>
            </w:tcBorders>
            <w:vAlign w:val="center"/>
          </w:tcPr>
          <w:p>
            <w:pPr>
              <w:widowControl/>
              <w:snapToGrid w:val="0"/>
              <w:spacing w:after="0" w:line="240" w:lineRule="auto"/>
              <w:jc w:val="right"/>
              <w:rPr>
                <w:rFonts w:ascii="宋体" w:hAnsi="宋体"/>
                <w:color w:val="000000"/>
                <w:kern w:val="0"/>
                <w:sz w:val="24"/>
                <w:szCs w:val="24"/>
              </w:rPr>
            </w:pPr>
            <w:r>
              <w:rPr>
                <w:rFonts w:ascii="宋体" w:hAnsi="宋体"/>
                <w:color w:val="000000"/>
                <w:kern w:val="0"/>
                <w:sz w:val="24"/>
                <w:szCs w:val="24"/>
              </w:rPr>
              <w:t>-</w:t>
            </w:r>
          </w:p>
        </w:tc>
        <w:tc>
          <w:tcPr>
            <w:tcW w:w="7" w:type="dxa"/>
            <w:tcBorders>
              <w:top w:val="single" w:sz="4" w:space="0" w:color="auto"/>
              <w:left w:val="single" w:sz="4" w:space="0" w:color="auto"/>
              <w:bottom w:val="single" w:sz="4" w:space="0" w:color="auto"/>
              <w:right w:val="single" w:sz="4" w:space="0" w:color="auto"/>
            </w:tcBorders>
            <w:vAlign w:val="center"/>
          </w:tcPr>
          <w:p>
            <w:pPr>
              <w:widowControl/>
              <w:snapToGrid w:val="0"/>
              <w:spacing w:after="0" w:line="240" w:lineRule="auto"/>
              <w:jc w:val="right"/>
              <w:rPr>
                <w:rFonts w:ascii="宋体" w:hAnsi="宋体"/>
                <w:color w:val="000000"/>
                <w:kern w:val="0"/>
                <w:sz w:val="24"/>
                <w:szCs w:val="24"/>
              </w:rPr>
            </w:pPr>
            <w:r>
              <w:rPr>
                <w:rFonts w:ascii="宋体" w:hAnsi="宋体"/>
                <w:color w:val="000000"/>
                <w:kern w:val="0"/>
                <w:sz w:val="24"/>
                <w:szCs w:val="24"/>
              </w:rPr>
              <w:t>-</w:t>
            </w:r>
          </w:p>
        </w:tc>
      </w:tr>
      <w:tr>
        <w:tblPrEx>
          <w:tblW w:w="5000" w:type="pct"/>
          <w:tblInd w:w="0" w:type="dxa"/>
          <w:tblLayout w:type="fixed"/>
          <w:tblCellMar>
            <w:top w:w="0" w:type="dxa"/>
            <w:left w:w="0" w:type="dxa"/>
            <w:bottom w:w="0" w:type="dxa"/>
            <w:right w:w="0" w:type="dxa"/>
          </w:tblCellMar>
          <w:tblLook w:val="0000"/>
        </w:tblPrEx>
        <w:trPr>
          <w:cantSplit/>
          <w:trHeight w:val="375"/>
        </w:trPr>
        <w:tc>
          <w:tcPr>
            <w:tcW w:w="7" w:type="dxa"/>
            <w:tcBorders>
              <w:top w:val="single" w:sz="4" w:space="0" w:color="auto"/>
              <w:left w:val="single" w:sz="4" w:space="0" w:color="auto"/>
              <w:bottom w:val="single" w:sz="4" w:space="0" w:color="auto"/>
              <w:right w:val="single" w:sz="4" w:space="0" w:color="auto"/>
            </w:tcBorders>
            <w:vAlign w:val="center"/>
          </w:tcPr>
          <w:p>
            <w:pPr>
              <w:widowControl/>
              <w:snapToGrid w:val="0"/>
              <w:spacing w:after="0" w:line="240" w:lineRule="auto"/>
              <w:jc w:val="center"/>
              <w:rPr>
                <w:rFonts w:ascii="宋体" w:hAnsi="宋体"/>
                <w:color w:val="000000"/>
                <w:kern w:val="0"/>
                <w:sz w:val="24"/>
                <w:szCs w:val="24"/>
              </w:rPr>
            </w:pPr>
            <w:r>
              <w:rPr>
                <w:rFonts w:ascii="宋体" w:hAnsi="宋体"/>
                <w:color w:val="000000"/>
                <w:kern w:val="0"/>
                <w:sz w:val="24"/>
                <w:szCs w:val="24"/>
              </w:rPr>
              <w:t>R</w:t>
            </w:r>
          </w:p>
        </w:tc>
        <w:tc>
          <w:tcPr>
            <w:tcW w:w="7" w:type="dxa"/>
            <w:tcBorders>
              <w:top w:val="single" w:sz="4" w:space="0" w:color="auto"/>
              <w:left w:val="single" w:sz="4" w:space="0" w:color="auto"/>
              <w:bottom w:val="single" w:sz="4" w:space="0" w:color="auto"/>
              <w:right w:val="single" w:sz="4" w:space="0" w:color="auto"/>
            </w:tcBorders>
            <w:vAlign w:val="center"/>
          </w:tcPr>
          <w:p>
            <w:pPr>
              <w:spacing w:after="0" w:line="240" w:lineRule="auto"/>
              <w:jc w:val="left"/>
            </w:pPr>
            <w:r>
              <w:rPr>
                <w:rFonts w:ascii="宋体" w:hAnsi="宋体"/>
                <w:color w:val="000000"/>
                <w:kern w:val="0"/>
                <w:sz w:val="25"/>
                <w:szCs w:val="24"/>
              </w:rPr>
              <w:t>文化、体育和娱乐业</w:t>
            </w:r>
          </w:p>
        </w:tc>
        <w:tc>
          <w:tcPr>
            <w:tcW w:w="7" w:type="dxa"/>
            <w:tcBorders>
              <w:top w:val="single" w:sz="4" w:space="0" w:color="auto"/>
              <w:left w:val="single" w:sz="4" w:space="0" w:color="auto"/>
              <w:bottom w:val="single" w:sz="4" w:space="0" w:color="auto"/>
              <w:right w:val="single" w:sz="4" w:space="0" w:color="auto"/>
            </w:tcBorders>
            <w:vAlign w:val="center"/>
          </w:tcPr>
          <w:p>
            <w:pPr>
              <w:widowControl/>
              <w:snapToGrid w:val="0"/>
              <w:spacing w:after="0" w:line="240" w:lineRule="auto"/>
              <w:jc w:val="right"/>
              <w:rPr>
                <w:rFonts w:ascii="宋体" w:hAnsi="宋体"/>
                <w:color w:val="000000"/>
                <w:kern w:val="0"/>
                <w:sz w:val="24"/>
                <w:szCs w:val="24"/>
              </w:rPr>
            </w:pPr>
            <w:r>
              <w:rPr>
                <w:rFonts w:ascii="宋体" w:hAnsi="宋体"/>
                <w:color w:val="000000"/>
                <w:kern w:val="0"/>
                <w:sz w:val="24"/>
                <w:szCs w:val="24"/>
              </w:rPr>
              <w:t>781.12</w:t>
            </w:r>
          </w:p>
        </w:tc>
        <w:tc>
          <w:tcPr>
            <w:tcW w:w="7" w:type="dxa"/>
            <w:tcBorders>
              <w:top w:val="single" w:sz="4" w:space="0" w:color="auto"/>
              <w:left w:val="single" w:sz="4" w:space="0" w:color="auto"/>
              <w:bottom w:val="single" w:sz="4" w:space="0" w:color="auto"/>
              <w:right w:val="single" w:sz="4" w:space="0" w:color="auto"/>
            </w:tcBorders>
            <w:vAlign w:val="center"/>
          </w:tcPr>
          <w:p>
            <w:pPr>
              <w:widowControl/>
              <w:snapToGrid w:val="0"/>
              <w:spacing w:after="0" w:line="240" w:lineRule="auto"/>
              <w:jc w:val="right"/>
              <w:rPr>
                <w:rFonts w:ascii="宋体" w:hAnsi="宋体"/>
                <w:color w:val="000000"/>
                <w:kern w:val="0"/>
                <w:sz w:val="24"/>
                <w:szCs w:val="24"/>
              </w:rPr>
            </w:pPr>
            <w:r>
              <w:rPr>
                <w:rFonts w:ascii="宋体" w:hAnsi="宋体"/>
                <w:color w:val="000000"/>
                <w:kern w:val="0"/>
                <w:sz w:val="24"/>
                <w:szCs w:val="24"/>
              </w:rPr>
              <w:t>0.00</w:t>
            </w:r>
          </w:p>
        </w:tc>
      </w:tr>
      <w:tr>
        <w:tblPrEx>
          <w:tblW w:w="5000" w:type="pct"/>
          <w:tblInd w:w="0" w:type="dxa"/>
          <w:tblLayout w:type="fixed"/>
          <w:tblCellMar>
            <w:top w:w="0" w:type="dxa"/>
            <w:left w:w="0" w:type="dxa"/>
            <w:bottom w:w="0" w:type="dxa"/>
            <w:right w:w="0" w:type="dxa"/>
          </w:tblCellMar>
          <w:tblLook w:val="0000"/>
        </w:tblPrEx>
        <w:trPr>
          <w:cantSplit/>
          <w:trHeight w:val="375"/>
        </w:trPr>
        <w:tc>
          <w:tcPr>
            <w:tcW w:w="7" w:type="dxa"/>
            <w:tcBorders>
              <w:top w:val="single" w:sz="4" w:space="0" w:color="auto"/>
              <w:left w:val="single" w:sz="4" w:space="0" w:color="auto"/>
              <w:bottom w:val="single" w:sz="4" w:space="0" w:color="auto"/>
              <w:right w:val="single" w:sz="4" w:space="0" w:color="auto"/>
            </w:tcBorders>
            <w:vAlign w:val="center"/>
          </w:tcPr>
          <w:p>
            <w:pPr>
              <w:widowControl/>
              <w:snapToGrid w:val="0"/>
              <w:spacing w:after="0" w:line="240" w:lineRule="auto"/>
              <w:jc w:val="center"/>
              <w:rPr>
                <w:rFonts w:ascii="宋体" w:hAnsi="宋体"/>
                <w:color w:val="000000"/>
                <w:kern w:val="0"/>
                <w:sz w:val="24"/>
                <w:szCs w:val="24"/>
              </w:rPr>
            </w:pPr>
            <w:r>
              <w:rPr>
                <w:rFonts w:ascii="宋体" w:hAnsi="宋体"/>
                <w:color w:val="000000"/>
                <w:kern w:val="0"/>
                <w:sz w:val="24"/>
                <w:szCs w:val="24"/>
              </w:rPr>
              <w:t>S</w:t>
            </w:r>
          </w:p>
        </w:tc>
        <w:tc>
          <w:tcPr>
            <w:tcW w:w="7" w:type="dxa"/>
            <w:tcBorders>
              <w:top w:val="single" w:sz="4" w:space="0" w:color="auto"/>
              <w:left w:val="single" w:sz="4" w:space="0" w:color="auto"/>
              <w:bottom w:val="single" w:sz="4" w:space="0" w:color="auto"/>
              <w:right w:val="single" w:sz="4" w:space="0" w:color="auto"/>
            </w:tcBorders>
            <w:vAlign w:val="center"/>
          </w:tcPr>
          <w:p>
            <w:pPr>
              <w:spacing w:after="0" w:line="240" w:lineRule="auto"/>
              <w:jc w:val="left"/>
            </w:pPr>
            <w:r>
              <w:rPr>
                <w:rFonts w:ascii="宋体" w:hAnsi="宋体"/>
                <w:color w:val="000000"/>
                <w:kern w:val="0"/>
                <w:sz w:val="25"/>
                <w:szCs w:val="24"/>
              </w:rPr>
              <w:t>综合</w:t>
            </w:r>
          </w:p>
        </w:tc>
        <w:tc>
          <w:tcPr>
            <w:tcW w:w="7" w:type="dxa"/>
            <w:tcBorders>
              <w:top w:val="single" w:sz="4" w:space="0" w:color="auto"/>
              <w:left w:val="single" w:sz="4" w:space="0" w:color="auto"/>
              <w:bottom w:val="single" w:sz="4" w:space="0" w:color="auto"/>
              <w:right w:val="single" w:sz="4" w:space="0" w:color="auto"/>
            </w:tcBorders>
            <w:vAlign w:val="center"/>
          </w:tcPr>
          <w:p>
            <w:pPr>
              <w:widowControl/>
              <w:snapToGrid w:val="0"/>
              <w:spacing w:after="0" w:line="240" w:lineRule="auto"/>
              <w:jc w:val="right"/>
              <w:rPr>
                <w:rFonts w:ascii="宋体" w:hAnsi="宋体"/>
                <w:color w:val="000000"/>
                <w:kern w:val="0"/>
                <w:sz w:val="24"/>
                <w:szCs w:val="24"/>
              </w:rPr>
            </w:pPr>
            <w:r>
              <w:rPr>
                <w:rFonts w:ascii="宋体" w:hAnsi="宋体"/>
                <w:color w:val="000000"/>
                <w:kern w:val="0"/>
                <w:sz w:val="24"/>
                <w:szCs w:val="24"/>
              </w:rPr>
              <w:t>-</w:t>
            </w:r>
          </w:p>
        </w:tc>
        <w:tc>
          <w:tcPr>
            <w:tcW w:w="7" w:type="dxa"/>
            <w:tcBorders>
              <w:top w:val="single" w:sz="4" w:space="0" w:color="auto"/>
              <w:left w:val="single" w:sz="4" w:space="0" w:color="auto"/>
              <w:bottom w:val="single" w:sz="4" w:space="0" w:color="auto"/>
              <w:right w:val="single" w:sz="4" w:space="0" w:color="auto"/>
            </w:tcBorders>
            <w:vAlign w:val="center"/>
          </w:tcPr>
          <w:p>
            <w:pPr>
              <w:widowControl/>
              <w:snapToGrid w:val="0"/>
              <w:spacing w:after="0" w:line="240" w:lineRule="auto"/>
              <w:jc w:val="right"/>
              <w:rPr>
                <w:rFonts w:ascii="宋体" w:hAnsi="宋体"/>
                <w:color w:val="000000"/>
                <w:kern w:val="0"/>
                <w:sz w:val="24"/>
                <w:szCs w:val="24"/>
              </w:rPr>
            </w:pPr>
            <w:r>
              <w:rPr>
                <w:rFonts w:ascii="宋体" w:hAnsi="宋体"/>
                <w:color w:val="000000"/>
                <w:kern w:val="0"/>
                <w:sz w:val="24"/>
                <w:szCs w:val="24"/>
              </w:rPr>
              <w:t>-</w:t>
            </w:r>
          </w:p>
        </w:tc>
      </w:tr>
      <w:tr>
        <w:tblPrEx>
          <w:tblW w:w="5000" w:type="pct"/>
          <w:tblInd w:w="0" w:type="dxa"/>
          <w:tblLayout w:type="fixed"/>
          <w:tblCellMar>
            <w:top w:w="0" w:type="dxa"/>
            <w:left w:w="0" w:type="dxa"/>
            <w:bottom w:w="0" w:type="dxa"/>
            <w:right w:w="0" w:type="dxa"/>
          </w:tblCellMar>
          <w:tblLook w:val="0000"/>
        </w:tblPrEx>
        <w:trPr>
          <w:cantSplit/>
          <w:trHeight w:val="375"/>
        </w:trPr>
        <w:tc>
          <w:tcPr>
            <w:tcW w:w="7" w:type="dxa"/>
            <w:tcBorders>
              <w:top w:val="single" w:sz="4" w:space="0" w:color="auto"/>
              <w:left w:val="single" w:sz="4" w:space="0" w:color="auto"/>
              <w:bottom w:val="single" w:sz="4" w:space="0" w:color="auto"/>
              <w:right w:val="single" w:sz="4" w:space="0" w:color="auto"/>
            </w:tcBorders>
            <w:vAlign w:val="center"/>
          </w:tcPr>
          <w:p>
            <w:pPr>
              <w:widowControl/>
              <w:snapToGrid w:val="0"/>
              <w:spacing w:after="0" w:line="240" w:lineRule="auto"/>
              <w:jc w:val="center"/>
              <w:rPr>
                <w:rFonts w:ascii="宋体" w:hAnsi="宋体"/>
                <w:color w:val="000000"/>
                <w:kern w:val="0"/>
                <w:sz w:val="24"/>
                <w:szCs w:val="24"/>
              </w:rPr>
            </w:pPr>
            <w:r>
              <w:rPr>
                <w:rFonts w:ascii="宋体" w:hAnsi="宋体"/>
                <w:color w:val="000000"/>
                <w:kern w:val="0"/>
                <w:sz w:val="24"/>
                <w:szCs w:val="24"/>
              </w:rPr>
              <w:t> </w:t>
            </w:r>
          </w:p>
        </w:tc>
        <w:tc>
          <w:tcPr>
            <w:tcW w:w="7" w:type="dxa"/>
            <w:tcBorders>
              <w:top w:val="single" w:sz="4" w:space="0" w:color="auto"/>
              <w:left w:val="single" w:sz="4" w:space="0" w:color="auto"/>
              <w:bottom w:val="single" w:sz="4" w:space="0" w:color="auto"/>
              <w:right w:val="single" w:sz="4" w:space="0" w:color="auto"/>
            </w:tcBorders>
            <w:vAlign w:val="center"/>
          </w:tcPr>
          <w:p>
            <w:pPr>
              <w:spacing w:after="0" w:line="240" w:lineRule="auto"/>
              <w:jc w:val="left"/>
            </w:pPr>
            <w:r>
              <w:rPr>
                <w:rFonts w:ascii="宋体" w:hAnsi="宋体"/>
                <w:color w:val="000000"/>
                <w:kern w:val="0"/>
                <w:sz w:val="25"/>
                <w:szCs w:val="24"/>
              </w:rPr>
              <w:t>合计</w:t>
            </w:r>
          </w:p>
        </w:tc>
        <w:tc>
          <w:tcPr>
            <w:tcW w:w="7" w:type="dxa"/>
            <w:tcBorders>
              <w:top w:val="single" w:sz="4" w:space="0" w:color="auto"/>
              <w:left w:val="single" w:sz="4" w:space="0" w:color="auto"/>
              <w:bottom w:val="single" w:sz="4" w:space="0" w:color="auto"/>
              <w:right w:val="single" w:sz="4" w:space="0" w:color="auto"/>
            </w:tcBorders>
            <w:vAlign w:val="center"/>
          </w:tcPr>
          <w:p>
            <w:pPr>
              <w:widowControl/>
              <w:snapToGrid w:val="0"/>
              <w:spacing w:after="0" w:line="240" w:lineRule="auto"/>
              <w:jc w:val="right"/>
              <w:rPr>
                <w:rFonts w:ascii="宋体" w:hAnsi="宋体"/>
                <w:color w:val="000000"/>
                <w:kern w:val="0"/>
                <w:sz w:val="24"/>
                <w:szCs w:val="24"/>
              </w:rPr>
            </w:pPr>
            <w:r>
              <w:rPr>
                <w:rFonts w:ascii="宋体" w:hAnsi="宋体"/>
                <w:color w:val="000000"/>
                <w:kern w:val="0"/>
                <w:sz w:val="24"/>
                <w:szCs w:val="24"/>
              </w:rPr>
              <w:t>44,867,408.56</w:t>
            </w:r>
          </w:p>
        </w:tc>
        <w:tc>
          <w:tcPr>
            <w:tcW w:w="7" w:type="dxa"/>
            <w:tcBorders>
              <w:top w:val="single" w:sz="4" w:space="0" w:color="auto"/>
              <w:left w:val="single" w:sz="4" w:space="0" w:color="auto"/>
              <w:bottom w:val="single" w:sz="4" w:space="0" w:color="auto"/>
              <w:right w:val="single" w:sz="4" w:space="0" w:color="auto"/>
            </w:tcBorders>
            <w:vAlign w:val="center"/>
          </w:tcPr>
          <w:p>
            <w:pPr>
              <w:widowControl/>
              <w:snapToGrid w:val="0"/>
              <w:spacing w:after="0" w:line="240" w:lineRule="auto"/>
              <w:jc w:val="right"/>
              <w:rPr>
                <w:rFonts w:ascii="宋体" w:hAnsi="宋体"/>
                <w:color w:val="000000"/>
                <w:kern w:val="0"/>
                <w:sz w:val="24"/>
                <w:szCs w:val="24"/>
              </w:rPr>
            </w:pPr>
            <w:r>
              <w:rPr>
                <w:rFonts w:ascii="宋体" w:hAnsi="宋体"/>
                <w:color w:val="000000"/>
                <w:kern w:val="0"/>
                <w:sz w:val="24"/>
                <w:szCs w:val="24"/>
              </w:rPr>
              <w:t>89.75</w:t>
            </w:r>
          </w:p>
        </w:tc>
      </w:tr>
    </w:tbl>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2.2 报告期末按行业分类的港股通投资股票投资组合</w:t>
      </w:r>
    </w:p>
    <w:tbl>
      <w:tblPr>
        <w:tblW w:w="5000" w:type="pct"/>
        <w:tblInd w:w="0" w:type="dxa"/>
        <w:tblLayout w:type="fixed"/>
        <w:tblCellMar>
          <w:top w:w="0" w:type="dxa"/>
          <w:left w:w="0" w:type="dxa"/>
          <w:bottom w:w="0" w:type="dxa"/>
          <w:right w:w="0" w:type="dxa"/>
        </w:tblCellMar>
        <w:tblLook w:val="0000"/>
      </w:tblPr>
      <w:tblGrid>
        <w:gridCol w:w="2890"/>
        <w:gridCol w:w="2890"/>
        <w:gridCol w:w="2890"/>
      </w:tblGrid>
      <w:tr>
        <w:tblPrEx>
          <w:tblW w:w="5000" w:type="pct"/>
          <w:tblInd w:w="0" w:type="dxa"/>
          <w:tblLayout w:type="fixed"/>
          <w:tblCellMar>
            <w:top w:w="0" w:type="dxa"/>
            <w:left w:w="0" w:type="dxa"/>
            <w:bottom w:w="0" w:type="dxa"/>
            <w:right w:w="0" w:type="dxa"/>
          </w:tblCellMar>
          <w:tblLook w:val="0000"/>
        </w:tblPrEx>
        <w:trPr>
          <w:cantSplit/>
          <w:trHeight w:val="375"/>
        </w:trPr>
        <w:tc>
          <w:tcPr>
            <w:tcW w:w="7" w:type="dxa"/>
            <w:tcBorders>
              <w:top w:val="single" w:sz="4" w:space="0" w:color="auto"/>
              <w:left w:val="single" w:sz="4" w:space="0" w:color="auto"/>
              <w:bottom w:val="single" w:sz="4" w:space="0" w:color="auto"/>
              <w:right w:val="single" w:sz="4" w:space="0" w:color="auto"/>
            </w:tcBorders>
            <w:vAlign w:val="center"/>
          </w:tcPr>
          <w:p>
            <w:pPr>
              <w:widowControl/>
              <w:snapToGrid w:val="0"/>
              <w:spacing w:after="0" w:line="240" w:lineRule="auto"/>
              <w:jc w:val="center"/>
              <w:rPr>
                <w:rFonts w:ascii="宋体" w:hAnsi="宋体"/>
                <w:color w:val="000000"/>
                <w:kern w:val="0"/>
                <w:sz w:val="24"/>
                <w:szCs w:val="24"/>
              </w:rPr>
            </w:pPr>
            <w:r>
              <w:rPr>
                <w:rFonts w:ascii="宋体" w:hAnsi="宋体"/>
                <w:color w:val="000000"/>
                <w:kern w:val="0"/>
                <w:sz w:val="24"/>
                <w:szCs w:val="24"/>
              </w:rPr>
              <w:t>行业类别</w:t>
            </w:r>
          </w:p>
        </w:tc>
        <w:tc>
          <w:tcPr>
            <w:tcW w:w="7" w:type="dxa"/>
            <w:tcBorders>
              <w:top w:val="single" w:sz="4" w:space="0" w:color="auto"/>
              <w:left w:val="single" w:sz="4" w:space="0" w:color="auto"/>
              <w:bottom w:val="single" w:sz="4" w:space="0" w:color="auto"/>
              <w:right w:val="single" w:sz="4" w:space="0" w:color="auto"/>
            </w:tcBorders>
            <w:vAlign w:val="center"/>
          </w:tcPr>
          <w:p>
            <w:pPr>
              <w:widowControl/>
              <w:snapToGrid w:val="0"/>
              <w:spacing w:after="0" w:line="240" w:lineRule="auto"/>
              <w:jc w:val="center"/>
              <w:rPr>
                <w:rFonts w:ascii="宋体" w:hAnsi="宋体"/>
                <w:color w:val="000000"/>
                <w:kern w:val="0"/>
                <w:sz w:val="24"/>
                <w:szCs w:val="24"/>
              </w:rPr>
            </w:pPr>
            <w:r>
              <w:rPr>
                <w:rFonts w:ascii="宋体" w:hAnsi="宋体"/>
                <w:color w:val="000000"/>
                <w:kern w:val="0"/>
                <w:sz w:val="24"/>
                <w:szCs w:val="24"/>
              </w:rPr>
              <w:t>公允价值（人民币）</w:t>
            </w:r>
          </w:p>
        </w:tc>
        <w:tc>
          <w:tcPr>
            <w:tcW w:w="7" w:type="dxa"/>
            <w:tcBorders>
              <w:top w:val="single" w:sz="4" w:space="0" w:color="auto"/>
              <w:left w:val="single" w:sz="4" w:space="0" w:color="auto"/>
              <w:bottom w:val="single" w:sz="4" w:space="0" w:color="auto"/>
              <w:right w:val="single" w:sz="4" w:space="0" w:color="auto"/>
            </w:tcBorders>
            <w:vAlign w:val="center"/>
          </w:tcPr>
          <w:p>
            <w:pPr>
              <w:widowControl/>
              <w:snapToGrid w:val="0"/>
              <w:spacing w:after="0" w:line="240" w:lineRule="auto"/>
              <w:jc w:val="center"/>
              <w:rPr>
                <w:rFonts w:ascii="宋体" w:hAnsi="宋体"/>
                <w:color w:val="000000"/>
                <w:kern w:val="0"/>
                <w:sz w:val="24"/>
                <w:szCs w:val="24"/>
              </w:rPr>
            </w:pPr>
            <w:r>
              <w:rPr>
                <w:rFonts w:ascii="宋体" w:hAnsi="宋体"/>
                <w:color w:val="000000"/>
                <w:kern w:val="0"/>
                <w:sz w:val="24"/>
                <w:szCs w:val="24"/>
              </w:rPr>
              <w:t>占基金资产净值比例（%）</w:t>
            </w:r>
          </w:p>
        </w:tc>
      </w:tr>
      <w:tr>
        <w:tblPrEx>
          <w:tblW w:w="5000" w:type="pct"/>
          <w:tblInd w:w="0" w:type="dxa"/>
          <w:tblLayout w:type="fixed"/>
          <w:tblCellMar>
            <w:top w:w="0" w:type="dxa"/>
            <w:left w:w="0" w:type="dxa"/>
            <w:bottom w:w="0" w:type="dxa"/>
            <w:right w:w="0" w:type="dxa"/>
          </w:tblCellMar>
          <w:tblLook w:val="0000"/>
        </w:tblPrEx>
        <w:trPr>
          <w:cantSplit/>
          <w:trHeight w:val="375"/>
        </w:trPr>
        <w:tc>
          <w:tcPr>
            <w:tcW w:w="7" w:type="dxa"/>
            <w:tcBorders>
              <w:top w:val="single" w:sz="4" w:space="0" w:color="auto"/>
              <w:left w:val="single" w:sz="4" w:space="0" w:color="auto"/>
              <w:bottom w:val="single" w:sz="4" w:space="0" w:color="auto"/>
              <w:right w:val="single" w:sz="4" w:space="0" w:color="auto"/>
            </w:tcBorders>
            <w:vAlign w:val="center"/>
          </w:tcPr>
          <w:p>
            <w:pPr>
              <w:spacing w:after="0" w:line="240" w:lineRule="auto"/>
              <w:jc w:val="left"/>
            </w:pPr>
            <w:r>
              <w:rPr>
                <w:rFonts w:ascii="宋体" w:hAnsi="宋体"/>
                <w:color w:val="000000"/>
                <w:kern w:val="0"/>
                <w:sz w:val="25"/>
                <w:szCs w:val="24"/>
              </w:rPr>
              <w:t>能源</w:t>
            </w:r>
          </w:p>
        </w:tc>
        <w:tc>
          <w:tcPr>
            <w:tcW w:w="7" w:type="dxa"/>
            <w:tcBorders>
              <w:top w:val="single" w:sz="4" w:space="0" w:color="auto"/>
              <w:left w:val="single" w:sz="4" w:space="0" w:color="auto"/>
              <w:bottom w:val="single" w:sz="4" w:space="0" w:color="auto"/>
              <w:right w:val="single" w:sz="4" w:space="0" w:color="auto"/>
            </w:tcBorders>
            <w:vAlign w:val="center"/>
          </w:tcPr>
          <w:p>
            <w:pPr>
              <w:widowControl/>
              <w:snapToGrid w:val="0"/>
              <w:spacing w:after="0" w:line="240" w:lineRule="auto"/>
              <w:jc w:val="right"/>
              <w:rPr>
                <w:rFonts w:ascii="宋体" w:hAnsi="宋体"/>
                <w:color w:val="000000"/>
                <w:kern w:val="0"/>
                <w:sz w:val="24"/>
                <w:szCs w:val="24"/>
              </w:rPr>
            </w:pPr>
            <w:r>
              <w:rPr>
                <w:rFonts w:ascii="宋体" w:hAnsi="宋体"/>
                <w:color w:val="000000"/>
                <w:kern w:val="0"/>
                <w:sz w:val="24"/>
                <w:szCs w:val="24"/>
              </w:rPr>
              <w:t>1,729,595.73</w:t>
            </w:r>
          </w:p>
        </w:tc>
        <w:tc>
          <w:tcPr>
            <w:tcW w:w="7" w:type="dxa"/>
            <w:tcBorders>
              <w:top w:val="single" w:sz="4" w:space="0" w:color="auto"/>
              <w:left w:val="single" w:sz="4" w:space="0" w:color="auto"/>
              <w:bottom w:val="single" w:sz="4" w:space="0" w:color="auto"/>
              <w:right w:val="single" w:sz="4" w:space="0" w:color="auto"/>
            </w:tcBorders>
            <w:vAlign w:val="center"/>
          </w:tcPr>
          <w:p>
            <w:pPr>
              <w:widowControl/>
              <w:snapToGrid w:val="0"/>
              <w:spacing w:after="0" w:line="240" w:lineRule="auto"/>
              <w:jc w:val="right"/>
              <w:rPr>
                <w:rFonts w:ascii="宋体" w:hAnsi="宋体"/>
                <w:color w:val="000000"/>
                <w:kern w:val="0"/>
                <w:sz w:val="24"/>
                <w:szCs w:val="24"/>
              </w:rPr>
            </w:pPr>
            <w:r>
              <w:rPr>
                <w:rFonts w:ascii="宋体" w:hAnsi="宋体"/>
                <w:color w:val="000000"/>
                <w:kern w:val="0"/>
                <w:sz w:val="24"/>
                <w:szCs w:val="24"/>
              </w:rPr>
              <w:t>3.46</w:t>
            </w:r>
          </w:p>
        </w:tc>
      </w:tr>
      <w:tr>
        <w:tblPrEx>
          <w:tblW w:w="5000" w:type="pct"/>
          <w:tblInd w:w="0" w:type="dxa"/>
          <w:tblLayout w:type="fixed"/>
          <w:tblCellMar>
            <w:top w:w="0" w:type="dxa"/>
            <w:left w:w="0" w:type="dxa"/>
            <w:bottom w:w="0" w:type="dxa"/>
            <w:right w:w="0" w:type="dxa"/>
          </w:tblCellMar>
          <w:tblLook w:val="0000"/>
        </w:tblPrEx>
        <w:trPr>
          <w:cantSplit/>
          <w:trHeight w:val="375"/>
        </w:trPr>
        <w:tc>
          <w:tcPr>
            <w:tcW w:w="7" w:type="dxa"/>
            <w:tcBorders>
              <w:top w:val="single" w:sz="4" w:space="0" w:color="auto"/>
              <w:left w:val="single" w:sz="4" w:space="0" w:color="auto"/>
              <w:bottom w:val="single" w:sz="4" w:space="0" w:color="auto"/>
              <w:right w:val="single" w:sz="4" w:space="0" w:color="auto"/>
            </w:tcBorders>
            <w:vAlign w:val="center"/>
          </w:tcPr>
          <w:p>
            <w:pPr>
              <w:spacing w:after="0" w:line="240" w:lineRule="auto"/>
              <w:jc w:val="left"/>
            </w:pPr>
            <w:r>
              <w:rPr>
                <w:rFonts w:ascii="宋体" w:hAnsi="宋体"/>
                <w:color w:val="000000"/>
                <w:kern w:val="0"/>
                <w:sz w:val="25"/>
                <w:szCs w:val="24"/>
              </w:rPr>
              <w:t>医药卫生</w:t>
            </w:r>
          </w:p>
        </w:tc>
        <w:tc>
          <w:tcPr>
            <w:tcW w:w="7" w:type="dxa"/>
            <w:tcBorders>
              <w:top w:val="single" w:sz="4" w:space="0" w:color="auto"/>
              <w:left w:val="single" w:sz="4" w:space="0" w:color="auto"/>
              <w:bottom w:val="single" w:sz="4" w:space="0" w:color="auto"/>
              <w:right w:val="single" w:sz="4" w:space="0" w:color="auto"/>
            </w:tcBorders>
            <w:vAlign w:val="center"/>
          </w:tcPr>
          <w:p>
            <w:pPr>
              <w:widowControl/>
              <w:snapToGrid w:val="0"/>
              <w:spacing w:after="0" w:line="240" w:lineRule="auto"/>
              <w:jc w:val="right"/>
              <w:rPr>
                <w:rFonts w:ascii="宋体" w:hAnsi="宋体"/>
                <w:color w:val="000000"/>
                <w:kern w:val="0"/>
                <w:sz w:val="24"/>
                <w:szCs w:val="24"/>
              </w:rPr>
            </w:pPr>
            <w:r>
              <w:rPr>
                <w:rFonts w:ascii="宋体" w:hAnsi="宋体"/>
                <w:color w:val="000000"/>
                <w:kern w:val="0"/>
                <w:sz w:val="24"/>
                <w:szCs w:val="24"/>
              </w:rPr>
              <w:t>1,426.16</w:t>
            </w:r>
          </w:p>
        </w:tc>
        <w:tc>
          <w:tcPr>
            <w:tcW w:w="7" w:type="dxa"/>
            <w:tcBorders>
              <w:top w:val="single" w:sz="4" w:space="0" w:color="auto"/>
              <w:left w:val="single" w:sz="4" w:space="0" w:color="auto"/>
              <w:bottom w:val="single" w:sz="4" w:space="0" w:color="auto"/>
              <w:right w:val="single" w:sz="4" w:space="0" w:color="auto"/>
            </w:tcBorders>
            <w:vAlign w:val="center"/>
          </w:tcPr>
          <w:p>
            <w:pPr>
              <w:widowControl/>
              <w:snapToGrid w:val="0"/>
              <w:spacing w:after="0" w:line="240" w:lineRule="auto"/>
              <w:jc w:val="right"/>
              <w:rPr>
                <w:rFonts w:ascii="宋体" w:hAnsi="宋体"/>
                <w:color w:val="000000"/>
                <w:kern w:val="0"/>
                <w:sz w:val="24"/>
                <w:szCs w:val="24"/>
              </w:rPr>
            </w:pPr>
            <w:r>
              <w:rPr>
                <w:rFonts w:ascii="宋体" w:hAnsi="宋体"/>
                <w:color w:val="000000"/>
                <w:kern w:val="0"/>
                <w:sz w:val="24"/>
                <w:szCs w:val="24"/>
              </w:rPr>
              <w:t>0.00</w:t>
            </w:r>
          </w:p>
        </w:tc>
      </w:tr>
      <w:tr>
        <w:tblPrEx>
          <w:tblW w:w="5000" w:type="pct"/>
          <w:tblInd w:w="0" w:type="dxa"/>
          <w:tblLayout w:type="fixed"/>
          <w:tblCellMar>
            <w:top w:w="0" w:type="dxa"/>
            <w:left w:w="0" w:type="dxa"/>
            <w:bottom w:w="0" w:type="dxa"/>
            <w:right w:w="0" w:type="dxa"/>
          </w:tblCellMar>
          <w:tblLook w:val="0000"/>
        </w:tblPrEx>
        <w:trPr>
          <w:cantSplit/>
          <w:trHeight w:val="375"/>
        </w:trPr>
        <w:tc>
          <w:tcPr>
            <w:tcW w:w="7" w:type="dxa"/>
            <w:tcBorders>
              <w:top w:val="single" w:sz="4" w:space="0" w:color="auto"/>
              <w:left w:val="single" w:sz="4" w:space="0" w:color="auto"/>
              <w:bottom w:val="single" w:sz="4" w:space="0" w:color="auto"/>
              <w:right w:val="single" w:sz="4" w:space="0" w:color="auto"/>
            </w:tcBorders>
            <w:vAlign w:val="center"/>
          </w:tcPr>
          <w:p>
            <w:pPr>
              <w:spacing w:after="0" w:line="240" w:lineRule="auto"/>
              <w:jc w:val="left"/>
            </w:pPr>
            <w:r>
              <w:rPr>
                <w:rFonts w:ascii="宋体" w:hAnsi="宋体"/>
                <w:color w:val="000000"/>
                <w:kern w:val="0"/>
                <w:sz w:val="25"/>
                <w:szCs w:val="24"/>
              </w:rPr>
              <w:t>合计</w:t>
            </w:r>
          </w:p>
        </w:tc>
        <w:tc>
          <w:tcPr>
            <w:tcW w:w="7" w:type="dxa"/>
            <w:tcBorders>
              <w:top w:val="single" w:sz="4" w:space="0" w:color="auto"/>
              <w:left w:val="single" w:sz="4" w:space="0" w:color="auto"/>
              <w:bottom w:val="single" w:sz="4" w:space="0" w:color="auto"/>
              <w:right w:val="single" w:sz="4" w:space="0" w:color="auto"/>
            </w:tcBorders>
            <w:vAlign w:val="center"/>
          </w:tcPr>
          <w:p>
            <w:pPr>
              <w:widowControl/>
              <w:snapToGrid w:val="0"/>
              <w:spacing w:after="0" w:line="240" w:lineRule="auto"/>
              <w:jc w:val="right"/>
              <w:rPr>
                <w:rFonts w:ascii="宋体" w:hAnsi="宋体"/>
                <w:color w:val="000000"/>
                <w:kern w:val="0"/>
                <w:sz w:val="24"/>
                <w:szCs w:val="24"/>
              </w:rPr>
            </w:pPr>
            <w:r>
              <w:rPr>
                <w:rFonts w:ascii="宋体" w:hAnsi="宋体"/>
                <w:color w:val="000000"/>
                <w:kern w:val="0"/>
                <w:sz w:val="24"/>
                <w:szCs w:val="24"/>
              </w:rPr>
              <w:t>1,731,021.89</w:t>
            </w:r>
          </w:p>
        </w:tc>
        <w:tc>
          <w:tcPr>
            <w:tcW w:w="7" w:type="dxa"/>
            <w:tcBorders>
              <w:top w:val="single" w:sz="4" w:space="0" w:color="auto"/>
              <w:left w:val="single" w:sz="4" w:space="0" w:color="auto"/>
              <w:bottom w:val="single" w:sz="4" w:space="0" w:color="auto"/>
              <w:right w:val="single" w:sz="4" w:space="0" w:color="auto"/>
            </w:tcBorders>
            <w:vAlign w:val="center"/>
          </w:tcPr>
          <w:p>
            <w:pPr>
              <w:widowControl/>
              <w:snapToGrid w:val="0"/>
              <w:spacing w:after="0" w:line="240" w:lineRule="auto"/>
              <w:jc w:val="right"/>
              <w:rPr>
                <w:rFonts w:ascii="宋体" w:hAnsi="宋体"/>
                <w:color w:val="000000"/>
                <w:kern w:val="0"/>
                <w:sz w:val="24"/>
                <w:szCs w:val="24"/>
              </w:rPr>
            </w:pPr>
            <w:r>
              <w:rPr>
                <w:rFonts w:ascii="宋体" w:hAnsi="宋体"/>
                <w:color w:val="000000"/>
                <w:kern w:val="0"/>
                <w:sz w:val="24"/>
                <w:szCs w:val="24"/>
              </w:rPr>
              <w:t>3.46</w:t>
            </w:r>
          </w:p>
        </w:tc>
      </w:tr>
    </w:tbl>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注：本报告采用中证CICS一级分类标准编制。</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3、期末按公允价值占基金资产净值比例大小排序的股票投资明细</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3.1 报告期末按公允价值占基金资产净值比例大小排序的前十名股票投资明细</w:t>
      </w:r>
    </w:p>
    <w:tbl>
      <w:tblPr>
        <w:tblW w:w="5000" w:type="pct"/>
        <w:tblInd w:w="0" w:type="dxa"/>
        <w:tblLayout w:type="fixed"/>
        <w:tblCellMar>
          <w:top w:w="0" w:type="dxa"/>
          <w:left w:w="0" w:type="dxa"/>
          <w:bottom w:w="0" w:type="dxa"/>
          <w:right w:w="0" w:type="dxa"/>
        </w:tblCellMar>
        <w:tblLook w:val="0000"/>
      </w:tblPr>
      <w:tblGrid>
        <w:gridCol w:w="1445"/>
        <w:gridCol w:w="1445"/>
        <w:gridCol w:w="1445"/>
        <w:gridCol w:w="1445"/>
        <w:gridCol w:w="1445"/>
        <w:gridCol w:w="1445"/>
      </w:tblGrid>
      <w:tr>
        <w:tblPrEx>
          <w:tblW w:w="5000" w:type="pct"/>
          <w:tblInd w:w="0" w:type="dxa"/>
          <w:tblLayout w:type="fixed"/>
          <w:tblCellMar>
            <w:top w:w="0" w:type="dxa"/>
            <w:left w:w="0" w:type="dxa"/>
            <w:bottom w:w="0" w:type="dxa"/>
            <w:right w:w="0" w:type="dxa"/>
          </w:tblCellMar>
          <w:tblLook w:val="0000"/>
        </w:tblPrEx>
        <w:trPr>
          <w:cantSplit/>
          <w:trHeight w:val="375"/>
        </w:trPr>
        <w:tc>
          <w:tcPr>
            <w:tcW w:w="7" w:type="dxa"/>
            <w:tcBorders>
              <w:top w:val="single" w:sz="4" w:space="0" w:color="auto"/>
              <w:left w:val="single" w:sz="4" w:space="0" w:color="auto"/>
              <w:bottom w:val="single" w:sz="4" w:space="0" w:color="auto"/>
              <w:right w:val="single" w:sz="4" w:space="0" w:color="auto"/>
            </w:tcBorders>
            <w:vAlign w:val="center"/>
          </w:tcPr>
          <w:p>
            <w:pPr>
              <w:widowControl/>
              <w:snapToGrid w:val="0"/>
              <w:spacing w:after="0" w:line="240" w:lineRule="auto"/>
              <w:jc w:val="center"/>
              <w:rPr>
                <w:rFonts w:ascii="宋体" w:hAnsi="宋体"/>
                <w:color w:val="000000"/>
                <w:kern w:val="0"/>
                <w:sz w:val="24"/>
                <w:szCs w:val="24"/>
              </w:rPr>
            </w:pPr>
            <w:r>
              <w:rPr>
                <w:rFonts w:ascii="宋体" w:hAnsi="宋体"/>
                <w:color w:val="000000"/>
                <w:kern w:val="0"/>
                <w:sz w:val="24"/>
                <w:szCs w:val="24"/>
              </w:rPr>
              <w:t>序号</w:t>
            </w:r>
          </w:p>
        </w:tc>
        <w:tc>
          <w:tcPr>
            <w:tcW w:w="7" w:type="dxa"/>
            <w:tcBorders>
              <w:top w:val="single" w:sz="4" w:space="0" w:color="auto"/>
              <w:left w:val="single" w:sz="4" w:space="0" w:color="auto"/>
              <w:bottom w:val="single" w:sz="4" w:space="0" w:color="auto"/>
              <w:right w:val="single" w:sz="4" w:space="0" w:color="auto"/>
            </w:tcBorders>
            <w:vAlign w:val="center"/>
          </w:tcPr>
          <w:p>
            <w:pPr>
              <w:widowControl/>
              <w:snapToGrid w:val="0"/>
              <w:spacing w:after="0" w:line="240" w:lineRule="auto"/>
              <w:jc w:val="center"/>
              <w:rPr>
                <w:rFonts w:ascii="宋体" w:hAnsi="宋体"/>
                <w:color w:val="000000"/>
                <w:kern w:val="0"/>
                <w:sz w:val="24"/>
                <w:szCs w:val="24"/>
              </w:rPr>
            </w:pPr>
            <w:r>
              <w:rPr>
                <w:rFonts w:ascii="宋体" w:hAnsi="宋体"/>
                <w:color w:val="000000"/>
                <w:kern w:val="0"/>
                <w:sz w:val="24"/>
                <w:szCs w:val="24"/>
              </w:rPr>
              <w:t>股票代码</w:t>
            </w:r>
          </w:p>
        </w:tc>
        <w:tc>
          <w:tcPr>
            <w:tcW w:w="7" w:type="dxa"/>
            <w:tcBorders>
              <w:top w:val="single" w:sz="4" w:space="0" w:color="auto"/>
              <w:left w:val="single" w:sz="4" w:space="0" w:color="auto"/>
              <w:bottom w:val="single" w:sz="4" w:space="0" w:color="auto"/>
              <w:right w:val="single" w:sz="4" w:space="0" w:color="auto"/>
            </w:tcBorders>
            <w:vAlign w:val="center"/>
          </w:tcPr>
          <w:p>
            <w:pPr>
              <w:widowControl/>
              <w:snapToGrid w:val="0"/>
              <w:spacing w:after="0" w:line="240" w:lineRule="auto"/>
              <w:jc w:val="center"/>
              <w:rPr>
                <w:rFonts w:ascii="宋体" w:hAnsi="宋体"/>
                <w:color w:val="000000"/>
                <w:kern w:val="0"/>
                <w:sz w:val="24"/>
                <w:szCs w:val="24"/>
              </w:rPr>
            </w:pPr>
            <w:r>
              <w:rPr>
                <w:rFonts w:ascii="宋体" w:hAnsi="宋体"/>
                <w:color w:val="000000"/>
                <w:kern w:val="0"/>
                <w:sz w:val="24"/>
                <w:szCs w:val="24"/>
              </w:rPr>
              <w:t>股票名称</w:t>
            </w:r>
          </w:p>
        </w:tc>
        <w:tc>
          <w:tcPr>
            <w:tcW w:w="7" w:type="dxa"/>
            <w:tcBorders>
              <w:top w:val="single" w:sz="4" w:space="0" w:color="auto"/>
              <w:left w:val="single" w:sz="4" w:space="0" w:color="auto"/>
              <w:bottom w:val="single" w:sz="4" w:space="0" w:color="auto"/>
              <w:right w:val="single" w:sz="4" w:space="0" w:color="auto"/>
            </w:tcBorders>
            <w:vAlign w:val="center"/>
          </w:tcPr>
          <w:p>
            <w:pPr>
              <w:widowControl/>
              <w:snapToGrid w:val="0"/>
              <w:spacing w:after="0" w:line="240" w:lineRule="auto"/>
              <w:jc w:val="center"/>
              <w:rPr>
                <w:rFonts w:ascii="宋体" w:hAnsi="宋体"/>
                <w:color w:val="000000"/>
                <w:kern w:val="0"/>
                <w:sz w:val="24"/>
                <w:szCs w:val="24"/>
              </w:rPr>
            </w:pPr>
            <w:r>
              <w:rPr>
                <w:rFonts w:ascii="宋体" w:hAnsi="宋体"/>
                <w:color w:val="000000"/>
                <w:kern w:val="0"/>
                <w:sz w:val="24"/>
                <w:szCs w:val="24"/>
              </w:rPr>
              <w:t>数量（股）</w:t>
            </w:r>
          </w:p>
        </w:tc>
        <w:tc>
          <w:tcPr>
            <w:tcW w:w="7" w:type="dxa"/>
            <w:tcBorders>
              <w:top w:val="single" w:sz="4" w:space="0" w:color="auto"/>
              <w:left w:val="single" w:sz="4" w:space="0" w:color="auto"/>
              <w:bottom w:val="single" w:sz="4" w:space="0" w:color="auto"/>
              <w:right w:val="single" w:sz="4" w:space="0" w:color="auto"/>
            </w:tcBorders>
            <w:vAlign w:val="center"/>
          </w:tcPr>
          <w:p>
            <w:pPr>
              <w:widowControl/>
              <w:snapToGrid w:val="0"/>
              <w:spacing w:after="0" w:line="240" w:lineRule="auto"/>
              <w:jc w:val="center"/>
              <w:rPr>
                <w:rFonts w:ascii="宋体" w:hAnsi="宋体"/>
                <w:color w:val="000000"/>
                <w:kern w:val="0"/>
                <w:sz w:val="24"/>
                <w:szCs w:val="24"/>
              </w:rPr>
            </w:pPr>
            <w:r>
              <w:rPr>
                <w:rFonts w:ascii="宋体" w:hAnsi="宋体"/>
                <w:color w:val="000000"/>
                <w:kern w:val="0"/>
                <w:sz w:val="24"/>
                <w:szCs w:val="24"/>
              </w:rPr>
              <w:t>公允价值（元）</w:t>
            </w:r>
          </w:p>
        </w:tc>
        <w:tc>
          <w:tcPr>
            <w:tcW w:w="7" w:type="dxa"/>
            <w:tcBorders>
              <w:top w:val="single" w:sz="4" w:space="0" w:color="auto"/>
              <w:left w:val="single" w:sz="4" w:space="0" w:color="auto"/>
              <w:bottom w:val="single" w:sz="4" w:space="0" w:color="auto"/>
              <w:right w:val="single" w:sz="4" w:space="0" w:color="auto"/>
            </w:tcBorders>
            <w:vAlign w:val="center"/>
          </w:tcPr>
          <w:p>
            <w:pPr>
              <w:widowControl/>
              <w:snapToGrid w:val="0"/>
              <w:spacing w:after="0" w:line="240" w:lineRule="auto"/>
              <w:jc w:val="center"/>
              <w:rPr>
                <w:rFonts w:ascii="宋体" w:hAnsi="宋体"/>
                <w:color w:val="000000"/>
                <w:kern w:val="0"/>
                <w:sz w:val="24"/>
                <w:szCs w:val="24"/>
              </w:rPr>
            </w:pPr>
            <w:r>
              <w:rPr>
                <w:rFonts w:ascii="宋体" w:hAnsi="宋体"/>
                <w:color w:val="000000"/>
                <w:kern w:val="0"/>
                <w:sz w:val="24"/>
                <w:szCs w:val="24"/>
              </w:rPr>
              <w:t>占基金资产净值比例（%）</w:t>
            </w:r>
          </w:p>
        </w:tc>
      </w:tr>
      <w:tr>
        <w:tblPrEx>
          <w:tblW w:w="5000" w:type="pct"/>
          <w:tblInd w:w="0" w:type="dxa"/>
          <w:tblLayout w:type="fixed"/>
          <w:tblCellMar>
            <w:top w:w="0" w:type="dxa"/>
            <w:left w:w="0" w:type="dxa"/>
            <w:bottom w:w="0" w:type="dxa"/>
            <w:right w:w="0" w:type="dxa"/>
          </w:tblCellMar>
          <w:tblLook w:val="0000"/>
        </w:tblPrEx>
        <w:trPr>
          <w:cantSplit/>
          <w:trHeight w:val="375"/>
        </w:trPr>
        <w:tc>
          <w:tcPr>
            <w:tcW w:w="7" w:type="dxa"/>
            <w:tcBorders>
              <w:top w:val="single" w:sz="4" w:space="0" w:color="auto"/>
              <w:left w:val="single" w:sz="4" w:space="0" w:color="auto"/>
              <w:bottom w:val="single" w:sz="4" w:space="0" w:color="auto"/>
              <w:right w:val="single" w:sz="4" w:space="0" w:color="auto"/>
            </w:tcBorders>
            <w:vAlign w:val="center"/>
          </w:tcPr>
          <w:p>
            <w:pPr>
              <w:widowControl/>
              <w:snapToGrid w:val="0"/>
              <w:spacing w:after="0" w:line="240" w:lineRule="auto"/>
              <w:jc w:val="center"/>
              <w:rPr>
                <w:rFonts w:ascii="宋体" w:hAnsi="宋体"/>
                <w:color w:val="000000"/>
                <w:kern w:val="0"/>
                <w:sz w:val="24"/>
                <w:szCs w:val="24"/>
              </w:rPr>
            </w:pPr>
            <w:r>
              <w:rPr>
                <w:rFonts w:ascii="宋体" w:hAnsi="宋体"/>
                <w:color w:val="000000"/>
                <w:kern w:val="0"/>
                <w:sz w:val="24"/>
                <w:szCs w:val="24"/>
              </w:rPr>
              <w:t>1</w:t>
            </w:r>
          </w:p>
        </w:tc>
        <w:tc>
          <w:tcPr>
            <w:tcW w:w="7" w:type="dxa"/>
            <w:tcBorders>
              <w:top w:val="single" w:sz="4" w:space="0" w:color="auto"/>
              <w:left w:val="single" w:sz="4" w:space="0" w:color="auto"/>
              <w:bottom w:val="single" w:sz="4" w:space="0" w:color="auto"/>
              <w:right w:val="single" w:sz="4" w:space="0" w:color="auto"/>
            </w:tcBorders>
            <w:vAlign w:val="center"/>
          </w:tcPr>
          <w:p>
            <w:pPr>
              <w:widowControl/>
              <w:snapToGrid w:val="0"/>
              <w:spacing w:after="0" w:line="240" w:lineRule="auto"/>
              <w:jc w:val="center"/>
              <w:rPr>
                <w:rFonts w:ascii="宋体" w:hAnsi="宋体"/>
                <w:color w:val="000000"/>
                <w:kern w:val="0"/>
                <w:sz w:val="24"/>
                <w:szCs w:val="24"/>
              </w:rPr>
            </w:pPr>
            <w:r>
              <w:rPr>
                <w:rFonts w:ascii="宋体" w:hAnsi="宋体"/>
                <w:color w:val="000000"/>
                <w:kern w:val="0"/>
                <w:sz w:val="24"/>
                <w:szCs w:val="24"/>
              </w:rPr>
              <w:t>300763</w:t>
            </w:r>
          </w:p>
        </w:tc>
        <w:tc>
          <w:tcPr>
            <w:tcW w:w="7" w:type="dxa"/>
            <w:tcBorders>
              <w:top w:val="single" w:sz="4" w:space="0" w:color="auto"/>
              <w:left w:val="single" w:sz="4" w:space="0" w:color="auto"/>
              <w:bottom w:val="single" w:sz="4" w:space="0" w:color="auto"/>
              <w:right w:val="single" w:sz="4" w:space="0" w:color="auto"/>
            </w:tcBorders>
            <w:vAlign w:val="center"/>
          </w:tcPr>
          <w:p>
            <w:pPr>
              <w:widowControl/>
              <w:snapToGrid w:val="0"/>
              <w:spacing w:after="0" w:line="240" w:lineRule="auto"/>
              <w:jc w:val="center"/>
              <w:rPr>
                <w:rFonts w:ascii="宋体" w:hAnsi="宋体"/>
                <w:color w:val="000000"/>
                <w:kern w:val="0"/>
                <w:sz w:val="24"/>
                <w:szCs w:val="24"/>
              </w:rPr>
            </w:pPr>
            <w:r>
              <w:rPr>
                <w:rFonts w:ascii="宋体" w:hAnsi="宋体"/>
                <w:color w:val="000000"/>
                <w:kern w:val="0"/>
                <w:sz w:val="24"/>
                <w:szCs w:val="24"/>
              </w:rPr>
              <w:t>锦浪科技</w:t>
            </w:r>
          </w:p>
        </w:tc>
        <w:tc>
          <w:tcPr>
            <w:tcW w:w="7" w:type="dxa"/>
            <w:tcBorders>
              <w:top w:val="single" w:sz="4" w:space="0" w:color="auto"/>
              <w:left w:val="single" w:sz="4" w:space="0" w:color="auto"/>
              <w:bottom w:val="single" w:sz="4" w:space="0" w:color="auto"/>
              <w:right w:val="single" w:sz="4" w:space="0" w:color="auto"/>
            </w:tcBorders>
            <w:vAlign w:val="center"/>
          </w:tcPr>
          <w:p>
            <w:pPr>
              <w:widowControl/>
              <w:snapToGrid w:val="0"/>
              <w:spacing w:after="0" w:line="240" w:lineRule="auto"/>
              <w:jc w:val="right"/>
              <w:rPr>
                <w:rFonts w:ascii="宋体" w:hAnsi="宋体"/>
                <w:color w:val="000000"/>
                <w:kern w:val="0"/>
                <w:sz w:val="24"/>
                <w:szCs w:val="24"/>
              </w:rPr>
            </w:pPr>
            <w:r>
              <w:rPr>
                <w:rFonts w:ascii="宋体" w:hAnsi="宋体"/>
                <w:color w:val="000000"/>
                <w:kern w:val="0"/>
                <w:sz w:val="24"/>
                <w:szCs w:val="24"/>
              </w:rPr>
              <w:t>44,200</w:t>
            </w:r>
          </w:p>
        </w:tc>
        <w:tc>
          <w:tcPr>
            <w:tcW w:w="7" w:type="dxa"/>
            <w:tcBorders>
              <w:top w:val="single" w:sz="4" w:space="0" w:color="auto"/>
              <w:left w:val="single" w:sz="4" w:space="0" w:color="auto"/>
              <w:bottom w:val="single" w:sz="4" w:space="0" w:color="auto"/>
              <w:right w:val="single" w:sz="4" w:space="0" w:color="auto"/>
            </w:tcBorders>
            <w:vAlign w:val="center"/>
          </w:tcPr>
          <w:p>
            <w:pPr>
              <w:widowControl/>
              <w:snapToGrid w:val="0"/>
              <w:spacing w:after="0" w:line="240" w:lineRule="auto"/>
              <w:jc w:val="right"/>
              <w:rPr>
                <w:rFonts w:ascii="宋体" w:hAnsi="宋体"/>
                <w:color w:val="000000"/>
                <w:kern w:val="0"/>
                <w:sz w:val="24"/>
                <w:szCs w:val="24"/>
              </w:rPr>
            </w:pPr>
            <w:r>
              <w:rPr>
                <w:rFonts w:ascii="宋体" w:hAnsi="宋体"/>
                <w:color w:val="000000"/>
                <w:kern w:val="0"/>
                <w:sz w:val="24"/>
                <w:szCs w:val="24"/>
              </w:rPr>
              <w:t>3,993,470.00</w:t>
            </w:r>
          </w:p>
        </w:tc>
        <w:tc>
          <w:tcPr>
            <w:tcW w:w="7" w:type="dxa"/>
            <w:tcBorders>
              <w:top w:val="single" w:sz="4" w:space="0" w:color="auto"/>
              <w:left w:val="single" w:sz="4" w:space="0" w:color="auto"/>
              <w:bottom w:val="single" w:sz="4" w:space="0" w:color="auto"/>
              <w:right w:val="single" w:sz="4" w:space="0" w:color="auto"/>
            </w:tcBorders>
            <w:vAlign w:val="center"/>
          </w:tcPr>
          <w:p>
            <w:pPr>
              <w:widowControl/>
              <w:snapToGrid w:val="0"/>
              <w:spacing w:after="0" w:line="240" w:lineRule="auto"/>
              <w:jc w:val="right"/>
              <w:rPr>
                <w:rFonts w:ascii="宋体" w:hAnsi="宋体"/>
                <w:color w:val="000000"/>
                <w:kern w:val="0"/>
                <w:sz w:val="24"/>
                <w:szCs w:val="24"/>
              </w:rPr>
            </w:pPr>
            <w:r>
              <w:rPr>
                <w:rFonts w:ascii="宋体" w:hAnsi="宋体"/>
                <w:color w:val="000000"/>
                <w:kern w:val="0"/>
                <w:sz w:val="24"/>
                <w:szCs w:val="24"/>
              </w:rPr>
              <w:t>7.99</w:t>
            </w:r>
          </w:p>
        </w:tc>
      </w:tr>
      <w:tr>
        <w:tblPrEx>
          <w:tblW w:w="5000" w:type="pct"/>
          <w:tblInd w:w="0" w:type="dxa"/>
          <w:tblLayout w:type="fixed"/>
          <w:tblCellMar>
            <w:top w:w="0" w:type="dxa"/>
            <w:left w:w="0" w:type="dxa"/>
            <w:bottom w:w="0" w:type="dxa"/>
            <w:right w:w="0" w:type="dxa"/>
          </w:tblCellMar>
          <w:tblLook w:val="0000"/>
        </w:tblPrEx>
        <w:trPr>
          <w:cantSplit/>
          <w:trHeight w:val="375"/>
        </w:trPr>
        <w:tc>
          <w:tcPr>
            <w:tcW w:w="7" w:type="dxa"/>
            <w:tcBorders>
              <w:top w:val="single" w:sz="4" w:space="0" w:color="auto"/>
              <w:left w:val="single" w:sz="4" w:space="0" w:color="auto"/>
              <w:bottom w:val="single" w:sz="4" w:space="0" w:color="auto"/>
              <w:right w:val="single" w:sz="4" w:space="0" w:color="auto"/>
            </w:tcBorders>
            <w:vAlign w:val="center"/>
          </w:tcPr>
          <w:p>
            <w:pPr>
              <w:widowControl/>
              <w:snapToGrid w:val="0"/>
              <w:spacing w:after="0" w:line="240" w:lineRule="auto"/>
              <w:jc w:val="center"/>
              <w:rPr>
                <w:rFonts w:ascii="宋体" w:hAnsi="宋体"/>
                <w:color w:val="000000"/>
                <w:kern w:val="0"/>
                <w:sz w:val="24"/>
                <w:szCs w:val="24"/>
              </w:rPr>
            </w:pPr>
            <w:r>
              <w:rPr>
                <w:rFonts w:ascii="宋体" w:hAnsi="宋体"/>
                <w:color w:val="000000"/>
                <w:kern w:val="0"/>
                <w:sz w:val="24"/>
                <w:szCs w:val="24"/>
              </w:rPr>
              <w:t>2</w:t>
            </w:r>
          </w:p>
        </w:tc>
        <w:tc>
          <w:tcPr>
            <w:tcW w:w="7" w:type="dxa"/>
            <w:tcBorders>
              <w:top w:val="single" w:sz="4" w:space="0" w:color="auto"/>
              <w:left w:val="single" w:sz="4" w:space="0" w:color="auto"/>
              <w:bottom w:val="single" w:sz="4" w:space="0" w:color="auto"/>
              <w:right w:val="single" w:sz="4" w:space="0" w:color="auto"/>
            </w:tcBorders>
            <w:vAlign w:val="center"/>
          </w:tcPr>
          <w:p>
            <w:pPr>
              <w:widowControl/>
              <w:snapToGrid w:val="0"/>
              <w:spacing w:after="0" w:line="240" w:lineRule="auto"/>
              <w:jc w:val="center"/>
              <w:rPr>
                <w:rFonts w:ascii="宋体" w:hAnsi="宋体"/>
                <w:color w:val="000000"/>
                <w:kern w:val="0"/>
                <w:sz w:val="24"/>
                <w:szCs w:val="24"/>
              </w:rPr>
            </w:pPr>
            <w:r>
              <w:rPr>
                <w:rFonts w:ascii="宋体" w:hAnsi="宋体"/>
                <w:color w:val="000000"/>
                <w:kern w:val="0"/>
                <w:sz w:val="24"/>
                <w:szCs w:val="24"/>
              </w:rPr>
              <w:t>601689</w:t>
            </w:r>
          </w:p>
        </w:tc>
        <w:tc>
          <w:tcPr>
            <w:tcW w:w="7" w:type="dxa"/>
            <w:tcBorders>
              <w:top w:val="single" w:sz="4" w:space="0" w:color="auto"/>
              <w:left w:val="single" w:sz="4" w:space="0" w:color="auto"/>
              <w:bottom w:val="single" w:sz="4" w:space="0" w:color="auto"/>
              <w:right w:val="single" w:sz="4" w:space="0" w:color="auto"/>
            </w:tcBorders>
            <w:vAlign w:val="center"/>
          </w:tcPr>
          <w:p>
            <w:pPr>
              <w:widowControl/>
              <w:snapToGrid w:val="0"/>
              <w:spacing w:after="0" w:line="240" w:lineRule="auto"/>
              <w:jc w:val="center"/>
              <w:rPr>
                <w:rFonts w:ascii="宋体" w:hAnsi="宋体"/>
                <w:color w:val="000000"/>
                <w:kern w:val="0"/>
                <w:sz w:val="24"/>
                <w:szCs w:val="24"/>
              </w:rPr>
            </w:pPr>
            <w:r>
              <w:rPr>
                <w:rFonts w:ascii="宋体" w:hAnsi="宋体"/>
                <w:color w:val="000000"/>
                <w:kern w:val="0"/>
                <w:sz w:val="24"/>
                <w:szCs w:val="24"/>
              </w:rPr>
              <w:t>拓普集团</w:t>
            </w:r>
          </w:p>
        </w:tc>
        <w:tc>
          <w:tcPr>
            <w:tcW w:w="7" w:type="dxa"/>
            <w:tcBorders>
              <w:top w:val="single" w:sz="4" w:space="0" w:color="auto"/>
              <w:left w:val="single" w:sz="4" w:space="0" w:color="auto"/>
              <w:bottom w:val="single" w:sz="4" w:space="0" w:color="auto"/>
              <w:right w:val="single" w:sz="4" w:space="0" w:color="auto"/>
            </w:tcBorders>
            <w:vAlign w:val="center"/>
          </w:tcPr>
          <w:p>
            <w:pPr>
              <w:widowControl/>
              <w:snapToGrid w:val="0"/>
              <w:spacing w:after="0" w:line="240" w:lineRule="auto"/>
              <w:jc w:val="right"/>
              <w:rPr>
                <w:rFonts w:ascii="宋体" w:hAnsi="宋体"/>
                <w:color w:val="000000"/>
                <w:kern w:val="0"/>
                <w:sz w:val="24"/>
                <w:szCs w:val="24"/>
              </w:rPr>
            </w:pPr>
            <w:r>
              <w:rPr>
                <w:rFonts w:ascii="宋体" w:hAnsi="宋体"/>
                <w:color w:val="000000"/>
                <w:kern w:val="0"/>
                <w:sz w:val="24"/>
                <w:szCs w:val="24"/>
              </w:rPr>
              <w:t>58,600</w:t>
            </w:r>
          </w:p>
        </w:tc>
        <w:tc>
          <w:tcPr>
            <w:tcW w:w="7" w:type="dxa"/>
            <w:tcBorders>
              <w:top w:val="single" w:sz="4" w:space="0" w:color="auto"/>
              <w:left w:val="single" w:sz="4" w:space="0" w:color="auto"/>
              <w:bottom w:val="single" w:sz="4" w:space="0" w:color="auto"/>
              <w:right w:val="single" w:sz="4" w:space="0" w:color="auto"/>
            </w:tcBorders>
            <w:vAlign w:val="center"/>
          </w:tcPr>
          <w:p>
            <w:pPr>
              <w:widowControl/>
              <w:snapToGrid w:val="0"/>
              <w:spacing w:after="0" w:line="240" w:lineRule="auto"/>
              <w:jc w:val="right"/>
              <w:rPr>
                <w:rFonts w:ascii="宋体" w:hAnsi="宋体"/>
                <w:color w:val="000000"/>
                <w:kern w:val="0"/>
                <w:sz w:val="24"/>
                <w:szCs w:val="24"/>
              </w:rPr>
            </w:pPr>
            <w:r>
              <w:rPr>
                <w:rFonts w:ascii="宋体" w:hAnsi="宋体"/>
                <w:color w:val="000000"/>
                <w:kern w:val="0"/>
                <w:sz w:val="24"/>
                <w:szCs w:val="24"/>
              </w:rPr>
              <w:t>3,306,212.00</w:t>
            </w:r>
          </w:p>
        </w:tc>
        <w:tc>
          <w:tcPr>
            <w:tcW w:w="7" w:type="dxa"/>
            <w:tcBorders>
              <w:top w:val="single" w:sz="4" w:space="0" w:color="auto"/>
              <w:left w:val="single" w:sz="4" w:space="0" w:color="auto"/>
              <w:bottom w:val="single" w:sz="4" w:space="0" w:color="auto"/>
              <w:right w:val="single" w:sz="4" w:space="0" w:color="auto"/>
            </w:tcBorders>
            <w:vAlign w:val="center"/>
          </w:tcPr>
          <w:p>
            <w:pPr>
              <w:widowControl/>
              <w:snapToGrid w:val="0"/>
              <w:spacing w:after="0" w:line="240" w:lineRule="auto"/>
              <w:jc w:val="right"/>
              <w:rPr>
                <w:rFonts w:ascii="宋体" w:hAnsi="宋体"/>
                <w:color w:val="000000"/>
                <w:kern w:val="0"/>
                <w:sz w:val="24"/>
                <w:szCs w:val="24"/>
              </w:rPr>
            </w:pPr>
            <w:r>
              <w:rPr>
                <w:rFonts w:ascii="宋体" w:hAnsi="宋体"/>
                <w:color w:val="000000"/>
                <w:kern w:val="0"/>
                <w:sz w:val="24"/>
                <w:szCs w:val="24"/>
              </w:rPr>
              <w:t>6.61</w:t>
            </w:r>
          </w:p>
        </w:tc>
      </w:tr>
      <w:tr>
        <w:tblPrEx>
          <w:tblW w:w="5000" w:type="pct"/>
          <w:tblInd w:w="0" w:type="dxa"/>
          <w:tblLayout w:type="fixed"/>
          <w:tblCellMar>
            <w:top w:w="0" w:type="dxa"/>
            <w:left w:w="0" w:type="dxa"/>
            <w:bottom w:w="0" w:type="dxa"/>
            <w:right w:w="0" w:type="dxa"/>
          </w:tblCellMar>
          <w:tblLook w:val="0000"/>
        </w:tblPrEx>
        <w:trPr>
          <w:cantSplit/>
          <w:trHeight w:val="375"/>
        </w:trPr>
        <w:tc>
          <w:tcPr>
            <w:tcW w:w="7" w:type="dxa"/>
            <w:tcBorders>
              <w:top w:val="single" w:sz="4" w:space="0" w:color="auto"/>
              <w:left w:val="single" w:sz="4" w:space="0" w:color="auto"/>
              <w:bottom w:val="single" w:sz="4" w:space="0" w:color="auto"/>
              <w:right w:val="single" w:sz="4" w:space="0" w:color="auto"/>
            </w:tcBorders>
            <w:vAlign w:val="center"/>
          </w:tcPr>
          <w:p>
            <w:pPr>
              <w:widowControl/>
              <w:snapToGrid w:val="0"/>
              <w:spacing w:after="0" w:line="240" w:lineRule="auto"/>
              <w:jc w:val="center"/>
              <w:rPr>
                <w:rFonts w:ascii="宋体" w:hAnsi="宋体"/>
                <w:color w:val="000000"/>
                <w:kern w:val="0"/>
                <w:sz w:val="24"/>
                <w:szCs w:val="24"/>
              </w:rPr>
            </w:pPr>
            <w:r>
              <w:rPr>
                <w:rFonts w:ascii="宋体" w:hAnsi="宋体"/>
                <w:color w:val="000000"/>
                <w:kern w:val="0"/>
                <w:sz w:val="24"/>
                <w:szCs w:val="24"/>
              </w:rPr>
              <w:t>3</w:t>
            </w:r>
          </w:p>
        </w:tc>
        <w:tc>
          <w:tcPr>
            <w:tcW w:w="7" w:type="dxa"/>
            <w:tcBorders>
              <w:top w:val="single" w:sz="4" w:space="0" w:color="auto"/>
              <w:left w:val="single" w:sz="4" w:space="0" w:color="auto"/>
              <w:bottom w:val="single" w:sz="4" w:space="0" w:color="auto"/>
              <w:right w:val="single" w:sz="4" w:space="0" w:color="auto"/>
            </w:tcBorders>
            <w:vAlign w:val="center"/>
          </w:tcPr>
          <w:p>
            <w:pPr>
              <w:widowControl/>
              <w:snapToGrid w:val="0"/>
              <w:spacing w:after="0" w:line="240" w:lineRule="auto"/>
              <w:jc w:val="center"/>
              <w:rPr>
                <w:rFonts w:ascii="宋体" w:hAnsi="宋体"/>
                <w:color w:val="000000"/>
                <w:kern w:val="0"/>
                <w:sz w:val="24"/>
                <w:szCs w:val="24"/>
              </w:rPr>
            </w:pPr>
            <w:r>
              <w:rPr>
                <w:rFonts w:ascii="宋体" w:hAnsi="宋体"/>
                <w:color w:val="000000"/>
                <w:kern w:val="0"/>
                <w:sz w:val="24"/>
                <w:szCs w:val="24"/>
              </w:rPr>
              <w:t>002594</w:t>
            </w:r>
          </w:p>
        </w:tc>
        <w:tc>
          <w:tcPr>
            <w:tcW w:w="7" w:type="dxa"/>
            <w:tcBorders>
              <w:top w:val="single" w:sz="4" w:space="0" w:color="auto"/>
              <w:left w:val="single" w:sz="4" w:space="0" w:color="auto"/>
              <w:bottom w:val="single" w:sz="4" w:space="0" w:color="auto"/>
              <w:right w:val="single" w:sz="4" w:space="0" w:color="auto"/>
            </w:tcBorders>
            <w:vAlign w:val="center"/>
          </w:tcPr>
          <w:p>
            <w:pPr>
              <w:widowControl/>
              <w:snapToGrid w:val="0"/>
              <w:spacing w:after="0" w:line="240" w:lineRule="auto"/>
              <w:jc w:val="center"/>
              <w:rPr>
                <w:rFonts w:ascii="宋体" w:hAnsi="宋体"/>
                <w:color w:val="000000"/>
                <w:kern w:val="0"/>
                <w:sz w:val="24"/>
                <w:szCs w:val="24"/>
              </w:rPr>
            </w:pPr>
            <w:r>
              <w:rPr>
                <w:rFonts w:ascii="宋体" w:hAnsi="宋体"/>
                <w:color w:val="000000"/>
                <w:kern w:val="0"/>
                <w:sz w:val="24"/>
                <w:szCs w:val="24"/>
              </w:rPr>
              <w:t>比亚迪</w:t>
            </w:r>
          </w:p>
        </w:tc>
        <w:tc>
          <w:tcPr>
            <w:tcW w:w="7" w:type="dxa"/>
            <w:tcBorders>
              <w:top w:val="single" w:sz="4" w:space="0" w:color="auto"/>
              <w:left w:val="single" w:sz="4" w:space="0" w:color="auto"/>
              <w:bottom w:val="single" w:sz="4" w:space="0" w:color="auto"/>
              <w:right w:val="single" w:sz="4" w:space="0" w:color="auto"/>
            </w:tcBorders>
            <w:vAlign w:val="center"/>
          </w:tcPr>
          <w:p>
            <w:pPr>
              <w:widowControl/>
              <w:snapToGrid w:val="0"/>
              <w:spacing w:after="0" w:line="240" w:lineRule="auto"/>
              <w:jc w:val="right"/>
              <w:rPr>
                <w:rFonts w:ascii="宋体" w:hAnsi="宋体"/>
                <w:color w:val="000000"/>
                <w:kern w:val="0"/>
                <w:sz w:val="24"/>
                <w:szCs w:val="24"/>
              </w:rPr>
            </w:pPr>
            <w:r>
              <w:rPr>
                <w:rFonts w:ascii="宋体" w:hAnsi="宋体"/>
                <w:color w:val="000000"/>
                <w:kern w:val="0"/>
                <w:sz w:val="24"/>
                <w:szCs w:val="24"/>
              </w:rPr>
              <w:t>36,700</w:t>
            </w:r>
          </w:p>
        </w:tc>
        <w:tc>
          <w:tcPr>
            <w:tcW w:w="7" w:type="dxa"/>
            <w:tcBorders>
              <w:top w:val="single" w:sz="4" w:space="0" w:color="auto"/>
              <w:left w:val="single" w:sz="4" w:space="0" w:color="auto"/>
              <w:bottom w:val="single" w:sz="4" w:space="0" w:color="auto"/>
              <w:right w:val="single" w:sz="4" w:space="0" w:color="auto"/>
            </w:tcBorders>
            <w:vAlign w:val="center"/>
          </w:tcPr>
          <w:p>
            <w:pPr>
              <w:widowControl/>
              <w:snapToGrid w:val="0"/>
              <w:spacing w:after="0" w:line="240" w:lineRule="auto"/>
              <w:jc w:val="right"/>
              <w:rPr>
                <w:rFonts w:ascii="宋体" w:hAnsi="宋体"/>
                <w:color w:val="000000"/>
                <w:kern w:val="0"/>
                <w:sz w:val="24"/>
                <w:szCs w:val="24"/>
              </w:rPr>
            </w:pPr>
            <w:r>
              <w:rPr>
                <w:rFonts w:ascii="宋体" w:hAnsi="宋体"/>
                <w:color w:val="000000"/>
                <w:kern w:val="0"/>
                <w:sz w:val="24"/>
                <w:szCs w:val="24"/>
              </w:rPr>
              <w:t>2,924,990.00</w:t>
            </w:r>
          </w:p>
        </w:tc>
        <w:tc>
          <w:tcPr>
            <w:tcW w:w="7" w:type="dxa"/>
            <w:tcBorders>
              <w:top w:val="single" w:sz="4" w:space="0" w:color="auto"/>
              <w:left w:val="single" w:sz="4" w:space="0" w:color="auto"/>
              <w:bottom w:val="single" w:sz="4" w:space="0" w:color="auto"/>
              <w:right w:val="single" w:sz="4" w:space="0" w:color="auto"/>
            </w:tcBorders>
            <w:vAlign w:val="center"/>
          </w:tcPr>
          <w:p>
            <w:pPr>
              <w:widowControl/>
              <w:snapToGrid w:val="0"/>
              <w:spacing w:after="0" w:line="240" w:lineRule="auto"/>
              <w:jc w:val="right"/>
              <w:rPr>
                <w:rFonts w:ascii="宋体" w:hAnsi="宋体"/>
                <w:color w:val="000000"/>
                <w:kern w:val="0"/>
                <w:sz w:val="24"/>
                <w:szCs w:val="24"/>
              </w:rPr>
            </w:pPr>
            <w:r>
              <w:rPr>
                <w:rFonts w:ascii="宋体" w:hAnsi="宋体"/>
                <w:color w:val="000000"/>
                <w:kern w:val="0"/>
                <w:sz w:val="24"/>
                <w:szCs w:val="24"/>
              </w:rPr>
              <w:t>5.85</w:t>
            </w:r>
          </w:p>
        </w:tc>
      </w:tr>
      <w:tr>
        <w:tblPrEx>
          <w:tblW w:w="5000" w:type="pct"/>
          <w:tblInd w:w="0" w:type="dxa"/>
          <w:tblLayout w:type="fixed"/>
          <w:tblCellMar>
            <w:top w:w="0" w:type="dxa"/>
            <w:left w:w="0" w:type="dxa"/>
            <w:bottom w:w="0" w:type="dxa"/>
            <w:right w:w="0" w:type="dxa"/>
          </w:tblCellMar>
          <w:tblLook w:val="0000"/>
        </w:tblPrEx>
        <w:trPr>
          <w:cantSplit/>
          <w:trHeight w:val="375"/>
        </w:trPr>
        <w:tc>
          <w:tcPr>
            <w:tcW w:w="7" w:type="dxa"/>
            <w:tcBorders>
              <w:top w:val="single" w:sz="4" w:space="0" w:color="auto"/>
              <w:left w:val="single" w:sz="4" w:space="0" w:color="auto"/>
              <w:bottom w:val="single" w:sz="4" w:space="0" w:color="auto"/>
              <w:right w:val="single" w:sz="4" w:space="0" w:color="auto"/>
            </w:tcBorders>
            <w:vAlign w:val="center"/>
          </w:tcPr>
          <w:p>
            <w:pPr>
              <w:widowControl/>
              <w:snapToGrid w:val="0"/>
              <w:spacing w:after="0" w:line="240" w:lineRule="auto"/>
              <w:jc w:val="center"/>
              <w:rPr>
                <w:rFonts w:ascii="宋体" w:hAnsi="宋体"/>
                <w:color w:val="000000"/>
                <w:kern w:val="0"/>
                <w:sz w:val="24"/>
                <w:szCs w:val="24"/>
              </w:rPr>
            </w:pPr>
            <w:r>
              <w:rPr>
                <w:rFonts w:ascii="宋体" w:hAnsi="宋体"/>
                <w:color w:val="000000"/>
                <w:kern w:val="0"/>
                <w:sz w:val="24"/>
                <w:szCs w:val="24"/>
              </w:rPr>
              <w:t>4</w:t>
            </w:r>
          </w:p>
        </w:tc>
        <w:tc>
          <w:tcPr>
            <w:tcW w:w="7" w:type="dxa"/>
            <w:tcBorders>
              <w:top w:val="single" w:sz="4" w:space="0" w:color="auto"/>
              <w:left w:val="single" w:sz="4" w:space="0" w:color="auto"/>
              <w:bottom w:val="single" w:sz="4" w:space="0" w:color="auto"/>
              <w:right w:val="single" w:sz="4" w:space="0" w:color="auto"/>
            </w:tcBorders>
            <w:vAlign w:val="center"/>
          </w:tcPr>
          <w:p>
            <w:pPr>
              <w:widowControl/>
              <w:snapToGrid w:val="0"/>
              <w:spacing w:after="0" w:line="240" w:lineRule="auto"/>
              <w:jc w:val="center"/>
              <w:rPr>
                <w:rFonts w:ascii="宋体" w:hAnsi="宋体"/>
                <w:color w:val="000000"/>
                <w:kern w:val="0"/>
                <w:sz w:val="24"/>
                <w:szCs w:val="24"/>
              </w:rPr>
            </w:pPr>
            <w:r>
              <w:rPr>
                <w:rFonts w:ascii="宋体" w:hAnsi="宋体"/>
                <w:color w:val="000000"/>
                <w:kern w:val="0"/>
                <w:sz w:val="24"/>
                <w:szCs w:val="24"/>
              </w:rPr>
              <w:t>300037</w:t>
            </w:r>
          </w:p>
        </w:tc>
        <w:tc>
          <w:tcPr>
            <w:tcW w:w="7" w:type="dxa"/>
            <w:tcBorders>
              <w:top w:val="single" w:sz="4" w:space="0" w:color="auto"/>
              <w:left w:val="single" w:sz="4" w:space="0" w:color="auto"/>
              <w:bottom w:val="single" w:sz="4" w:space="0" w:color="auto"/>
              <w:right w:val="single" w:sz="4" w:space="0" w:color="auto"/>
            </w:tcBorders>
            <w:vAlign w:val="center"/>
          </w:tcPr>
          <w:p>
            <w:pPr>
              <w:widowControl/>
              <w:snapToGrid w:val="0"/>
              <w:spacing w:after="0" w:line="240" w:lineRule="auto"/>
              <w:jc w:val="center"/>
              <w:rPr>
                <w:rFonts w:ascii="宋体" w:hAnsi="宋体"/>
                <w:color w:val="000000"/>
                <w:kern w:val="0"/>
                <w:sz w:val="24"/>
                <w:szCs w:val="24"/>
              </w:rPr>
            </w:pPr>
            <w:r>
              <w:rPr>
                <w:rFonts w:ascii="宋体" w:hAnsi="宋体"/>
                <w:color w:val="000000"/>
                <w:kern w:val="0"/>
                <w:sz w:val="24"/>
                <w:szCs w:val="24"/>
              </w:rPr>
              <w:t>新宙邦</w:t>
            </w:r>
          </w:p>
        </w:tc>
        <w:tc>
          <w:tcPr>
            <w:tcW w:w="7" w:type="dxa"/>
            <w:tcBorders>
              <w:top w:val="single" w:sz="4" w:space="0" w:color="auto"/>
              <w:left w:val="single" w:sz="4" w:space="0" w:color="auto"/>
              <w:bottom w:val="single" w:sz="4" w:space="0" w:color="auto"/>
              <w:right w:val="single" w:sz="4" w:space="0" w:color="auto"/>
            </w:tcBorders>
            <w:vAlign w:val="center"/>
          </w:tcPr>
          <w:p>
            <w:pPr>
              <w:widowControl/>
              <w:snapToGrid w:val="0"/>
              <w:spacing w:after="0" w:line="240" w:lineRule="auto"/>
              <w:jc w:val="right"/>
              <w:rPr>
                <w:rFonts w:ascii="宋体" w:hAnsi="宋体"/>
                <w:color w:val="000000"/>
                <w:kern w:val="0"/>
                <w:sz w:val="24"/>
                <w:szCs w:val="24"/>
              </w:rPr>
            </w:pPr>
            <w:r>
              <w:rPr>
                <w:rFonts w:ascii="宋体" w:hAnsi="宋体"/>
                <w:color w:val="000000"/>
                <w:kern w:val="0"/>
                <w:sz w:val="24"/>
                <w:szCs w:val="24"/>
              </w:rPr>
              <w:t>29,800</w:t>
            </w:r>
          </w:p>
        </w:tc>
        <w:tc>
          <w:tcPr>
            <w:tcW w:w="7" w:type="dxa"/>
            <w:tcBorders>
              <w:top w:val="single" w:sz="4" w:space="0" w:color="auto"/>
              <w:left w:val="single" w:sz="4" w:space="0" w:color="auto"/>
              <w:bottom w:val="single" w:sz="4" w:space="0" w:color="auto"/>
              <w:right w:val="single" w:sz="4" w:space="0" w:color="auto"/>
            </w:tcBorders>
            <w:vAlign w:val="center"/>
          </w:tcPr>
          <w:p>
            <w:pPr>
              <w:widowControl/>
              <w:snapToGrid w:val="0"/>
              <w:spacing w:after="0" w:line="240" w:lineRule="auto"/>
              <w:jc w:val="right"/>
              <w:rPr>
                <w:rFonts w:ascii="宋体" w:hAnsi="宋体"/>
                <w:color w:val="000000"/>
                <w:kern w:val="0"/>
                <w:sz w:val="24"/>
                <w:szCs w:val="24"/>
              </w:rPr>
            </w:pPr>
            <w:r>
              <w:rPr>
                <w:rFonts w:ascii="宋体" w:hAnsi="宋体"/>
                <w:color w:val="000000"/>
                <w:kern w:val="0"/>
                <w:sz w:val="24"/>
                <w:szCs w:val="24"/>
              </w:rPr>
              <w:t>2,766,930.00</w:t>
            </w:r>
          </w:p>
        </w:tc>
        <w:tc>
          <w:tcPr>
            <w:tcW w:w="7" w:type="dxa"/>
            <w:tcBorders>
              <w:top w:val="single" w:sz="4" w:space="0" w:color="auto"/>
              <w:left w:val="single" w:sz="4" w:space="0" w:color="auto"/>
              <w:bottom w:val="single" w:sz="4" w:space="0" w:color="auto"/>
              <w:right w:val="single" w:sz="4" w:space="0" w:color="auto"/>
            </w:tcBorders>
            <w:vAlign w:val="center"/>
          </w:tcPr>
          <w:p>
            <w:pPr>
              <w:widowControl/>
              <w:snapToGrid w:val="0"/>
              <w:spacing w:after="0" w:line="240" w:lineRule="auto"/>
              <w:jc w:val="right"/>
              <w:rPr>
                <w:rFonts w:ascii="宋体" w:hAnsi="宋体"/>
                <w:color w:val="000000"/>
                <w:kern w:val="0"/>
                <w:sz w:val="24"/>
                <w:szCs w:val="24"/>
              </w:rPr>
            </w:pPr>
            <w:r>
              <w:rPr>
                <w:rFonts w:ascii="宋体" w:hAnsi="宋体"/>
                <w:color w:val="000000"/>
                <w:kern w:val="0"/>
                <w:sz w:val="24"/>
                <w:szCs w:val="24"/>
              </w:rPr>
              <w:t>5.53</w:t>
            </w:r>
          </w:p>
        </w:tc>
      </w:tr>
      <w:tr>
        <w:tblPrEx>
          <w:tblW w:w="5000" w:type="pct"/>
          <w:tblInd w:w="0" w:type="dxa"/>
          <w:tblLayout w:type="fixed"/>
          <w:tblCellMar>
            <w:top w:w="0" w:type="dxa"/>
            <w:left w:w="0" w:type="dxa"/>
            <w:bottom w:w="0" w:type="dxa"/>
            <w:right w:w="0" w:type="dxa"/>
          </w:tblCellMar>
          <w:tblLook w:val="0000"/>
        </w:tblPrEx>
        <w:trPr>
          <w:cantSplit/>
          <w:trHeight w:val="375"/>
        </w:trPr>
        <w:tc>
          <w:tcPr>
            <w:tcW w:w="7" w:type="dxa"/>
            <w:tcBorders>
              <w:top w:val="single" w:sz="4" w:space="0" w:color="auto"/>
              <w:left w:val="single" w:sz="4" w:space="0" w:color="auto"/>
              <w:bottom w:val="single" w:sz="4" w:space="0" w:color="auto"/>
              <w:right w:val="single" w:sz="4" w:space="0" w:color="auto"/>
            </w:tcBorders>
            <w:vAlign w:val="center"/>
          </w:tcPr>
          <w:p>
            <w:pPr>
              <w:widowControl/>
              <w:snapToGrid w:val="0"/>
              <w:spacing w:after="0" w:line="240" w:lineRule="auto"/>
              <w:jc w:val="center"/>
              <w:rPr>
                <w:rFonts w:ascii="宋体" w:hAnsi="宋体"/>
                <w:color w:val="000000"/>
                <w:kern w:val="0"/>
                <w:sz w:val="24"/>
                <w:szCs w:val="24"/>
              </w:rPr>
            </w:pPr>
            <w:r>
              <w:rPr>
                <w:rFonts w:ascii="宋体" w:hAnsi="宋体"/>
                <w:color w:val="000000"/>
                <w:kern w:val="0"/>
                <w:sz w:val="24"/>
                <w:szCs w:val="24"/>
              </w:rPr>
              <w:t>5</w:t>
            </w:r>
          </w:p>
        </w:tc>
        <w:tc>
          <w:tcPr>
            <w:tcW w:w="7" w:type="dxa"/>
            <w:tcBorders>
              <w:top w:val="single" w:sz="4" w:space="0" w:color="auto"/>
              <w:left w:val="single" w:sz="4" w:space="0" w:color="auto"/>
              <w:bottom w:val="single" w:sz="4" w:space="0" w:color="auto"/>
              <w:right w:val="single" w:sz="4" w:space="0" w:color="auto"/>
            </w:tcBorders>
            <w:vAlign w:val="center"/>
          </w:tcPr>
          <w:p>
            <w:pPr>
              <w:widowControl/>
              <w:snapToGrid w:val="0"/>
              <w:spacing w:after="0" w:line="240" w:lineRule="auto"/>
              <w:jc w:val="center"/>
              <w:rPr>
                <w:rFonts w:ascii="宋体" w:hAnsi="宋体"/>
                <w:color w:val="000000"/>
                <w:kern w:val="0"/>
                <w:sz w:val="24"/>
                <w:szCs w:val="24"/>
              </w:rPr>
            </w:pPr>
            <w:r>
              <w:rPr>
                <w:rFonts w:ascii="宋体" w:hAnsi="宋体"/>
                <w:color w:val="000000"/>
                <w:kern w:val="0"/>
                <w:sz w:val="24"/>
                <w:szCs w:val="24"/>
              </w:rPr>
              <w:t>002050</w:t>
            </w:r>
          </w:p>
        </w:tc>
        <w:tc>
          <w:tcPr>
            <w:tcW w:w="7" w:type="dxa"/>
            <w:tcBorders>
              <w:top w:val="single" w:sz="4" w:space="0" w:color="auto"/>
              <w:left w:val="single" w:sz="4" w:space="0" w:color="auto"/>
              <w:bottom w:val="single" w:sz="4" w:space="0" w:color="auto"/>
              <w:right w:val="single" w:sz="4" w:space="0" w:color="auto"/>
            </w:tcBorders>
            <w:vAlign w:val="center"/>
          </w:tcPr>
          <w:p>
            <w:pPr>
              <w:widowControl/>
              <w:snapToGrid w:val="0"/>
              <w:spacing w:after="0" w:line="240" w:lineRule="auto"/>
              <w:jc w:val="center"/>
              <w:rPr>
                <w:rFonts w:ascii="宋体" w:hAnsi="宋体"/>
                <w:color w:val="000000"/>
                <w:kern w:val="0"/>
                <w:sz w:val="24"/>
                <w:szCs w:val="24"/>
              </w:rPr>
            </w:pPr>
            <w:r>
              <w:rPr>
                <w:rFonts w:ascii="宋体" w:hAnsi="宋体"/>
                <w:color w:val="000000"/>
                <w:kern w:val="0"/>
                <w:sz w:val="24"/>
                <w:szCs w:val="24"/>
              </w:rPr>
              <w:t>三花智控</w:t>
            </w:r>
          </w:p>
        </w:tc>
        <w:tc>
          <w:tcPr>
            <w:tcW w:w="7" w:type="dxa"/>
            <w:tcBorders>
              <w:top w:val="single" w:sz="4" w:space="0" w:color="auto"/>
              <w:left w:val="single" w:sz="4" w:space="0" w:color="auto"/>
              <w:bottom w:val="single" w:sz="4" w:space="0" w:color="auto"/>
              <w:right w:val="single" w:sz="4" w:space="0" w:color="auto"/>
            </w:tcBorders>
            <w:vAlign w:val="center"/>
          </w:tcPr>
          <w:p>
            <w:pPr>
              <w:widowControl/>
              <w:snapToGrid w:val="0"/>
              <w:spacing w:after="0" w:line="240" w:lineRule="auto"/>
              <w:jc w:val="right"/>
              <w:rPr>
                <w:rFonts w:ascii="宋体" w:hAnsi="宋体"/>
                <w:color w:val="000000"/>
                <w:kern w:val="0"/>
                <w:sz w:val="24"/>
                <w:szCs w:val="24"/>
              </w:rPr>
            </w:pPr>
            <w:r>
              <w:rPr>
                <w:rFonts w:ascii="宋体" w:hAnsi="宋体"/>
                <w:color w:val="000000"/>
                <w:kern w:val="0"/>
                <w:sz w:val="24"/>
                <w:szCs w:val="24"/>
              </w:rPr>
              <w:t>57,700</w:t>
            </w:r>
          </w:p>
        </w:tc>
        <w:tc>
          <w:tcPr>
            <w:tcW w:w="7" w:type="dxa"/>
            <w:tcBorders>
              <w:top w:val="single" w:sz="4" w:space="0" w:color="auto"/>
              <w:left w:val="single" w:sz="4" w:space="0" w:color="auto"/>
              <w:bottom w:val="single" w:sz="4" w:space="0" w:color="auto"/>
              <w:right w:val="single" w:sz="4" w:space="0" w:color="auto"/>
            </w:tcBorders>
            <w:vAlign w:val="center"/>
          </w:tcPr>
          <w:p>
            <w:pPr>
              <w:widowControl/>
              <w:snapToGrid w:val="0"/>
              <w:spacing w:after="0" w:line="240" w:lineRule="auto"/>
              <w:jc w:val="right"/>
              <w:rPr>
                <w:rFonts w:ascii="宋体" w:hAnsi="宋体"/>
                <w:color w:val="000000"/>
                <w:kern w:val="0"/>
                <w:sz w:val="24"/>
                <w:szCs w:val="24"/>
              </w:rPr>
            </w:pPr>
            <w:r>
              <w:rPr>
                <w:rFonts w:ascii="宋体" w:hAnsi="宋体"/>
                <w:color w:val="000000"/>
                <w:kern w:val="0"/>
                <w:sz w:val="24"/>
                <w:szCs w:val="24"/>
              </w:rPr>
              <w:t>2,528,991.00</w:t>
            </w:r>
          </w:p>
        </w:tc>
        <w:tc>
          <w:tcPr>
            <w:tcW w:w="7" w:type="dxa"/>
            <w:tcBorders>
              <w:top w:val="single" w:sz="4" w:space="0" w:color="auto"/>
              <w:left w:val="single" w:sz="4" w:space="0" w:color="auto"/>
              <w:bottom w:val="single" w:sz="4" w:space="0" w:color="auto"/>
              <w:right w:val="single" w:sz="4" w:space="0" w:color="auto"/>
            </w:tcBorders>
            <w:vAlign w:val="center"/>
          </w:tcPr>
          <w:p>
            <w:pPr>
              <w:widowControl/>
              <w:snapToGrid w:val="0"/>
              <w:spacing w:after="0" w:line="240" w:lineRule="auto"/>
              <w:jc w:val="right"/>
              <w:rPr>
                <w:rFonts w:ascii="宋体" w:hAnsi="宋体"/>
                <w:color w:val="000000"/>
                <w:kern w:val="0"/>
                <w:sz w:val="24"/>
                <w:szCs w:val="24"/>
              </w:rPr>
            </w:pPr>
            <w:r>
              <w:rPr>
                <w:rFonts w:ascii="宋体" w:hAnsi="宋体"/>
                <w:color w:val="000000"/>
                <w:kern w:val="0"/>
                <w:sz w:val="24"/>
                <w:szCs w:val="24"/>
              </w:rPr>
              <w:t>5.06</w:t>
            </w:r>
          </w:p>
        </w:tc>
      </w:tr>
      <w:tr>
        <w:tblPrEx>
          <w:tblW w:w="5000" w:type="pct"/>
          <w:tblInd w:w="0" w:type="dxa"/>
          <w:tblLayout w:type="fixed"/>
          <w:tblCellMar>
            <w:top w:w="0" w:type="dxa"/>
            <w:left w:w="0" w:type="dxa"/>
            <w:bottom w:w="0" w:type="dxa"/>
            <w:right w:w="0" w:type="dxa"/>
          </w:tblCellMar>
          <w:tblLook w:val="0000"/>
        </w:tblPrEx>
        <w:trPr>
          <w:cantSplit/>
          <w:trHeight w:val="375"/>
        </w:trPr>
        <w:tc>
          <w:tcPr>
            <w:tcW w:w="7" w:type="dxa"/>
            <w:tcBorders>
              <w:top w:val="single" w:sz="4" w:space="0" w:color="auto"/>
              <w:left w:val="single" w:sz="4" w:space="0" w:color="auto"/>
              <w:bottom w:val="single" w:sz="4" w:space="0" w:color="auto"/>
              <w:right w:val="single" w:sz="4" w:space="0" w:color="auto"/>
            </w:tcBorders>
            <w:vAlign w:val="center"/>
          </w:tcPr>
          <w:p>
            <w:pPr>
              <w:widowControl/>
              <w:snapToGrid w:val="0"/>
              <w:spacing w:after="0" w:line="240" w:lineRule="auto"/>
              <w:jc w:val="center"/>
              <w:rPr>
                <w:rFonts w:ascii="宋体" w:hAnsi="宋体"/>
                <w:color w:val="000000"/>
                <w:kern w:val="0"/>
                <w:sz w:val="24"/>
                <w:szCs w:val="24"/>
              </w:rPr>
            </w:pPr>
            <w:r>
              <w:rPr>
                <w:rFonts w:ascii="宋体" w:hAnsi="宋体"/>
                <w:color w:val="000000"/>
                <w:kern w:val="0"/>
                <w:sz w:val="24"/>
                <w:szCs w:val="24"/>
              </w:rPr>
              <w:t>6</w:t>
            </w:r>
          </w:p>
        </w:tc>
        <w:tc>
          <w:tcPr>
            <w:tcW w:w="7" w:type="dxa"/>
            <w:tcBorders>
              <w:top w:val="single" w:sz="4" w:space="0" w:color="auto"/>
              <w:left w:val="single" w:sz="4" w:space="0" w:color="auto"/>
              <w:bottom w:val="single" w:sz="4" w:space="0" w:color="auto"/>
              <w:right w:val="single" w:sz="4" w:space="0" w:color="auto"/>
            </w:tcBorders>
            <w:vAlign w:val="center"/>
          </w:tcPr>
          <w:p>
            <w:pPr>
              <w:widowControl/>
              <w:snapToGrid w:val="0"/>
              <w:spacing w:after="0" w:line="240" w:lineRule="auto"/>
              <w:jc w:val="center"/>
              <w:rPr>
                <w:rFonts w:ascii="宋体" w:hAnsi="宋体"/>
                <w:color w:val="000000"/>
                <w:kern w:val="0"/>
                <w:sz w:val="24"/>
                <w:szCs w:val="24"/>
              </w:rPr>
            </w:pPr>
            <w:r>
              <w:rPr>
                <w:rFonts w:ascii="宋体" w:hAnsi="宋体"/>
                <w:color w:val="000000"/>
                <w:kern w:val="0"/>
                <w:sz w:val="24"/>
                <w:szCs w:val="24"/>
              </w:rPr>
              <w:t>001896</w:t>
            </w:r>
          </w:p>
        </w:tc>
        <w:tc>
          <w:tcPr>
            <w:tcW w:w="7" w:type="dxa"/>
            <w:tcBorders>
              <w:top w:val="single" w:sz="4" w:space="0" w:color="auto"/>
              <w:left w:val="single" w:sz="4" w:space="0" w:color="auto"/>
              <w:bottom w:val="single" w:sz="4" w:space="0" w:color="auto"/>
              <w:right w:val="single" w:sz="4" w:space="0" w:color="auto"/>
            </w:tcBorders>
            <w:vAlign w:val="center"/>
          </w:tcPr>
          <w:p>
            <w:pPr>
              <w:widowControl/>
              <w:snapToGrid w:val="0"/>
              <w:spacing w:after="0" w:line="240" w:lineRule="auto"/>
              <w:jc w:val="center"/>
              <w:rPr>
                <w:rFonts w:ascii="宋体" w:hAnsi="宋体"/>
                <w:color w:val="000000"/>
                <w:kern w:val="0"/>
                <w:sz w:val="24"/>
                <w:szCs w:val="24"/>
              </w:rPr>
            </w:pPr>
            <w:r>
              <w:rPr>
                <w:rFonts w:ascii="宋体" w:hAnsi="宋体"/>
                <w:color w:val="000000"/>
                <w:kern w:val="0"/>
                <w:sz w:val="24"/>
                <w:szCs w:val="24"/>
              </w:rPr>
              <w:t>豫能控股</w:t>
            </w:r>
          </w:p>
        </w:tc>
        <w:tc>
          <w:tcPr>
            <w:tcW w:w="7" w:type="dxa"/>
            <w:tcBorders>
              <w:top w:val="single" w:sz="4" w:space="0" w:color="auto"/>
              <w:left w:val="single" w:sz="4" w:space="0" w:color="auto"/>
              <w:bottom w:val="single" w:sz="4" w:space="0" w:color="auto"/>
              <w:right w:val="single" w:sz="4" w:space="0" w:color="auto"/>
            </w:tcBorders>
            <w:vAlign w:val="center"/>
          </w:tcPr>
          <w:p>
            <w:pPr>
              <w:widowControl/>
              <w:snapToGrid w:val="0"/>
              <w:spacing w:after="0" w:line="240" w:lineRule="auto"/>
              <w:jc w:val="right"/>
              <w:rPr>
                <w:rFonts w:ascii="宋体" w:hAnsi="宋体"/>
                <w:color w:val="000000"/>
                <w:kern w:val="0"/>
                <w:sz w:val="24"/>
                <w:szCs w:val="24"/>
              </w:rPr>
            </w:pPr>
            <w:r>
              <w:rPr>
                <w:rFonts w:ascii="宋体" w:hAnsi="宋体"/>
                <w:color w:val="000000"/>
                <w:kern w:val="0"/>
                <w:sz w:val="24"/>
                <w:szCs w:val="24"/>
              </w:rPr>
              <w:t>147,868</w:t>
            </w:r>
          </w:p>
        </w:tc>
        <w:tc>
          <w:tcPr>
            <w:tcW w:w="7" w:type="dxa"/>
            <w:tcBorders>
              <w:top w:val="single" w:sz="4" w:space="0" w:color="auto"/>
              <w:left w:val="single" w:sz="4" w:space="0" w:color="auto"/>
              <w:bottom w:val="single" w:sz="4" w:space="0" w:color="auto"/>
              <w:right w:val="single" w:sz="4" w:space="0" w:color="auto"/>
            </w:tcBorders>
            <w:vAlign w:val="center"/>
          </w:tcPr>
          <w:p>
            <w:pPr>
              <w:widowControl/>
              <w:snapToGrid w:val="0"/>
              <w:spacing w:after="0" w:line="240" w:lineRule="auto"/>
              <w:jc w:val="right"/>
              <w:rPr>
                <w:rFonts w:ascii="宋体" w:hAnsi="宋体"/>
                <w:color w:val="000000"/>
                <w:kern w:val="0"/>
                <w:sz w:val="24"/>
                <w:szCs w:val="24"/>
              </w:rPr>
            </w:pPr>
            <w:r>
              <w:rPr>
                <w:rFonts w:ascii="宋体" w:hAnsi="宋体"/>
                <w:color w:val="000000"/>
                <w:kern w:val="0"/>
                <w:sz w:val="24"/>
                <w:szCs w:val="24"/>
              </w:rPr>
              <w:t>2,456,087.48</w:t>
            </w:r>
          </w:p>
        </w:tc>
        <w:tc>
          <w:tcPr>
            <w:tcW w:w="7" w:type="dxa"/>
            <w:tcBorders>
              <w:top w:val="single" w:sz="4" w:space="0" w:color="auto"/>
              <w:left w:val="single" w:sz="4" w:space="0" w:color="auto"/>
              <w:bottom w:val="single" w:sz="4" w:space="0" w:color="auto"/>
              <w:right w:val="single" w:sz="4" w:space="0" w:color="auto"/>
            </w:tcBorders>
            <w:vAlign w:val="center"/>
          </w:tcPr>
          <w:p>
            <w:pPr>
              <w:widowControl/>
              <w:snapToGrid w:val="0"/>
              <w:spacing w:after="0" w:line="240" w:lineRule="auto"/>
              <w:jc w:val="right"/>
              <w:rPr>
                <w:rFonts w:ascii="宋体" w:hAnsi="宋体"/>
                <w:color w:val="000000"/>
                <w:kern w:val="0"/>
                <w:sz w:val="24"/>
                <w:szCs w:val="24"/>
              </w:rPr>
            </w:pPr>
            <w:r>
              <w:rPr>
                <w:rFonts w:ascii="宋体" w:hAnsi="宋体"/>
                <w:color w:val="000000"/>
                <w:kern w:val="0"/>
                <w:sz w:val="24"/>
                <w:szCs w:val="24"/>
              </w:rPr>
              <w:t>4.91</w:t>
            </w:r>
          </w:p>
        </w:tc>
      </w:tr>
      <w:tr>
        <w:tblPrEx>
          <w:tblW w:w="5000" w:type="pct"/>
          <w:tblInd w:w="0" w:type="dxa"/>
          <w:tblLayout w:type="fixed"/>
          <w:tblCellMar>
            <w:top w:w="0" w:type="dxa"/>
            <w:left w:w="0" w:type="dxa"/>
            <w:bottom w:w="0" w:type="dxa"/>
            <w:right w:w="0" w:type="dxa"/>
          </w:tblCellMar>
          <w:tblLook w:val="0000"/>
        </w:tblPrEx>
        <w:trPr>
          <w:cantSplit/>
          <w:trHeight w:val="375"/>
        </w:trPr>
        <w:tc>
          <w:tcPr>
            <w:tcW w:w="7" w:type="dxa"/>
            <w:tcBorders>
              <w:top w:val="single" w:sz="4" w:space="0" w:color="auto"/>
              <w:left w:val="single" w:sz="4" w:space="0" w:color="auto"/>
              <w:bottom w:val="single" w:sz="4" w:space="0" w:color="auto"/>
              <w:right w:val="single" w:sz="4" w:space="0" w:color="auto"/>
            </w:tcBorders>
            <w:vAlign w:val="center"/>
          </w:tcPr>
          <w:p>
            <w:pPr>
              <w:widowControl/>
              <w:snapToGrid w:val="0"/>
              <w:spacing w:after="0" w:line="240" w:lineRule="auto"/>
              <w:jc w:val="center"/>
              <w:rPr>
                <w:rFonts w:ascii="宋体" w:hAnsi="宋体"/>
                <w:color w:val="000000"/>
                <w:kern w:val="0"/>
                <w:sz w:val="24"/>
                <w:szCs w:val="24"/>
              </w:rPr>
            </w:pPr>
            <w:r>
              <w:rPr>
                <w:rFonts w:ascii="宋体" w:hAnsi="宋体"/>
                <w:color w:val="000000"/>
                <w:kern w:val="0"/>
                <w:sz w:val="24"/>
                <w:szCs w:val="24"/>
              </w:rPr>
              <w:t>7</w:t>
            </w:r>
          </w:p>
        </w:tc>
        <w:tc>
          <w:tcPr>
            <w:tcW w:w="7" w:type="dxa"/>
            <w:tcBorders>
              <w:top w:val="single" w:sz="4" w:space="0" w:color="auto"/>
              <w:left w:val="single" w:sz="4" w:space="0" w:color="auto"/>
              <w:bottom w:val="single" w:sz="4" w:space="0" w:color="auto"/>
              <w:right w:val="single" w:sz="4" w:space="0" w:color="auto"/>
            </w:tcBorders>
            <w:vAlign w:val="center"/>
          </w:tcPr>
          <w:p>
            <w:pPr>
              <w:widowControl/>
              <w:snapToGrid w:val="0"/>
              <w:spacing w:after="0" w:line="240" w:lineRule="auto"/>
              <w:jc w:val="center"/>
              <w:rPr>
                <w:rFonts w:ascii="宋体" w:hAnsi="宋体"/>
                <w:color w:val="000000"/>
                <w:kern w:val="0"/>
                <w:sz w:val="24"/>
                <w:szCs w:val="24"/>
              </w:rPr>
            </w:pPr>
            <w:r>
              <w:rPr>
                <w:rFonts w:ascii="宋体" w:hAnsi="宋体"/>
                <w:color w:val="000000"/>
                <w:kern w:val="0"/>
                <w:sz w:val="24"/>
                <w:szCs w:val="24"/>
              </w:rPr>
              <w:t>002709</w:t>
            </w:r>
          </w:p>
        </w:tc>
        <w:tc>
          <w:tcPr>
            <w:tcW w:w="7" w:type="dxa"/>
            <w:tcBorders>
              <w:top w:val="single" w:sz="4" w:space="0" w:color="auto"/>
              <w:left w:val="single" w:sz="4" w:space="0" w:color="auto"/>
              <w:bottom w:val="single" w:sz="4" w:space="0" w:color="auto"/>
              <w:right w:val="single" w:sz="4" w:space="0" w:color="auto"/>
            </w:tcBorders>
            <w:vAlign w:val="center"/>
          </w:tcPr>
          <w:p>
            <w:pPr>
              <w:widowControl/>
              <w:snapToGrid w:val="0"/>
              <w:spacing w:after="0" w:line="240" w:lineRule="auto"/>
              <w:jc w:val="center"/>
              <w:rPr>
                <w:rFonts w:ascii="宋体" w:hAnsi="宋体"/>
                <w:color w:val="000000"/>
                <w:kern w:val="0"/>
                <w:sz w:val="24"/>
                <w:szCs w:val="24"/>
              </w:rPr>
            </w:pPr>
            <w:r>
              <w:rPr>
                <w:rFonts w:ascii="宋体" w:hAnsi="宋体"/>
                <w:color w:val="000000"/>
                <w:kern w:val="0"/>
                <w:sz w:val="24"/>
                <w:szCs w:val="24"/>
              </w:rPr>
              <w:t>天赐材料</w:t>
            </w:r>
          </w:p>
        </w:tc>
        <w:tc>
          <w:tcPr>
            <w:tcW w:w="7" w:type="dxa"/>
            <w:tcBorders>
              <w:top w:val="single" w:sz="4" w:space="0" w:color="auto"/>
              <w:left w:val="single" w:sz="4" w:space="0" w:color="auto"/>
              <w:bottom w:val="single" w:sz="4" w:space="0" w:color="auto"/>
              <w:right w:val="single" w:sz="4" w:space="0" w:color="auto"/>
            </w:tcBorders>
            <w:vAlign w:val="center"/>
          </w:tcPr>
          <w:p>
            <w:pPr>
              <w:widowControl/>
              <w:snapToGrid w:val="0"/>
              <w:spacing w:after="0" w:line="240" w:lineRule="auto"/>
              <w:jc w:val="right"/>
              <w:rPr>
                <w:rFonts w:ascii="宋体" w:hAnsi="宋体"/>
                <w:color w:val="000000"/>
                <w:kern w:val="0"/>
                <w:sz w:val="24"/>
                <w:szCs w:val="24"/>
              </w:rPr>
            </w:pPr>
            <w:r>
              <w:rPr>
                <w:rFonts w:ascii="宋体" w:hAnsi="宋体"/>
                <w:color w:val="000000"/>
                <w:kern w:val="0"/>
                <w:sz w:val="24"/>
                <w:szCs w:val="24"/>
              </w:rPr>
              <w:t>44,800</w:t>
            </w:r>
          </w:p>
        </w:tc>
        <w:tc>
          <w:tcPr>
            <w:tcW w:w="7" w:type="dxa"/>
            <w:tcBorders>
              <w:top w:val="single" w:sz="4" w:space="0" w:color="auto"/>
              <w:left w:val="single" w:sz="4" w:space="0" w:color="auto"/>
              <w:bottom w:val="single" w:sz="4" w:space="0" w:color="auto"/>
              <w:right w:val="single" w:sz="4" w:space="0" w:color="auto"/>
            </w:tcBorders>
            <w:vAlign w:val="center"/>
          </w:tcPr>
          <w:p>
            <w:pPr>
              <w:widowControl/>
              <w:snapToGrid w:val="0"/>
              <w:spacing w:after="0" w:line="240" w:lineRule="auto"/>
              <w:jc w:val="right"/>
              <w:rPr>
                <w:rFonts w:ascii="宋体" w:hAnsi="宋体"/>
                <w:color w:val="000000"/>
                <w:kern w:val="0"/>
                <w:sz w:val="24"/>
                <w:szCs w:val="24"/>
              </w:rPr>
            </w:pPr>
            <w:r>
              <w:rPr>
                <w:rFonts w:ascii="宋体" w:hAnsi="宋体"/>
                <w:color w:val="000000"/>
                <w:kern w:val="0"/>
                <w:sz w:val="24"/>
                <w:szCs w:val="24"/>
              </w:rPr>
              <w:t>2,304,064.00</w:t>
            </w:r>
          </w:p>
        </w:tc>
        <w:tc>
          <w:tcPr>
            <w:tcW w:w="7" w:type="dxa"/>
            <w:tcBorders>
              <w:top w:val="single" w:sz="4" w:space="0" w:color="auto"/>
              <w:left w:val="single" w:sz="4" w:space="0" w:color="auto"/>
              <w:bottom w:val="single" w:sz="4" w:space="0" w:color="auto"/>
              <w:right w:val="single" w:sz="4" w:space="0" w:color="auto"/>
            </w:tcBorders>
            <w:vAlign w:val="center"/>
          </w:tcPr>
          <w:p>
            <w:pPr>
              <w:widowControl/>
              <w:snapToGrid w:val="0"/>
              <w:spacing w:after="0" w:line="240" w:lineRule="auto"/>
              <w:jc w:val="right"/>
              <w:rPr>
                <w:rFonts w:ascii="宋体" w:hAnsi="宋体"/>
                <w:color w:val="000000"/>
                <w:kern w:val="0"/>
                <w:sz w:val="24"/>
                <w:szCs w:val="24"/>
              </w:rPr>
            </w:pPr>
            <w:r>
              <w:rPr>
                <w:rFonts w:ascii="宋体" w:hAnsi="宋体"/>
                <w:color w:val="000000"/>
                <w:kern w:val="0"/>
                <w:sz w:val="24"/>
                <w:szCs w:val="24"/>
              </w:rPr>
              <w:t>4.61</w:t>
            </w:r>
          </w:p>
        </w:tc>
      </w:tr>
      <w:tr>
        <w:tblPrEx>
          <w:tblW w:w="5000" w:type="pct"/>
          <w:tblInd w:w="0" w:type="dxa"/>
          <w:tblLayout w:type="fixed"/>
          <w:tblCellMar>
            <w:top w:w="0" w:type="dxa"/>
            <w:left w:w="0" w:type="dxa"/>
            <w:bottom w:w="0" w:type="dxa"/>
            <w:right w:w="0" w:type="dxa"/>
          </w:tblCellMar>
          <w:tblLook w:val="0000"/>
        </w:tblPrEx>
        <w:trPr>
          <w:cantSplit/>
          <w:trHeight w:val="375"/>
        </w:trPr>
        <w:tc>
          <w:tcPr>
            <w:tcW w:w="7" w:type="dxa"/>
            <w:tcBorders>
              <w:top w:val="single" w:sz="4" w:space="0" w:color="auto"/>
              <w:left w:val="single" w:sz="4" w:space="0" w:color="auto"/>
              <w:bottom w:val="single" w:sz="4" w:space="0" w:color="auto"/>
              <w:right w:val="single" w:sz="4" w:space="0" w:color="auto"/>
            </w:tcBorders>
            <w:vAlign w:val="center"/>
          </w:tcPr>
          <w:p>
            <w:pPr>
              <w:widowControl/>
              <w:snapToGrid w:val="0"/>
              <w:spacing w:after="0" w:line="240" w:lineRule="auto"/>
              <w:jc w:val="center"/>
              <w:rPr>
                <w:rFonts w:ascii="宋体" w:hAnsi="宋体"/>
                <w:color w:val="000000"/>
                <w:kern w:val="0"/>
                <w:sz w:val="24"/>
                <w:szCs w:val="24"/>
              </w:rPr>
            </w:pPr>
            <w:r>
              <w:rPr>
                <w:rFonts w:ascii="宋体" w:hAnsi="宋体"/>
                <w:color w:val="000000"/>
                <w:kern w:val="0"/>
                <w:sz w:val="24"/>
                <w:szCs w:val="24"/>
              </w:rPr>
              <w:t>8</w:t>
            </w:r>
          </w:p>
        </w:tc>
        <w:tc>
          <w:tcPr>
            <w:tcW w:w="7" w:type="dxa"/>
            <w:tcBorders>
              <w:top w:val="single" w:sz="4" w:space="0" w:color="auto"/>
              <w:left w:val="single" w:sz="4" w:space="0" w:color="auto"/>
              <w:bottom w:val="single" w:sz="4" w:space="0" w:color="auto"/>
              <w:right w:val="single" w:sz="4" w:space="0" w:color="auto"/>
            </w:tcBorders>
            <w:vAlign w:val="center"/>
          </w:tcPr>
          <w:p>
            <w:pPr>
              <w:widowControl/>
              <w:snapToGrid w:val="0"/>
              <w:spacing w:after="0" w:line="240" w:lineRule="auto"/>
              <w:jc w:val="center"/>
              <w:rPr>
                <w:rFonts w:ascii="宋体" w:hAnsi="宋体"/>
                <w:color w:val="000000"/>
                <w:kern w:val="0"/>
                <w:sz w:val="24"/>
                <w:szCs w:val="24"/>
              </w:rPr>
            </w:pPr>
            <w:r>
              <w:rPr>
                <w:rFonts w:ascii="宋体" w:hAnsi="宋体"/>
                <w:color w:val="000000"/>
                <w:kern w:val="0"/>
                <w:sz w:val="24"/>
                <w:szCs w:val="24"/>
              </w:rPr>
              <w:t>000688</w:t>
            </w:r>
          </w:p>
        </w:tc>
        <w:tc>
          <w:tcPr>
            <w:tcW w:w="7" w:type="dxa"/>
            <w:tcBorders>
              <w:top w:val="single" w:sz="4" w:space="0" w:color="auto"/>
              <w:left w:val="single" w:sz="4" w:space="0" w:color="auto"/>
              <w:bottom w:val="single" w:sz="4" w:space="0" w:color="auto"/>
              <w:right w:val="single" w:sz="4" w:space="0" w:color="auto"/>
            </w:tcBorders>
            <w:vAlign w:val="center"/>
          </w:tcPr>
          <w:p>
            <w:pPr>
              <w:widowControl/>
              <w:snapToGrid w:val="0"/>
              <w:spacing w:after="0" w:line="240" w:lineRule="auto"/>
              <w:jc w:val="center"/>
              <w:rPr>
                <w:rFonts w:ascii="宋体" w:hAnsi="宋体"/>
                <w:color w:val="000000"/>
                <w:kern w:val="0"/>
                <w:sz w:val="24"/>
                <w:szCs w:val="24"/>
              </w:rPr>
            </w:pPr>
            <w:r>
              <w:rPr>
                <w:rFonts w:ascii="宋体" w:hAnsi="宋体"/>
                <w:color w:val="000000"/>
                <w:kern w:val="0"/>
                <w:sz w:val="24"/>
                <w:szCs w:val="24"/>
              </w:rPr>
              <w:t>国城矿业</w:t>
            </w:r>
          </w:p>
        </w:tc>
        <w:tc>
          <w:tcPr>
            <w:tcW w:w="7" w:type="dxa"/>
            <w:tcBorders>
              <w:top w:val="single" w:sz="4" w:space="0" w:color="auto"/>
              <w:left w:val="single" w:sz="4" w:space="0" w:color="auto"/>
              <w:bottom w:val="single" w:sz="4" w:space="0" w:color="auto"/>
              <w:right w:val="single" w:sz="4" w:space="0" w:color="auto"/>
            </w:tcBorders>
            <w:vAlign w:val="center"/>
          </w:tcPr>
          <w:p>
            <w:pPr>
              <w:widowControl/>
              <w:snapToGrid w:val="0"/>
              <w:spacing w:after="0" w:line="240" w:lineRule="auto"/>
              <w:jc w:val="right"/>
              <w:rPr>
                <w:rFonts w:ascii="宋体" w:hAnsi="宋体"/>
                <w:color w:val="000000"/>
                <w:kern w:val="0"/>
                <w:sz w:val="24"/>
                <w:szCs w:val="24"/>
              </w:rPr>
            </w:pPr>
            <w:r>
              <w:rPr>
                <w:rFonts w:ascii="宋体" w:hAnsi="宋体"/>
                <w:color w:val="000000"/>
                <w:kern w:val="0"/>
                <w:sz w:val="24"/>
                <w:szCs w:val="24"/>
              </w:rPr>
              <w:t>63,100</w:t>
            </w:r>
          </w:p>
        </w:tc>
        <w:tc>
          <w:tcPr>
            <w:tcW w:w="7" w:type="dxa"/>
            <w:tcBorders>
              <w:top w:val="single" w:sz="4" w:space="0" w:color="auto"/>
              <w:left w:val="single" w:sz="4" w:space="0" w:color="auto"/>
              <w:bottom w:val="single" w:sz="4" w:space="0" w:color="auto"/>
              <w:right w:val="single" w:sz="4" w:space="0" w:color="auto"/>
            </w:tcBorders>
            <w:vAlign w:val="center"/>
          </w:tcPr>
          <w:p>
            <w:pPr>
              <w:widowControl/>
              <w:snapToGrid w:val="0"/>
              <w:spacing w:after="0" w:line="240" w:lineRule="auto"/>
              <w:jc w:val="right"/>
              <w:rPr>
                <w:rFonts w:ascii="宋体" w:hAnsi="宋体"/>
                <w:color w:val="000000"/>
                <w:kern w:val="0"/>
                <w:sz w:val="24"/>
                <w:szCs w:val="24"/>
              </w:rPr>
            </w:pPr>
            <w:r>
              <w:rPr>
                <w:rFonts w:ascii="宋体" w:hAnsi="宋体"/>
                <w:color w:val="000000"/>
                <w:kern w:val="0"/>
                <w:sz w:val="24"/>
                <w:szCs w:val="24"/>
              </w:rPr>
              <w:t>2,159,913.00</w:t>
            </w:r>
          </w:p>
        </w:tc>
        <w:tc>
          <w:tcPr>
            <w:tcW w:w="7" w:type="dxa"/>
            <w:tcBorders>
              <w:top w:val="single" w:sz="4" w:space="0" w:color="auto"/>
              <w:left w:val="single" w:sz="4" w:space="0" w:color="auto"/>
              <w:bottom w:val="single" w:sz="4" w:space="0" w:color="auto"/>
              <w:right w:val="single" w:sz="4" w:space="0" w:color="auto"/>
            </w:tcBorders>
            <w:vAlign w:val="center"/>
          </w:tcPr>
          <w:p>
            <w:pPr>
              <w:widowControl/>
              <w:snapToGrid w:val="0"/>
              <w:spacing w:after="0" w:line="240" w:lineRule="auto"/>
              <w:jc w:val="right"/>
              <w:rPr>
                <w:rFonts w:ascii="宋体" w:hAnsi="宋体"/>
                <w:color w:val="000000"/>
                <w:kern w:val="0"/>
                <w:sz w:val="24"/>
                <w:szCs w:val="24"/>
              </w:rPr>
            </w:pPr>
            <w:r>
              <w:rPr>
                <w:rFonts w:ascii="宋体" w:hAnsi="宋体"/>
                <w:color w:val="000000"/>
                <w:kern w:val="0"/>
                <w:sz w:val="24"/>
                <w:szCs w:val="24"/>
              </w:rPr>
              <w:t>4.32</w:t>
            </w:r>
          </w:p>
        </w:tc>
      </w:tr>
      <w:tr>
        <w:tblPrEx>
          <w:tblW w:w="5000" w:type="pct"/>
          <w:tblInd w:w="0" w:type="dxa"/>
          <w:tblLayout w:type="fixed"/>
          <w:tblCellMar>
            <w:top w:w="0" w:type="dxa"/>
            <w:left w:w="0" w:type="dxa"/>
            <w:bottom w:w="0" w:type="dxa"/>
            <w:right w:w="0" w:type="dxa"/>
          </w:tblCellMar>
          <w:tblLook w:val="0000"/>
        </w:tblPrEx>
        <w:trPr>
          <w:cantSplit/>
          <w:trHeight w:val="375"/>
        </w:trPr>
        <w:tc>
          <w:tcPr>
            <w:tcW w:w="7" w:type="dxa"/>
            <w:tcBorders>
              <w:top w:val="single" w:sz="4" w:space="0" w:color="auto"/>
              <w:left w:val="single" w:sz="4" w:space="0" w:color="auto"/>
              <w:bottom w:val="single" w:sz="4" w:space="0" w:color="auto"/>
              <w:right w:val="single" w:sz="4" w:space="0" w:color="auto"/>
            </w:tcBorders>
            <w:vAlign w:val="center"/>
          </w:tcPr>
          <w:p>
            <w:pPr>
              <w:widowControl/>
              <w:snapToGrid w:val="0"/>
              <w:spacing w:after="0" w:line="240" w:lineRule="auto"/>
              <w:jc w:val="center"/>
              <w:rPr>
                <w:rFonts w:ascii="宋体" w:hAnsi="宋体"/>
                <w:color w:val="000000"/>
                <w:kern w:val="0"/>
                <w:sz w:val="24"/>
                <w:szCs w:val="24"/>
              </w:rPr>
            </w:pPr>
            <w:r>
              <w:rPr>
                <w:rFonts w:ascii="宋体" w:hAnsi="宋体"/>
                <w:color w:val="000000"/>
                <w:kern w:val="0"/>
                <w:sz w:val="24"/>
                <w:szCs w:val="24"/>
              </w:rPr>
              <w:t>9</w:t>
            </w:r>
          </w:p>
        </w:tc>
        <w:tc>
          <w:tcPr>
            <w:tcW w:w="7" w:type="dxa"/>
            <w:tcBorders>
              <w:top w:val="single" w:sz="4" w:space="0" w:color="auto"/>
              <w:left w:val="single" w:sz="4" w:space="0" w:color="auto"/>
              <w:bottom w:val="single" w:sz="4" w:space="0" w:color="auto"/>
              <w:right w:val="single" w:sz="4" w:space="0" w:color="auto"/>
            </w:tcBorders>
            <w:vAlign w:val="center"/>
          </w:tcPr>
          <w:p>
            <w:pPr>
              <w:widowControl/>
              <w:snapToGrid w:val="0"/>
              <w:spacing w:after="0" w:line="240" w:lineRule="auto"/>
              <w:jc w:val="center"/>
              <w:rPr>
                <w:rFonts w:ascii="宋体" w:hAnsi="宋体"/>
                <w:color w:val="000000"/>
                <w:kern w:val="0"/>
                <w:sz w:val="24"/>
                <w:szCs w:val="24"/>
              </w:rPr>
            </w:pPr>
            <w:r>
              <w:rPr>
                <w:rFonts w:ascii="宋体" w:hAnsi="宋体"/>
                <w:color w:val="000000"/>
                <w:kern w:val="0"/>
                <w:sz w:val="24"/>
                <w:szCs w:val="24"/>
              </w:rPr>
              <w:t>001203</w:t>
            </w:r>
          </w:p>
        </w:tc>
        <w:tc>
          <w:tcPr>
            <w:tcW w:w="7" w:type="dxa"/>
            <w:tcBorders>
              <w:top w:val="single" w:sz="4" w:space="0" w:color="auto"/>
              <w:left w:val="single" w:sz="4" w:space="0" w:color="auto"/>
              <w:bottom w:val="single" w:sz="4" w:space="0" w:color="auto"/>
              <w:right w:val="single" w:sz="4" w:space="0" w:color="auto"/>
            </w:tcBorders>
            <w:vAlign w:val="center"/>
          </w:tcPr>
          <w:p>
            <w:pPr>
              <w:widowControl/>
              <w:snapToGrid w:val="0"/>
              <w:spacing w:after="0" w:line="240" w:lineRule="auto"/>
              <w:jc w:val="center"/>
              <w:rPr>
                <w:rFonts w:ascii="宋体" w:hAnsi="宋体"/>
                <w:color w:val="000000"/>
                <w:kern w:val="0"/>
                <w:sz w:val="24"/>
                <w:szCs w:val="24"/>
              </w:rPr>
            </w:pPr>
            <w:r>
              <w:rPr>
                <w:rFonts w:ascii="宋体" w:hAnsi="宋体"/>
                <w:color w:val="000000"/>
                <w:kern w:val="0"/>
                <w:sz w:val="24"/>
                <w:szCs w:val="24"/>
              </w:rPr>
              <w:t>大中矿业</w:t>
            </w:r>
          </w:p>
        </w:tc>
        <w:tc>
          <w:tcPr>
            <w:tcW w:w="7" w:type="dxa"/>
            <w:tcBorders>
              <w:top w:val="single" w:sz="4" w:space="0" w:color="auto"/>
              <w:left w:val="single" w:sz="4" w:space="0" w:color="auto"/>
              <w:bottom w:val="single" w:sz="4" w:space="0" w:color="auto"/>
              <w:right w:val="single" w:sz="4" w:space="0" w:color="auto"/>
            </w:tcBorders>
            <w:vAlign w:val="center"/>
          </w:tcPr>
          <w:p>
            <w:pPr>
              <w:widowControl/>
              <w:snapToGrid w:val="0"/>
              <w:spacing w:after="0" w:line="240" w:lineRule="auto"/>
              <w:jc w:val="right"/>
              <w:rPr>
                <w:rFonts w:ascii="宋体" w:hAnsi="宋体"/>
                <w:color w:val="000000"/>
                <w:kern w:val="0"/>
                <w:sz w:val="24"/>
                <w:szCs w:val="24"/>
              </w:rPr>
            </w:pPr>
            <w:r>
              <w:rPr>
                <w:rFonts w:ascii="宋体" w:hAnsi="宋体"/>
                <w:color w:val="000000"/>
                <w:kern w:val="0"/>
                <w:sz w:val="24"/>
                <w:szCs w:val="24"/>
              </w:rPr>
              <w:t>63,600</w:t>
            </w:r>
          </w:p>
        </w:tc>
        <w:tc>
          <w:tcPr>
            <w:tcW w:w="7" w:type="dxa"/>
            <w:tcBorders>
              <w:top w:val="single" w:sz="4" w:space="0" w:color="auto"/>
              <w:left w:val="single" w:sz="4" w:space="0" w:color="auto"/>
              <w:bottom w:val="single" w:sz="4" w:space="0" w:color="auto"/>
              <w:right w:val="single" w:sz="4" w:space="0" w:color="auto"/>
            </w:tcBorders>
            <w:vAlign w:val="center"/>
          </w:tcPr>
          <w:p>
            <w:pPr>
              <w:widowControl/>
              <w:snapToGrid w:val="0"/>
              <w:spacing w:after="0" w:line="240" w:lineRule="auto"/>
              <w:jc w:val="right"/>
              <w:rPr>
                <w:rFonts w:ascii="宋体" w:hAnsi="宋体"/>
                <w:color w:val="000000"/>
                <w:kern w:val="0"/>
                <w:sz w:val="24"/>
                <w:szCs w:val="24"/>
              </w:rPr>
            </w:pPr>
            <w:r>
              <w:rPr>
                <w:rFonts w:ascii="宋体" w:hAnsi="宋体"/>
                <w:color w:val="000000"/>
                <w:kern w:val="0"/>
                <w:sz w:val="24"/>
                <w:szCs w:val="24"/>
              </w:rPr>
              <w:t>1,904,820.00</w:t>
            </w:r>
          </w:p>
        </w:tc>
        <w:tc>
          <w:tcPr>
            <w:tcW w:w="7" w:type="dxa"/>
            <w:tcBorders>
              <w:top w:val="single" w:sz="4" w:space="0" w:color="auto"/>
              <w:left w:val="single" w:sz="4" w:space="0" w:color="auto"/>
              <w:bottom w:val="single" w:sz="4" w:space="0" w:color="auto"/>
              <w:right w:val="single" w:sz="4" w:space="0" w:color="auto"/>
            </w:tcBorders>
            <w:vAlign w:val="center"/>
          </w:tcPr>
          <w:p>
            <w:pPr>
              <w:widowControl/>
              <w:snapToGrid w:val="0"/>
              <w:spacing w:after="0" w:line="240" w:lineRule="auto"/>
              <w:jc w:val="right"/>
              <w:rPr>
                <w:rFonts w:ascii="宋体" w:hAnsi="宋体"/>
                <w:color w:val="000000"/>
                <w:kern w:val="0"/>
                <w:sz w:val="24"/>
                <w:szCs w:val="24"/>
              </w:rPr>
            </w:pPr>
            <w:r>
              <w:rPr>
                <w:rFonts w:ascii="宋体" w:hAnsi="宋体"/>
                <w:color w:val="000000"/>
                <w:kern w:val="0"/>
                <w:sz w:val="24"/>
                <w:szCs w:val="24"/>
              </w:rPr>
              <w:t>3.81</w:t>
            </w:r>
          </w:p>
        </w:tc>
      </w:tr>
      <w:tr>
        <w:tblPrEx>
          <w:tblW w:w="5000" w:type="pct"/>
          <w:tblInd w:w="0" w:type="dxa"/>
          <w:tblLayout w:type="fixed"/>
          <w:tblCellMar>
            <w:top w:w="0" w:type="dxa"/>
            <w:left w:w="0" w:type="dxa"/>
            <w:bottom w:w="0" w:type="dxa"/>
            <w:right w:w="0" w:type="dxa"/>
          </w:tblCellMar>
          <w:tblLook w:val="0000"/>
        </w:tblPrEx>
        <w:trPr>
          <w:cantSplit/>
          <w:trHeight w:val="375"/>
        </w:trPr>
        <w:tc>
          <w:tcPr>
            <w:tcW w:w="7" w:type="dxa"/>
            <w:tcBorders>
              <w:top w:val="single" w:sz="4" w:space="0" w:color="auto"/>
              <w:left w:val="single" w:sz="4" w:space="0" w:color="auto"/>
              <w:bottom w:val="single" w:sz="4" w:space="0" w:color="auto"/>
              <w:right w:val="single" w:sz="4" w:space="0" w:color="auto"/>
            </w:tcBorders>
            <w:vAlign w:val="center"/>
          </w:tcPr>
          <w:p>
            <w:pPr>
              <w:widowControl/>
              <w:snapToGrid w:val="0"/>
              <w:spacing w:after="0" w:line="240" w:lineRule="auto"/>
              <w:jc w:val="center"/>
              <w:rPr>
                <w:rFonts w:ascii="宋体" w:hAnsi="宋体"/>
                <w:color w:val="000000"/>
                <w:kern w:val="0"/>
                <w:sz w:val="24"/>
                <w:szCs w:val="24"/>
              </w:rPr>
            </w:pPr>
            <w:r>
              <w:rPr>
                <w:rFonts w:ascii="宋体" w:hAnsi="宋体"/>
                <w:color w:val="000000"/>
                <w:kern w:val="0"/>
                <w:sz w:val="24"/>
                <w:szCs w:val="24"/>
              </w:rPr>
              <w:t>10</w:t>
            </w:r>
          </w:p>
        </w:tc>
        <w:tc>
          <w:tcPr>
            <w:tcW w:w="7" w:type="dxa"/>
            <w:tcBorders>
              <w:top w:val="single" w:sz="4" w:space="0" w:color="auto"/>
              <w:left w:val="single" w:sz="4" w:space="0" w:color="auto"/>
              <w:bottom w:val="single" w:sz="4" w:space="0" w:color="auto"/>
              <w:right w:val="single" w:sz="4" w:space="0" w:color="auto"/>
            </w:tcBorders>
            <w:vAlign w:val="center"/>
          </w:tcPr>
          <w:p>
            <w:pPr>
              <w:widowControl/>
              <w:snapToGrid w:val="0"/>
              <w:spacing w:after="0" w:line="240" w:lineRule="auto"/>
              <w:jc w:val="center"/>
              <w:rPr>
                <w:rFonts w:ascii="宋体" w:hAnsi="宋体"/>
                <w:color w:val="000000"/>
                <w:kern w:val="0"/>
                <w:sz w:val="24"/>
                <w:szCs w:val="24"/>
              </w:rPr>
            </w:pPr>
            <w:r>
              <w:rPr>
                <w:rFonts w:ascii="宋体" w:hAnsi="宋体"/>
                <w:color w:val="000000"/>
                <w:kern w:val="0"/>
                <w:sz w:val="24"/>
                <w:szCs w:val="24"/>
              </w:rPr>
              <w:t>00883 HK</w:t>
            </w:r>
          </w:p>
        </w:tc>
        <w:tc>
          <w:tcPr>
            <w:tcW w:w="7" w:type="dxa"/>
            <w:tcBorders>
              <w:top w:val="single" w:sz="4" w:space="0" w:color="auto"/>
              <w:left w:val="single" w:sz="4" w:space="0" w:color="auto"/>
              <w:bottom w:val="single" w:sz="4" w:space="0" w:color="auto"/>
              <w:right w:val="single" w:sz="4" w:space="0" w:color="auto"/>
            </w:tcBorders>
            <w:vAlign w:val="center"/>
          </w:tcPr>
          <w:p>
            <w:pPr>
              <w:widowControl/>
              <w:snapToGrid w:val="0"/>
              <w:spacing w:after="0" w:line="240" w:lineRule="auto"/>
              <w:jc w:val="center"/>
              <w:rPr>
                <w:rFonts w:ascii="宋体" w:hAnsi="宋体"/>
                <w:color w:val="000000"/>
                <w:kern w:val="0"/>
                <w:sz w:val="24"/>
                <w:szCs w:val="24"/>
              </w:rPr>
            </w:pPr>
            <w:r>
              <w:rPr>
                <w:rFonts w:ascii="宋体" w:hAnsi="宋体"/>
                <w:color w:val="000000"/>
                <w:kern w:val="0"/>
                <w:sz w:val="24"/>
                <w:szCs w:val="24"/>
              </w:rPr>
              <w:t>中国海洋石油</w:t>
            </w:r>
          </w:p>
        </w:tc>
        <w:tc>
          <w:tcPr>
            <w:tcW w:w="7" w:type="dxa"/>
            <w:tcBorders>
              <w:top w:val="single" w:sz="4" w:space="0" w:color="auto"/>
              <w:left w:val="single" w:sz="4" w:space="0" w:color="auto"/>
              <w:bottom w:val="single" w:sz="4" w:space="0" w:color="auto"/>
              <w:right w:val="single" w:sz="4" w:space="0" w:color="auto"/>
            </w:tcBorders>
            <w:vAlign w:val="center"/>
          </w:tcPr>
          <w:p>
            <w:pPr>
              <w:widowControl/>
              <w:snapToGrid w:val="0"/>
              <w:spacing w:after="0" w:line="240" w:lineRule="auto"/>
              <w:jc w:val="right"/>
              <w:rPr>
                <w:rFonts w:ascii="宋体" w:hAnsi="宋体"/>
                <w:color w:val="000000"/>
                <w:kern w:val="0"/>
                <w:sz w:val="24"/>
                <w:szCs w:val="24"/>
              </w:rPr>
            </w:pPr>
            <w:r>
              <w:rPr>
                <w:rFonts w:ascii="宋体" w:hAnsi="宋体"/>
                <w:color w:val="000000"/>
                <w:kern w:val="0"/>
                <w:sz w:val="24"/>
                <w:szCs w:val="24"/>
              </w:rPr>
              <w:t>98,000</w:t>
            </w:r>
          </w:p>
        </w:tc>
        <w:tc>
          <w:tcPr>
            <w:tcW w:w="7" w:type="dxa"/>
            <w:tcBorders>
              <w:top w:val="single" w:sz="4" w:space="0" w:color="auto"/>
              <w:left w:val="single" w:sz="4" w:space="0" w:color="auto"/>
              <w:bottom w:val="single" w:sz="4" w:space="0" w:color="auto"/>
              <w:right w:val="single" w:sz="4" w:space="0" w:color="auto"/>
            </w:tcBorders>
            <w:vAlign w:val="center"/>
          </w:tcPr>
          <w:p>
            <w:pPr>
              <w:widowControl/>
              <w:snapToGrid w:val="0"/>
              <w:spacing w:after="0" w:line="240" w:lineRule="auto"/>
              <w:jc w:val="right"/>
              <w:rPr>
                <w:rFonts w:ascii="宋体" w:hAnsi="宋体"/>
                <w:color w:val="000000"/>
                <w:kern w:val="0"/>
                <w:sz w:val="24"/>
                <w:szCs w:val="24"/>
              </w:rPr>
            </w:pPr>
            <w:r>
              <w:rPr>
                <w:rFonts w:ascii="宋体" w:hAnsi="宋体"/>
                <w:color w:val="000000"/>
                <w:kern w:val="0"/>
                <w:sz w:val="24"/>
                <w:szCs w:val="24"/>
              </w:rPr>
              <w:t>1,729,595.73</w:t>
            </w:r>
          </w:p>
        </w:tc>
        <w:tc>
          <w:tcPr>
            <w:tcW w:w="7" w:type="dxa"/>
            <w:tcBorders>
              <w:top w:val="single" w:sz="4" w:space="0" w:color="auto"/>
              <w:left w:val="single" w:sz="4" w:space="0" w:color="auto"/>
              <w:bottom w:val="single" w:sz="4" w:space="0" w:color="auto"/>
              <w:right w:val="single" w:sz="4" w:space="0" w:color="auto"/>
            </w:tcBorders>
            <w:vAlign w:val="center"/>
          </w:tcPr>
          <w:p>
            <w:pPr>
              <w:widowControl/>
              <w:snapToGrid w:val="0"/>
              <w:spacing w:after="0" w:line="240" w:lineRule="auto"/>
              <w:jc w:val="right"/>
              <w:rPr>
                <w:rFonts w:ascii="宋体" w:hAnsi="宋体"/>
                <w:color w:val="000000"/>
                <w:kern w:val="0"/>
                <w:sz w:val="24"/>
                <w:szCs w:val="24"/>
              </w:rPr>
            </w:pPr>
            <w:r>
              <w:rPr>
                <w:rFonts w:ascii="宋体" w:hAnsi="宋体"/>
                <w:color w:val="000000"/>
                <w:kern w:val="0"/>
                <w:sz w:val="24"/>
                <w:szCs w:val="24"/>
              </w:rPr>
              <w:t>3.46</w:t>
            </w:r>
          </w:p>
        </w:tc>
      </w:tr>
    </w:tbl>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 </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4、报告期末按债券品种分类的债券投资组合</w:t>
      </w:r>
    </w:p>
    <w:tbl>
      <w:tblPr>
        <w:tblW w:w="5000" w:type="pct"/>
        <w:tblInd w:w="0" w:type="dxa"/>
        <w:tblLayout w:type="fixed"/>
        <w:tblCellMar>
          <w:top w:w="0" w:type="dxa"/>
          <w:left w:w="0" w:type="dxa"/>
          <w:bottom w:w="0" w:type="dxa"/>
          <w:right w:w="0" w:type="dxa"/>
        </w:tblCellMar>
        <w:tblLook w:val="0000"/>
      </w:tblPr>
      <w:tblGrid>
        <w:gridCol w:w="2167"/>
        <w:gridCol w:w="2167"/>
        <w:gridCol w:w="2168"/>
        <w:gridCol w:w="2168"/>
      </w:tblGrid>
      <w:tr>
        <w:tblPrEx>
          <w:tblW w:w="5000" w:type="pct"/>
          <w:tblInd w:w="0" w:type="dxa"/>
          <w:tblLayout w:type="fixed"/>
          <w:tblCellMar>
            <w:top w:w="0" w:type="dxa"/>
            <w:left w:w="0" w:type="dxa"/>
            <w:bottom w:w="0" w:type="dxa"/>
            <w:right w:w="0" w:type="dxa"/>
          </w:tblCellMar>
          <w:tblLook w:val="0000"/>
        </w:tblPrEx>
        <w:trPr>
          <w:cantSplit/>
          <w:trHeight w:val="375"/>
        </w:trPr>
        <w:tc>
          <w:tcPr>
            <w:tcW w:w="7" w:type="dxa"/>
            <w:tcBorders>
              <w:top w:val="single" w:sz="4" w:space="0" w:color="auto"/>
              <w:left w:val="single" w:sz="4" w:space="0" w:color="auto"/>
              <w:bottom w:val="single" w:sz="4" w:space="0" w:color="auto"/>
              <w:right w:val="single" w:sz="4" w:space="0" w:color="auto"/>
            </w:tcBorders>
            <w:vAlign w:val="center"/>
          </w:tcPr>
          <w:p>
            <w:pPr>
              <w:widowControl/>
              <w:snapToGrid w:val="0"/>
              <w:spacing w:after="0" w:line="240" w:lineRule="auto"/>
              <w:jc w:val="center"/>
              <w:rPr>
                <w:rFonts w:ascii="宋体" w:hAnsi="宋体"/>
                <w:color w:val="000000"/>
                <w:kern w:val="0"/>
                <w:sz w:val="24"/>
                <w:szCs w:val="24"/>
              </w:rPr>
            </w:pPr>
            <w:r>
              <w:rPr>
                <w:rFonts w:ascii="宋体" w:hAnsi="宋体"/>
                <w:color w:val="000000"/>
                <w:kern w:val="0"/>
                <w:sz w:val="24"/>
                <w:szCs w:val="24"/>
              </w:rPr>
              <w:t>序号</w:t>
            </w:r>
          </w:p>
        </w:tc>
        <w:tc>
          <w:tcPr>
            <w:tcW w:w="7" w:type="dxa"/>
            <w:tcBorders>
              <w:top w:val="single" w:sz="4" w:space="0" w:color="auto"/>
              <w:left w:val="single" w:sz="4" w:space="0" w:color="auto"/>
              <w:bottom w:val="single" w:sz="4" w:space="0" w:color="auto"/>
              <w:right w:val="single" w:sz="4" w:space="0" w:color="auto"/>
            </w:tcBorders>
            <w:vAlign w:val="center"/>
          </w:tcPr>
          <w:p>
            <w:pPr>
              <w:widowControl/>
              <w:snapToGrid w:val="0"/>
              <w:spacing w:after="0" w:line="240" w:lineRule="auto"/>
              <w:jc w:val="center"/>
              <w:rPr>
                <w:rFonts w:ascii="宋体" w:hAnsi="宋体"/>
                <w:color w:val="000000"/>
                <w:kern w:val="0"/>
                <w:sz w:val="24"/>
                <w:szCs w:val="24"/>
              </w:rPr>
            </w:pPr>
            <w:r>
              <w:rPr>
                <w:rFonts w:ascii="宋体" w:hAnsi="宋体"/>
                <w:color w:val="000000"/>
                <w:kern w:val="0"/>
                <w:sz w:val="24"/>
                <w:szCs w:val="24"/>
              </w:rPr>
              <w:t>债券品种</w:t>
            </w:r>
          </w:p>
        </w:tc>
        <w:tc>
          <w:tcPr>
            <w:tcW w:w="7" w:type="dxa"/>
            <w:tcBorders>
              <w:top w:val="single" w:sz="4" w:space="0" w:color="auto"/>
              <w:left w:val="single" w:sz="4" w:space="0" w:color="auto"/>
              <w:bottom w:val="single" w:sz="4" w:space="0" w:color="auto"/>
              <w:right w:val="single" w:sz="4" w:space="0" w:color="auto"/>
            </w:tcBorders>
            <w:vAlign w:val="center"/>
          </w:tcPr>
          <w:p>
            <w:pPr>
              <w:widowControl/>
              <w:snapToGrid w:val="0"/>
              <w:spacing w:after="0" w:line="240" w:lineRule="auto"/>
              <w:jc w:val="center"/>
              <w:rPr>
                <w:rFonts w:ascii="宋体" w:hAnsi="宋体"/>
                <w:color w:val="000000"/>
                <w:kern w:val="0"/>
                <w:sz w:val="24"/>
                <w:szCs w:val="24"/>
              </w:rPr>
            </w:pPr>
            <w:r>
              <w:rPr>
                <w:rFonts w:ascii="宋体" w:hAnsi="宋体"/>
                <w:color w:val="000000"/>
                <w:kern w:val="0"/>
                <w:sz w:val="24"/>
                <w:szCs w:val="24"/>
              </w:rPr>
              <w:t>公允价值（元）</w:t>
            </w:r>
          </w:p>
        </w:tc>
        <w:tc>
          <w:tcPr>
            <w:tcW w:w="7" w:type="dxa"/>
            <w:tcBorders>
              <w:top w:val="single" w:sz="4" w:space="0" w:color="auto"/>
              <w:left w:val="single" w:sz="4" w:space="0" w:color="auto"/>
              <w:bottom w:val="single" w:sz="4" w:space="0" w:color="auto"/>
              <w:right w:val="single" w:sz="4" w:space="0" w:color="auto"/>
            </w:tcBorders>
            <w:vAlign w:val="center"/>
          </w:tcPr>
          <w:p>
            <w:pPr>
              <w:widowControl/>
              <w:snapToGrid w:val="0"/>
              <w:spacing w:after="0" w:line="240" w:lineRule="auto"/>
              <w:jc w:val="center"/>
              <w:rPr>
                <w:rFonts w:ascii="宋体" w:hAnsi="宋体"/>
                <w:color w:val="000000"/>
                <w:kern w:val="0"/>
                <w:sz w:val="24"/>
                <w:szCs w:val="24"/>
              </w:rPr>
            </w:pPr>
            <w:r>
              <w:rPr>
                <w:rFonts w:ascii="宋体" w:hAnsi="宋体"/>
                <w:color w:val="000000"/>
                <w:kern w:val="0"/>
                <w:sz w:val="24"/>
                <w:szCs w:val="24"/>
              </w:rPr>
              <w:t>占基金资产净值比例（%）</w:t>
            </w:r>
          </w:p>
        </w:tc>
      </w:tr>
      <w:tr>
        <w:tblPrEx>
          <w:tblW w:w="5000" w:type="pct"/>
          <w:tblInd w:w="0" w:type="dxa"/>
          <w:tblLayout w:type="fixed"/>
          <w:tblCellMar>
            <w:top w:w="0" w:type="dxa"/>
            <w:left w:w="0" w:type="dxa"/>
            <w:bottom w:w="0" w:type="dxa"/>
            <w:right w:w="0" w:type="dxa"/>
          </w:tblCellMar>
          <w:tblLook w:val="0000"/>
        </w:tblPrEx>
        <w:trPr>
          <w:cantSplit/>
          <w:trHeight w:val="375"/>
        </w:trPr>
        <w:tc>
          <w:tcPr>
            <w:tcW w:w="7" w:type="dxa"/>
            <w:tcBorders>
              <w:top w:val="single" w:sz="4" w:space="0" w:color="auto"/>
              <w:left w:val="single" w:sz="4" w:space="0" w:color="auto"/>
              <w:bottom w:val="single" w:sz="4" w:space="0" w:color="auto"/>
              <w:right w:val="single" w:sz="4" w:space="0" w:color="auto"/>
            </w:tcBorders>
            <w:vAlign w:val="center"/>
          </w:tcPr>
          <w:p>
            <w:pPr>
              <w:widowControl/>
              <w:snapToGrid w:val="0"/>
              <w:spacing w:after="0" w:line="240" w:lineRule="auto"/>
              <w:jc w:val="center"/>
              <w:rPr>
                <w:rFonts w:ascii="宋体" w:hAnsi="宋体"/>
                <w:color w:val="000000"/>
                <w:kern w:val="0"/>
                <w:sz w:val="24"/>
                <w:szCs w:val="24"/>
              </w:rPr>
            </w:pPr>
            <w:r>
              <w:rPr>
                <w:rFonts w:ascii="宋体" w:hAnsi="宋体"/>
                <w:color w:val="000000"/>
                <w:kern w:val="0"/>
                <w:sz w:val="24"/>
                <w:szCs w:val="24"/>
              </w:rPr>
              <w:t>1</w:t>
            </w:r>
          </w:p>
        </w:tc>
        <w:tc>
          <w:tcPr>
            <w:tcW w:w="7" w:type="dxa"/>
            <w:vMerge w:val="restart"/>
            <w:tcBorders>
              <w:top w:val="single" w:sz="4" w:space="0" w:color="auto"/>
              <w:left w:val="single" w:sz="4" w:space="0" w:color="auto"/>
              <w:bottom w:val="single" w:sz="4" w:space="0" w:color="auto"/>
              <w:right w:val="single" w:sz="4" w:space="0" w:color="auto"/>
            </w:tcBorders>
            <w:vAlign w:val="center"/>
          </w:tcPr>
          <w:p>
            <w:pPr>
              <w:spacing w:after="0" w:line="240" w:lineRule="auto"/>
              <w:jc w:val="left"/>
            </w:pPr>
            <w:r>
              <w:rPr>
                <w:rFonts w:ascii="宋体" w:hAnsi="宋体"/>
                <w:color w:val="000000"/>
                <w:kern w:val="0"/>
                <w:sz w:val="25"/>
                <w:szCs w:val="24"/>
              </w:rPr>
              <w:t>国家债券</w:t>
            </w:r>
          </w:p>
        </w:tc>
        <w:tc>
          <w:tcPr>
            <w:tcW w:w="7" w:type="dxa"/>
            <w:tcBorders>
              <w:top w:val="single" w:sz="4" w:space="0" w:color="auto"/>
              <w:left w:val="single" w:sz="4" w:space="0" w:color="auto"/>
              <w:bottom w:val="single" w:sz="4" w:space="0" w:color="auto"/>
              <w:right w:val="single" w:sz="4" w:space="0" w:color="auto"/>
            </w:tcBorders>
            <w:vAlign w:val="center"/>
          </w:tcPr>
          <w:p>
            <w:pPr>
              <w:widowControl/>
              <w:snapToGrid w:val="0"/>
              <w:spacing w:after="0" w:line="240" w:lineRule="auto"/>
              <w:jc w:val="right"/>
              <w:rPr>
                <w:rFonts w:ascii="宋体" w:hAnsi="宋体"/>
                <w:color w:val="000000"/>
                <w:kern w:val="0"/>
                <w:sz w:val="24"/>
                <w:szCs w:val="24"/>
              </w:rPr>
            </w:pPr>
            <w:r>
              <w:rPr>
                <w:rFonts w:ascii="宋体" w:hAnsi="宋体"/>
                <w:color w:val="000000"/>
                <w:kern w:val="0"/>
                <w:sz w:val="24"/>
                <w:szCs w:val="24"/>
              </w:rPr>
              <w:t>1,316,413.12</w:t>
            </w:r>
          </w:p>
        </w:tc>
        <w:tc>
          <w:tcPr>
            <w:tcW w:w="7" w:type="dxa"/>
            <w:tcBorders>
              <w:top w:val="single" w:sz="4" w:space="0" w:color="auto"/>
              <w:left w:val="single" w:sz="4" w:space="0" w:color="auto"/>
              <w:bottom w:val="single" w:sz="4" w:space="0" w:color="auto"/>
              <w:right w:val="single" w:sz="4" w:space="0" w:color="auto"/>
            </w:tcBorders>
            <w:vAlign w:val="center"/>
          </w:tcPr>
          <w:p>
            <w:pPr>
              <w:widowControl/>
              <w:snapToGrid w:val="0"/>
              <w:spacing w:after="0" w:line="240" w:lineRule="auto"/>
              <w:jc w:val="right"/>
              <w:rPr>
                <w:rFonts w:ascii="宋体" w:hAnsi="宋体"/>
                <w:color w:val="000000"/>
                <w:kern w:val="0"/>
                <w:sz w:val="24"/>
                <w:szCs w:val="24"/>
              </w:rPr>
            </w:pPr>
            <w:r>
              <w:rPr>
                <w:rFonts w:ascii="宋体" w:hAnsi="宋体"/>
                <w:color w:val="000000"/>
                <w:kern w:val="0"/>
                <w:sz w:val="24"/>
                <w:szCs w:val="24"/>
              </w:rPr>
              <w:t>2.63</w:t>
            </w:r>
          </w:p>
        </w:tc>
      </w:tr>
      <w:tr>
        <w:tblPrEx>
          <w:tblW w:w="5000" w:type="pct"/>
          <w:tblInd w:w="0" w:type="dxa"/>
          <w:tblLayout w:type="fixed"/>
          <w:tblCellMar>
            <w:top w:w="0" w:type="dxa"/>
            <w:left w:w="0" w:type="dxa"/>
            <w:bottom w:w="0" w:type="dxa"/>
            <w:right w:w="0" w:type="dxa"/>
          </w:tblCellMar>
          <w:tblLook w:val="0000"/>
        </w:tblPrEx>
        <w:trPr>
          <w:cantSplit/>
          <w:trHeight w:val="375"/>
        </w:trPr>
        <w:tc>
          <w:tcPr>
            <w:tcW w:w="7" w:type="dxa"/>
            <w:tcBorders>
              <w:top w:val="single" w:sz="4" w:space="0" w:color="auto"/>
              <w:left w:val="single" w:sz="4" w:space="0" w:color="auto"/>
              <w:bottom w:val="single" w:sz="4" w:space="0" w:color="auto"/>
              <w:right w:val="single" w:sz="4" w:space="0" w:color="auto"/>
            </w:tcBorders>
            <w:vAlign w:val="center"/>
          </w:tcPr>
          <w:p>
            <w:pPr>
              <w:widowControl/>
              <w:snapToGrid w:val="0"/>
              <w:spacing w:after="0" w:line="240" w:lineRule="auto"/>
              <w:jc w:val="center"/>
              <w:rPr>
                <w:rFonts w:ascii="宋体" w:hAnsi="宋体"/>
                <w:color w:val="000000"/>
                <w:kern w:val="0"/>
                <w:sz w:val="24"/>
                <w:szCs w:val="24"/>
              </w:rPr>
            </w:pPr>
            <w:r>
              <w:rPr>
                <w:rFonts w:ascii="宋体" w:hAnsi="宋体"/>
                <w:color w:val="000000"/>
                <w:kern w:val="0"/>
                <w:sz w:val="24"/>
                <w:szCs w:val="24"/>
              </w:rPr>
              <w:t>2</w:t>
            </w:r>
          </w:p>
        </w:tc>
        <w:tc>
          <w:tcPr>
            <w:tcW w:w="7" w:type="dxa"/>
            <w:vMerge w:val="restart"/>
            <w:tcBorders>
              <w:top w:val="single" w:sz="4" w:space="0" w:color="auto"/>
              <w:left w:val="single" w:sz="4" w:space="0" w:color="auto"/>
              <w:bottom w:val="single" w:sz="4" w:space="0" w:color="auto"/>
              <w:right w:val="single" w:sz="4" w:space="0" w:color="auto"/>
            </w:tcBorders>
            <w:vAlign w:val="center"/>
          </w:tcPr>
          <w:p>
            <w:pPr>
              <w:spacing w:after="0" w:line="240" w:lineRule="auto"/>
              <w:jc w:val="left"/>
            </w:pPr>
            <w:r>
              <w:rPr>
                <w:rFonts w:ascii="宋体" w:hAnsi="宋体"/>
                <w:color w:val="000000"/>
                <w:kern w:val="0"/>
                <w:sz w:val="25"/>
                <w:szCs w:val="24"/>
              </w:rPr>
              <w:t>央行票据</w:t>
            </w:r>
          </w:p>
        </w:tc>
        <w:tc>
          <w:tcPr>
            <w:tcW w:w="7" w:type="dxa"/>
            <w:tcBorders>
              <w:top w:val="single" w:sz="4" w:space="0" w:color="auto"/>
              <w:left w:val="single" w:sz="4" w:space="0" w:color="auto"/>
              <w:bottom w:val="single" w:sz="4" w:space="0" w:color="auto"/>
              <w:right w:val="single" w:sz="4" w:space="0" w:color="auto"/>
            </w:tcBorders>
            <w:vAlign w:val="center"/>
          </w:tcPr>
          <w:p>
            <w:pPr>
              <w:widowControl/>
              <w:snapToGrid w:val="0"/>
              <w:spacing w:after="0" w:line="240" w:lineRule="auto"/>
              <w:jc w:val="right"/>
              <w:rPr>
                <w:rFonts w:ascii="宋体" w:hAnsi="宋体"/>
                <w:color w:val="000000"/>
                <w:kern w:val="0"/>
                <w:sz w:val="24"/>
                <w:szCs w:val="24"/>
              </w:rPr>
            </w:pPr>
            <w:r>
              <w:rPr>
                <w:rFonts w:ascii="宋体" w:hAnsi="宋体"/>
                <w:color w:val="000000"/>
                <w:kern w:val="0"/>
                <w:sz w:val="24"/>
                <w:szCs w:val="24"/>
              </w:rPr>
              <w:t>-</w:t>
            </w:r>
          </w:p>
        </w:tc>
        <w:tc>
          <w:tcPr>
            <w:tcW w:w="7" w:type="dxa"/>
            <w:tcBorders>
              <w:top w:val="single" w:sz="4" w:space="0" w:color="auto"/>
              <w:left w:val="single" w:sz="4" w:space="0" w:color="auto"/>
              <w:bottom w:val="single" w:sz="4" w:space="0" w:color="auto"/>
              <w:right w:val="single" w:sz="4" w:space="0" w:color="auto"/>
            </w:tcBorders>
            <w:vAlign w:val="center"/>
          </w:tcPr>
          <w:p>
            <w:pPr>
              <w:widowControl/>
              <w:snapToGrid w:val="0"/>
              <w:spacing w:after="0" w:line="240" w:lineRule="auto"/>
              <w:jc w:val="right"/>
              <w:rPr>
                <w:rFonts w:ascii="宋体" w:hAnsi="宋体"/>
                <w:color w:val="000000"/>
                <w:kern w:val="0"/>
                <w:sz w:val="24"/>
                <w:szCs w:val="24"/>
              </w:rPr>
            </w:pPr>
            <w:r>
              <w:rPr>
                <w:rFonts w:ascii="宋体" w:hAnsi="宋体"/>
                <w:color w:val="000000"/>
                <w:kern w:val="0"/>
                <w:sz w:val="24"/>
                <w:szCs w:val="24"/>
              </w:rPr>
              <w:t>-</w:t>
            </w:r>
          </w:p>
        </w:tc>
      </w:tr>
      <w:tr>
        <w:tblPrEx>
          <w:tblW w:w="5000" w:type="pct"/>
          <w:tblInd w:w="0" w:type="dxa"/>
          <w:tblLayout w:type="fixed"/>
          <w:tblCellMar>
            <w:top w:w="0" w:type="dxa"/>
            <w:left w:w="0" w:type="dxa"/>
            <w:bottom w:w="0" w:type="dxa"/>
            <w:right w:w="0" w:type="dxa"/>
          </w:tblCellMar>
          <w:tblLook w:val="0000"/>
        </w:tblPrEx>
        <w:trPr>
          <w:cantSplit/>
          <w:trHeight w:val="375"/>
        </w:trPr>
        <w:tc>
          <w:tcPr>
            <w:tcW w:w="7" w:type="dxa"/>
            <w:tcBorders>
              <w:top w:val="single" w:sz="4" w:space="0" w:color="auto"/>
              <w:left w:val="single" w:sz="4" w:space="0" w:color="auto"/>
              <w:bottom w:val="single" w:sz="4" w:space="0" w:color="auto"/>
              <w:right w:val="single" w:sz="4" w:space="0" w:color="auto"/>
            </w:tcBorders>
            <w:vAlign w:val="center"/>
          </w:tcPr>
          <w:p>
            <w:pPr>
              <w:widowControl/>
              <w:snapToGrid w:val="0"/>
              <w:spacing w:after="0" w:line="240" w:lineRule="auto"/>
              <w:jc w:val="center"/>
              <w:rPr>
                <w:rFonts w:ascii="宋体" w:hAnsi="宋体"/>
                <w:color w:val="000000"/>
                <w:kern w:val="0"/>
                <w:sz w:val="24"/>
                <w:szCs w:val="24"/>
              </w:rPr>
            </w:pPr>
            <w:r>
              <w:rPr>
                <w:rFonts w:ascii="宋体" w:hAnsi="宋体"/>
                <w:color w:val="000000"/>
                <w:kern w:val="0"/>
                <w:sz w:val="24"/>
                <w:szCs w:val="24"/>
              </w:rPr>
              <w:t>3</w:t>
            </w:r>
          </w:p>
        </w:tc>
        <w:tc>
          <w:tcPr>
            <w:tcW w:w="7" w:type="dxa"/>
            <w:vMerge w:val="restart"/>
            <w:tcBorders>
              <w:top w:val="single" w:sz="4" w:space="0" w:color="auto"/>
              <w:left w:val="single" w:sz="4" w:space="0" w:color="auto"/>
              <w:bottom w:val="single" w:sz="4" w:space="0" w:color="auto"/>
              <w:right w:val="single" w:sz="4" w:space="0" w:color="auto"/>
            </w:tcBorders>
            <w:vAlign w:val="center"/>
          </w:tcPr>
          <w:p>
            <w:pPr>
              <w:spacing w:after="0" w:line="240" w:lineRule="auto"/>
              <w:jc w:val="left"/>
            </w:pPr>
            <w:r>
              <w:rPr>
                <w:rFonts w:ascii="宋体" w:hAnsi="宋体"/>
                <w:color w:val="000000"/>
                <w:kern w:val="0"/>
                <w:sz w:val="25"/>
                <w:szCs w:val="24"/>
              </w:rPr>
              <w:t>金融债券</w:t>
            </w:r>
          </w:p>
        </w:tc>
        <w:tc>
          <w:tcPr>
            <w:tcW w:w="7" w:type="dxa"/>
            <w:tcBorders>
              <w:top w:val="single" w:sz="4" w:space="0" w:color="auto"/>
              <w:left w:val="single" w:sz="4" w:space="0" w:color="auto"/>
              <w:bottom w:val="single" w:sz="4" w:space="0" w:color="auto"/>
              <w:right w:val="single" w:sz="4" w:space="0" w:color="auto"/>
            </w:tcBorders>
            <w:vAlign w:val="center"/>
          </w:tcPr>
          <w:p>
            <w:pPr>
              <w:widowControl/>
              <w:snapToGrid w:val="0"/>
              <w:spacing w:after="0" w:line="240" w:lineRule="auto"/>
              <w:jc w:val="right"/>
              <w:rPr>
                <w:rFonts w:ascii="宋体" w:hAnsi="宋体"/>
                <w:color w:val="000000"/>
                <w:kern w:val="0"/>
                <w:sz w:val="24"/>
                <w:szCs w:val="24"/>
              </w:rPr>
            </w:pPr>
            <w:r>
              <w:rPr>
                <w:rFonts w:ascii="宋体" w:hAnsi="宋体"/>
                <w:color w:val="000000"/>
                <w:kern w:val="0"/>
                <w:sz w:val="24"/>
                <w:szCs w:val="24"/>
              </w:rPr>
              <w:t>-</w:t>
            </w:r>
          </w:p>
        </w:tc>
        <w:tc>
          <w:tcPr>
            <w:tcW w:w="7" w:type="dxa"/>
            <w:tcBorders>
              <w:top w:val="single" w:sz="4" w:space="0" w:color="auto"/>
              <w:left w:val="single" w:sz="4" w:space="0" w:color="auto"/>
              <w:bottom w:val="single" w:sz="4" w:space="0" w:color="auto"/>
              <w:right w:val="single" w:sz="4" w:space="0" w:color="auto"/>
            </w:tcBorders>
            <w:vAlign w:val="center"/>
          </w:tcPr>
          <w:p>
            <w:pPr>
              <w:widowControl/>
              <w:snapToGrid w:val="0"/>
              <w:spacing w:after="0" w:line="240" w:lineRule="auto"/>
              <w:jc w:val="right"/>
              <w:rPr>
                <w:rFonts w:ascii="宋体" w:hAnsi="宋体"/>
                <w:color w:val="000000"/>
                <w:kern w:val="0"/>
                <w:sz w:val="24"/>
                <w:szCs w:val="24"/>
              </w:rPr>
            </w:pPr>
            <w:r>
              <w:rPr>
                <w:rFonts w:ascii="宋体" w:hAnsi="宋体"/>
                <w:color w:val="000000"/>
                <w:kern w:val="0"/>
                <w:sz w:val="24"/>
                <w:szCs w:val="24"/>
              </w:rPr>
              <w:t>-</w:t>
            </w:r>
          </w:p>
        </w:tc>
      </w:tr>
      <w:tr>
        <w:tblPrEx>
          <w:tblW w:w="5000" w:type="pct"/>
          <w:tblInd w:w="0" w:type="dxa"/>
          <w:tblLayout w:type="fixed"/>
          <w:tblCellMar>
            <w:top w:w="0" w:type="dxa"/>
            <w:left w:w="0" w:type="dxa"/>
            <w:bottom w:w="0" w:type="dxa"/>
            <w:right w:w="0" w:type="dxa"/>
          </w:tblCellMar>
          <w:tblLook w:val="0000"/>
        </w:tblPrEx>
        <w:trPr>
          <w:cantSplit/>
          <w:trHeight w:val="375"/>
        </w:trPr>
        <w:tc>
          <w:tcPr>
            <w:tcW w:w="7" w:type="dxa"/>
            <w:tcBorders>
              <w:top w:val="single" w:sz="4" w:space="0" w:color="auto"/>
              <w:left w:val="single" w:sz="4" w:space="0" w:color="auto"/>
              <w:bottom w:val="single" w:sz="4" w:space="0" w:color="auto"/>
              <w:right w:val="single" w:sz="4" w:space="0" w:color="auto"/>
            </w:tcBorders>
            <w:vAlign w:val="center"/>
          </w:tcPr>
          <w:p>
            <w:pPr>
              <w:widowControl/>
              <w:snapToGrid w:val="0"/>
              <w:spacing w:after="0" w:line="240" w:lineRule="auto"/>
              <w:jc w:val="center"/>
              <w:rPr>
                <w:rFonts w:ascii="宋体" w:hAnsi="宋体"/>
                <w:color w:val="000000"/>
                <w:kern w:val="0"/>
                <w:sz w:val="24"/>
                <w:szCs w:val="24"/>
              </w:rPr>
            </w:pPr>
            <w:r>
              <w:rPr>
                <w:rFonts w:ascii="宋体" w:hAnsi="宋体"/>
                <w:color w:val="000000"/>
                <w:kern w:val="0"/>
                <w:sz w:val="24"/>
                <w:szCs w:val="24"/>
              </w:rPr>
              <w:t>　</w:t>
            </w:r>
          </w:p>
        </w:tc>
        <w:tc>
          <w:tcPr>
            <w:tcW w:w="7" w:type="dxa"/>
            <w:vMerge w:val="restart"/>
            <w:tcBorders>
              <w:top w:val="single" w:sz="4" w:space="0" w:color="auto"/>
              <w:left w:val="single" w:sz="4" w:space="0" w:color="auto"/>
              <w:bottom w:val="single" w:sz="4" w:space="0" w:color="auto"/>
              <w:right w:val="single" w:sz="4" w:space="0" w:color="auto"/>
            </w:tcBorders>
            <w:vAlign w:val="center"/>
          </w:tcPr>
          <w:p>
            <w:pPr>
              <w:spacing w:after="0" w:line="240" w:lineRule="auto"/>
              <w:jc w:val="left"/>
            </w:pPr>
            <w:r>
              <w:rPr>
                <w:rFonts w:ascii="宋体" w:hAnsi="宋体"/>
                <w:color w:val="000000"/>
                <w:kern w:val="0"/>
                <w:sz w:val="25"/>
                <w:szCs w:val="24"/>
              </w:rPr>
              <w:t>其中：政策性金融债</w:t>
            </w:r>
          </w:p>
        </w:tc>
        <w:tc>
          <w:tcPr>
            <w:tcW w:w="7" w:type="dxa"/>
            <w:tcBorders>
              <w:top w:val="single" w:sz="4" w:space="0" w:color="auto"/>
              <w:left w:val="single" w:sz="4" w:space="0" w:color="auto"/>
              <w:bottom w:val="single" w:sz="4" w:space="0" w:color="auto"/>
              <w:right w:val="single" w:sz="4" w:space="0" w:color="auto"/>
            </w:tcBorders>
            <w:vAlign w:val="center"/>
          </w:tcPr>
          <w:p>
            <w:pPr>
              <w:widowControl/>
              <w:snapToGrid w:val="0"/>
              <w:spacing w:after="0" w:line="240" w:lineRule="auto"/>
              <w:jc w:val="right"/>
              <w:rPr>
                <w:rFonts w:ascii="宋体" w:hAnsi="宋体"/>
                <w:color w:val="000000"/>
                <w:kern w:val="0"/>
                <w:sz w:val="24"/>
                <w:szCs w:val="24"/>
              </w:rPr>
            </w:pPr>
            <w:r>
              <w:rPr>
                <w:rFonts w:ascii="宋体" w:hAnsi="宋体"/>
                <w:color w:val="000000"/>
                <w:kern w:val="0"/>
                <w:sz w:val="24"/>
                <w:szCs w:val="24"/>
              </w:rPr>
              <w:t>-</w:t>
            </w:r>
          </w:p>
        </w:tc>
        <w:tc>
          <w:tcPr>
            <w:tcW w:w="7" w:type="dxa"/>
            <w:tcBorders>
              <w:top w:val="single" w:sz="4" w:space="0" w:color="auto"/>
              <w:left w:val="single" w:sz="4" w:space="0" w:color="auto"/>
              <w:bottom w:val="single" w:sz="4" w:space="0" w:color="auto"/>
              <w:right w:val="single" w:sz="4" w:space="0" w:color="auto"/>
            </w:tcBorders>
            <w:vAlign w:val="center"/>
          </w:tcPr>
          <w:p>
            <w:pPr>
              <w:widowControl/>
              <w:snapToGrid w:val="0"/>
              <w:spacing w:after="0" w:line="240" w:lineRule="auto"/>
              <w:jc w:val="right"/>
              <w:rPr>
                <w:rFonts w:ascii="宋体" w:hAnsi="宋体"/>
                <w:color w:val="000000"/>
                <w:kern w:val="0"/>
                <w:sz w:val="24"/>
                <w:szCs w:val="24"/>
              </w:rPr>
            </w:pPr>
            <w:r>
              <w:rPr>
                <w:rFonts w:ascii="宋体" w:hAnsi="宋体"/>
                <w:color w:val="000000"/>
                <w:kern w:val="0"/>
                <w:sz w:val="24"/>
                <w:szCs w:val="24"/>
              </w:rPr>
              <w:t>-</w:t>
            </w:r>
          </w:p>
        </w:tc>
      </w:tr>
      <w:tr>
        <w:tblPrEx>
          <w:tblW w:w="5000" w:type="pct"/>
          <w:tblInd w:w="0" w:type="dxa"/>
          <w:tblLayout w:type="fixed"/>
          <w:tblCellMar>
            <w:top w:w="0" w:type="dxa"/>
            <w:left w:w="0" w:type="dxa"/>
            <w:bottom w:w="0" w:type="dxa"/>
            <w:right w:w="0" w:type="dxa"/>
          </w:tblCellMar>
          <w:tblLook w:val="0000"/>
        </w:tblPrEx>
        <w:trPr>
          <w:cantSplit/>
          <w:trHeight w:val="375"/>
        </w:trPr>
        <w:tc>
          <w:tcPr>
            <w:tcW w:w="7" w:type="dxa"/>
            <w:tcBorders>
              <w:top w:val="single" w:sz="4" w:space="0" w:color="auto"/>
              <w:left w:val="single" w:sz="4" w:space="0" w:color="auto"/>
              <w:bottom w:val="single" w:sz="4" w:space="0" w:color="auto"/>
              <w:right w:val="single" w:sz="4" w:space="0" w:color="auto"/>
            </w:tcBorders>
            <w:vAlign w:val="center"/>
          </w:tcPr>
          <w:p>
            <w:pPr>
              <w:widowControl/>
              <w:snapToGrid w:val="0"/>
              <w:spacing w:after="0" w:line="240" w:lineRule="auto"/>
              <w:jc w:val="center"/>
              <w:rPr>
                <w:rFonts w:ascii="宋体" w:hAnsi="宋体"/>
                <w:color w:val="000000"/>
                <w:kern w:val="0"/>
                <w:sz w:val="24"/>
                <w:szCs w:val="24"/>
              </w:rPr>
            </w:pPr>
            <w:r>
              <w:rPr>
                <w:rFonts w:ascii="宋体" w:hAnsi="宋体"/>
                <w:color w:val="000000"/>
                <w:kern w:val="0"/>
                <w:sz w:val="24"/>
                <w:szCs w:val="24"/>
              </w:rPr>
              <w:t>4</w:t>
            </w:r>
          </w:p>
        </w:tc>
        <w:tc>
          <w:tcPr>
            <w:tcW w:w="7" w:type="dxa"/>
            <w:vMerge w:val="restart"/>
            <w:tcBorders>
              <w:top w:val="single" w:sz="4" w:space="0" w:color="auto"/>
              <w:left w:val="single" w:sz="4" w:space="0" w:color="auto"/>
              <w:bottom w:val="single" w:sz="4" w:space="0" w:color="auto"/>
              <w:right w:val="single" w:sz="4" w:space="0" w:color="auto"/>
            </w:tcBorders>
            <w:vAlign w:val="center"/>
          </w:tcPr>
          <w:p>
            <w:pPr>
              <w:spacing w:after="0" w:line="240" w:lineRule="auto"/>
              <w:jc w:val="left"/>
            </w:pPr>
            <w:r>
              <w:rPr>
                <w:rFonts w:ascii="宋体" w:hAnsi="宋体"/>
                <w:color w:val="000000"/>
                <w:kern w:val="0"/>
                <w:sz w:val="25"/>
                <w:szCs w:val="24"/>
              </w:rPr>
              <w:t>企业债券</w:t>
            </w:r>
          </w:p>
        </w:tc>
        <w:tc>
          <w:tcPr>
            <w:tcW w:w="7" w:type="dxa"/>
            <w:tcBorders>
              <w:top w:val="single" w:sz="4" w:space="0" w:color="auto"/>
              <w:left w:val="single" w:sz="4" w:space="0" w:color="auto"/>
              <w:bottom w:val="single" w:sz="4" w:space="0" w:color="auto"/>
              <w:right w:val="single" w:sz="4" w:space="0" w:color="auto"/>
            </w:tcBorders>
            <w:vAlign w:val="center"/>
          </w:tcPr>
          <w:p>
            <w:pPr>
              <w:widowControl/>
              <w:snapToGrid w:val="0"/>
              <w:spacing w:after="0" w:line="240" w:lineRule="auto"/>
              <w:jc w:val="right"/>
              <w:rPr>
                <w:rFonts w:ascii="宋体" w:hAnsi="宋体"/>
                <w:color w:val="000000"/>
                <w:kern w:val="0"/>
                <w:sz w:val="24"/>
                <w:szCs w:val="24"/>
              </w:rPr>
            </w:pPr>
            <w:r>
              <w:rPr>
                <w:rFonts w:ascii="宋体" w:hAnsi="宋体"/>
                <w:color w:val="000000"/>
                <w:kern w:val="0"/>
                <w:sz w:val="24"/>
                <w:szCs w:val="24"/>
              </w:rPr>
              <w:t>-</w:t>
            </w:r>
          </w:p>
        </w:tc>
        <w:tc>
          <w:tcPr>
            <w:tcW w:w="7" w:type="dxa"/>
            <w:tcBorders>
              <w:top w:val="single" w:sz="4" w:space="0" w:color="auto"/>
              <w:left w:val="single" w:sz="4" w:space="0" w:color="auto"/>
              <w:bottom w:val="single" w:sz="4" w:space="0" w:color="auto"/>
              <w:right w:val="single" w:sz="4" w:space="0" w:color="auto"/>
            </w:tcBorders>
            <w:vAlign w:val="center"/>
          </w:tcPr>
          <w:p>
            <w:pPr>
              <w:widowControl/>
              <w:snapToGrid w:val="0"/>
              <w:spacing w:after="0" w:line="240" w:lineRule="auto"/>
              <w:jc w:val="right"/>
              <w:rPr>
                <w:rFonts w:ascii="宋体" w:hAnsi="宋体"/>
                <w:color w:val="000000"/>
                <w:kern w:val="0"/>
                <w:sz w:val="24"/>
                <w:szCs w:val="24"/>
              </w:rPr>
            </w:pPr>
            <w:r>
              <w:rPr>
                <w:rFonts w:ascii="宋体" w:hAnsi="宋体"/>
                <w:color w:val="000000"/>
                <w:kern w:val="0"/>
                <w:sz w:val="24"/>
                <w:szCs w:val="24"/>
              </w:rPr>
              <w:t>-</w:t>
            </w:r>
          </w:p>
        </w:tc>
      </w:tr>
      <w:tr>
        <w:tblPrEx>
          <w:tblW w:w="5000" w:type="pct"/>
          <w:tblInd w:w="0" w:type="dxa"/>
          <w:tblLayout w:type="fixed"/>
          <w:tblCellMar>
            <w:top w:w="0" w:type="dxa"/>
            <w:left w:w="0" w:type="dxa"/>
            <w:bottom w:w="0" w:type="dxa"/>
            <w:right w:w="0" w:type="dxa"/>
          </w:tblCellMar>
          <w:tblLook w:val="0000"/>
        </w:tblPrEx>
        <w:trPr>
          <w:cantSplit/>
          <w:trHeight w:val="375"/>
        </w:trPr>
        <w:tc>
          <w:tcPr>
            <w:tcW w:w="7" w:type="dxa"/>
            <w:tcBorders>
              <w:top w:val="single" w:sz="4" w:space="0" w:color="auto"/>
              <w:left w:val="single" w:sz="4" w:space="0" w:color="auto"/>
              <w:bottom w:val="single" w:sz="4" w:space="0" w:color="auto"/>
              <w:right w:val="single" w:sz="4" w:space="0" w:color="auto"/>
            </w:tcBorders>
            <w:vAlign w:val="center"/>
          </w:tcPr>
          <w:p>
            <w:pPr>
              <w:widowControl/>
              <w:snapToGrid w:val="0"/>
              <w:spacing w:after="0" w:line="240" w:lineRule="auto"/>
              <w:jc w:val="center"/>
              <w:rPr>
                <w:rFonts w:ascii="宋体" w:hAnsi="宋体"/>
                <w:color w:val="000000"/>
                <w:kern w:val="0"/>
                <w:sz w:val="24"/>
                <w:szCs w:val="24"/>
              </w:rPr>
            </w:pPr>
            <w:r>
              <w:rPr>
                <w:rFonts w:ascii="宋体" w:hAnsi="宋体"/>
                <w:color w:val="000000"/>
                <w:kern w:val="0"/>
                <w:sz w:val="24"/>
                <w:szCs w:val="24"/>
              </w:rPr>
              <w:t>5</w:t>
            </w:r>
          </w:p>
        </w:tc>
        <w:tc>
          <w:tcPr>
            <w:tcW w:w="7" w:type="dxa"/>
            <w:vMerge w:val="restart"/>
            <w:tcBorders>
              <w:top w:val="single" w:sz="4" w:space="0" w:color="auto"/>
              <w:left w:val="single" w:sz="4" w:space="0" w:color="auto"/>
              <w:bottom w:val="single" w:sz="4" w:space="0" w:color="auto"/>
              <w:right w:val="single" w:sz="4" w:space="0" w:color="auto"/>
            </w:tcBorders>
            <w:vAlign w:val="center"/>
          </w:tcPr>
          <w:p>
            <w:pPr>
              <w:spacing w:after="0" w:line="240" w:lineRule="auto"/>
              <w:jc w:val="left"/>
            </w:pPr>
            <w:r>
              <w:rPr>
                <w:rFonts w:ascii="宋体" w:hAnsi="宋体"/>
                <w:color w:val="000000"/>
                <w:kern w:val="0"/>
                <w:sz w:val="25"/>
                <w:szCs w:val="24"/>
              </w:rPr>
              <w:t>企业短期融资券</w:t>
            </w:r>
          </w:p>
        </w:tc>
        <w:tc>
          <w:tcPr>
            <w:tcW w:w="7" w:type="dxa"/>
            <w:tcBorders>
              <w:top w:val="single" w:sz="4" w:space="0" w:color="auto"/>
              <w:left w:val="single" w:sz="4" w:space="0" w:color="auto"/>
              <w:bottom w:val="single" w:sz="4" w:space="0" w:color="auto"/>
              <w:right w:val="single" w:sz="4" w:space="0" w:color="auto"/>
            </w:tcBorders>
            <w:vAlign w:val="center"/>
          </w:tcPr>
          <w:p>
            <w:pPr>
              <w:widowControl/>
              <w:snapToGrid w:val="0"/>
              <w:spacing w:after="0" w:line="240" w:lineRule="auto"/>
              <w:jc w:val="right"/>
              <w:rPr>
                <w:rFonts w:ascii="宋体" w:hAnsi="宋体"/>
                <w:color w:val="000000"/>
                <w:kern w:val="0"/>
                <w:sz w:val="24"/>
                <w:szCs w:val="24"/>
              </w:rPr>
            </w:pPr>
            <w:r>
              <w:rPr>
                <w:rFonts w:ascii="宋体" w:hAnsi="宋体"/>
                <w:color w:val="000000"/>
                <w:kern w:val="0"/>
                <w:sz w:val="24"/>
                <w:szCs w:val="24"/>
              </w:rPr>
              <w:t>-</w:t>
            </w:r>
          </w:p>
        </w:tc>
        <w:tc>
          <w:tcPr>
            <w:tcW w:w="7" w:type="dxa"/>
            <w:tcBorders>
              <w:top w:val="single" w:sz="4" w:space="0" w:color="auto"/>
              <w:left w:val="single" w:sz="4" w:space="0" w:color="auto"/>
              <w:bottom w:val="single" w:sz="4" w:space="0" w:color="auto"/>
              <w:right w:val="single" w:sz="4" w:space="0" w:color="auto"/>
            </w:tcBorders>
            <w:vAlign w:val="center"/>
          </w:tcPr>
          <w:p>
            <w:pPr>
              <w:widowControl/>
              <w:snapToGrid w:val="0"/>
              <w:spacing w:after="0" w:line="240" w:lineRule="auto"/>
              <w:jc w:val="right"/>
              <w:rPr>
                <w:rFonts w:ascii="宋体" w:hAnsi="宋体"/>
                <w:color w:val="000000"/>
                <w:kern w:val="0"/>
                <w:sz w:val="24"/>
                <w:szCs w:val="24"/>
              </w:rPr>
            </w:pPr>
            <w:r>
              <w:rPr>
                <w:rFonts w:ascii="宋体" w:hAnsi="宋体"/>
                <w:color w:val="000000"/>
                <w:kern w:val="0"/>
                <w:sz w:val="24"/>
                <w:szCs w:val="24"/>
              </w:rPr>
              <w:t>-</w:t>
            </w:r>
          </w:p>
        </w:tc>
      </w:tr>
      <w:tr>
        <w:tblPrEx>
          <w:tblW w:w="5000" w:type="pct"/>
          <w:tblInd w:w="0" w:type="dxa"/>
          <w:tblLayout w:type="fixed"/>
          <w:tblCellMar>
            <w:top w:w="0" w:type="dxa"/>
            <w:left w:w="0" w:type="dxa"/>
            <w:bottom w:w="0" w:type="dxa"/>
            <w:right w:w="0" w:type="dxa"/>
          </w:tblCellMar>
          <w:tblLook w:val="0000"/>
        </w:tblPrEx>
        <w:trPr>
          <w:cantSplit/>
          <w:trHeight w:val="375"/>
        </w:trPr>
        <w:tc>
          <w:tcPr>
            <w:tcW w:w="7" w:type="dxa"/>
            <w:tcBorders>
              <w:top w:val="single" w:sz="4" w:space="0" w:color="auto"/>
              <w:left w:val="single" w:sz="4" w:space="0" w:color="auto"/>
              <w:bottom w:val="single" w:sz="4" w:space="0" w:color="auto"/>
              <w:right w:val="single" w:sz="4" w:space="0" w:color="auto"/>
            </w:tcBorders>
            <w:vAlign w:val="center"/>
          </w:tcPr>
          <w:p>
            <w:pPr>
              <w:widowControl/>
              <w:snapToGrid w:val="0"/>
              <w:spacing w:after="0" w:line="240" w:lineRule="auto"/>
              <w:jc w:val="center"/>
              <w:rPr>
                <w:rFonts w:ascii="宋体" w:hAnsi="宋体"/>
                <w:color w:val="000000"/>
                <w:kern w:val="0"/>
                <w:sz w:val="24"/>
                <w:szCs w:val="24"/>
              </w:rPr>
            </w:pPr>
            <w:r>
              <w:rPr>
                <w:rFonts w:ascii="宋体" w:hAnsi="宋体"/>
                <w:color w:val="000000"/>
                <w:kern w:val="0"/>
                <w:sz w:val="24"/>
                <w:szCs w:val="24"/>
              </w:rPr>
              <w:t>6</w:t>
            </w:r>
          </w:p>
        </w:tc>
        <w:tc>
          <w:tcPr>
            <w:tcW w:w="7" w:type="dxa"/>
            <w:tcBorders>
              <w:top w:val="single" w:sz="4" w:space="0" w:color="auto"/>
              <w:left w:val="single" w:sz="4" w:space="0" w:color="auto"/>
              <w:bottom w:val="single" w:sz="4" w:space="0" w:color="auto"/>
              <w:right w:val="single" w:sz="4" w:space="0" w:color="auto"/>
            </w:tcBorders>
            <w:vAlign w:val="center"/>
          </w:tcPr>
          <w:p>
            <w:pPr>
              <w:spacing w:after="0" w:line="240" w:lineRule="auto"/>
              <w:jc w:val="left"/>
            </w:pPr>
            <w:r>
              <w:rPr>
                <w:rFonts w:ascii="宋体" w:hAnsi="宋体"/>
                <w:color w:val="000000"/>
                <w:kern w:val="0"/>
                <w:sz w:val="25"/>
                <w:szCs w:val="24"/>
              </w:rPr>
              <w:t>中期票据</w:t>
            </w:r>
          </w:p>
        </w:tc>
        <w:tc>
          <w:tcPr>
            <w:tcW w:w="7" w:type="dxa"/>
            <w:tcBorders>
              <w:top w:val="single" w:sz="4" w:space="0" w:color="auto"/>
              <w:left w:val="single" w:sz="4" w:space="0" w:color="auto"/>
              <w:bottom w:val="single" w:sz="4" w:space="0" w:color="auto"/>
              <w:right w:val="single" w:sz="4" w:space="0" w:color="auto"/>
            </w:tcBorders>
            <w:vAlign w:val="center"/>
          </w:tcPr>
          <w:p>
            <w:pPr>
              <w:widowControl/>
              <w:snapToGrid w:val="0"/>
              <w:spacing w:after="0" w:line="240" w:lineRule="auto"/>
              <w:jc w:val="right"/>
              <w:rPr>
                <w:rFonts w:ascii="宋体" w:hAnsi="宋体"/>
                <w:color w:val="000000"/>
                <w:kern w:val="0"/>
                <w:sz w:val="24"/>
                <w:szCs w:val="24"/>
              </w:rPr>
            </w:pPr>
            <w:r>
              <w:rPr>
                <w:rFonts w:ascii="宋体" w:hAnsi="宋体"/>
                <w:color w:val="000000"/>
                <w:kern w:val="0"/>
                <w:sz w:val="24"/>
                <w:szCs w:val="24"/>
              </w:rPr>
              <w:t>-</w:t>
            </w:r>
          </w:p>
        </w:tc>
        <w:tc>
          <w:tcPr>
            <w:tcW w:w="7" w:type="dxa"/>
            <w:tcBorders>
              <w:top w:val="single" w:sz="4" w:space="0" w:color="auto"/>
              <w:left w:val="single" w:sz="4" w:space="0" w:color="auto"/>
              <w:bottom w:val="single" w:sz="4" w:space="0" w:color="auto"/>
              <w:right w:val="single" w:sz="4" w:space="0" w:color="auto"/>
            </w:tcBorders>
            <w:vAlign w:val="center"/>
          </w:tcPr>
          <w:p>
            <w:pPr>
              <w:widowControl/>
              <w:snapToGrid w:val="0"/>
              <w:spacing w:after="0" w:line="240" w:lineRule="auto"/>
              <w:jc w:val="right"/>
              <w:rPr>
                <w:rFonts w:ascii="宋体" w:hAnsi="宋体"/>
                <w:color w:val="000000"/>
                <w:kern w:val="0"/>
                <w:sz w:val="24"/>
                <w:szCs w:val="24"/>
              </w:rPr>
            </w:pPr>
            <w:r>
              <w:rPr>
                <w:rFonts w:ascii="宋体" w:hAnsi="宋体"/>
                <w:color w:val="000000"/>
                <w:kern w:val="0"/>
                <w:sz w:val="24"/>
                <w:szCs w:val="24"/>
              </w:rPr>
              <w:t>-</w:t>
            </w:r>
          </w:p>
        </w:tc>
      </w:tr>
      <w:tr>
        <w:tblPrEx>
          <w:tblW w:w="5000" w:type="pct"/>
          <w:tblInd w:w="0" w:type="dxa"/>
          <w:tblLayout w:type="fixed"/>
          <w:tblCellMar>
            <w:top w:w="0" w:type="dxa"/>
            <w:left w:w="0" w:type="dxa"/>
            <w:bottom w:w="0" w:type="dxa"/>
            <w:right w:w="0" w:type="dxa"/>
          </w:tblCellMar>
          <w:tblLook w:val="0000"/>
        </w:tblPrEx>
        <w:trPr>
          <w:cantSplit/>
          <w:trHeight w:val="375"/>
        </w:trPr>
        <w:tc>
          <w:tcPr>
            <w:tcW w:w="7" w:type="dxa"/>
            <w:tcBorders>
              <w:top w:val="single" w:sz="4" w:space="0" w:color="auto"/>
              <w:left w:val="single" w:sz="4" w:space="0" w:color="auto"/>
              <w:bottom w:val="single" w:sz="4" w:space="0" w:color="auto"/>
              <w:right w:val="single" w:sz="4" w:space="0" w:color="auto"/>
            </w:tcBorders>
            <w:vAlign w:val="center"/>
          </w:tcPr>
          <w:p>
            <w:pPr>
              <w:widowControl/>
              <w:snapToGrid w:val="0"/>
              <w:spacing w:after="0" w:line="240" w:lineRule="auto"/>
              <w:jc w:val="center"/>
              <w:rPr>
                <w:rFonts w:ascii="宋体" w:hAnsi="宋体"/>
                <w:color w:val="000000"/>
                <w:kern w:val="0"/>
                <w:sz w:val="24"/>
                <w:szCs w:val="24"/>
              </w:rPr>
            </w:pPr>
            <w:r>
              <w:rPr>
                <w:rFonts w:ascii="宋体" w:hAnsi="宋体"/>
                <w:color w:val="000000"/>
                <w:kern w:val="0"/>
                <w:sz w:val="24"/>
                <w:szCs w:val="24"/>
              </w:rPr>
              <w:t>7</w:t>
            </w:r>
          </w:p>
        </w:tc>
        <w:tc>
          <w:tcPr>
            <w:tcW w:w="7" w:type="dxa"/>
            <w:tcBorders>
              <w:top w:val="single" w:sz="4" w:space="0" w:color="auto"/>
              <w:left w:val="single" w:sz="4" w:space="0" w:color="auto"/>
              <w:bottom w:val="single" w:sz="4" w:space="0" w:color="auto"/>
              <w:right w:val="single" w:sz="4" w:space="0" w:color="auto"/>
            </w:tcBorders>
            <w:vAlign w:val="center"/>
          </w:tcPr>
          <w:p>
            <w:pPr>
              <w:spacing w:after="0" w:line="240" w:lineRule="auto"/>
              <w:jc w:val="left"/>
            </w:pPr>
            <w:r>
              <w:rPr>
                <w:rFonts w:ascii="宋体" w:hAnsi="宋体"/>
                <w:color w:val="000000"/>
                <w:kern w:val="0"/>
                <w:sz w:val="25"/>
                <w:szCs w:val="24"/>
              </w:rPr>
              <w:t>可转债（可交换债）</w:t>
            </w:r>
          </w:p>
        </w:tc>
        <w:tc>
          <w:tcPr>
            <w:tcW w:w="7" w:type="dxa"/>
            <w:tcBorders>
              <w:top w:val="single" w:sz="4" w:space="0" w:color="auto"/>
              <w:left w:val="single" w:sz="4" w:space="0" w:color="auto"/>
              <w:bottom w:val="single" w:sz="4" w:space="0" w:color="auto"/>
              <w:right w:val="single" w:sz="4" w:space="0" w:color="auto"/>
            </w:tcBorders>
            <w:vAlign w:val="center"/>
          </w:tcPr>
          <w:p>
            <w:pPr>
              <w:widowControl/>
              <w:snapToGrid w:val="0"/>
              <w:spacing w:after="0" w:line="240" w:lineRule="auto"/>
              <w:jc w:val="right"/>
              <w:rPr>
                <w:rFonts w:ascii="宋体" w:hAnsi="宋体"/>
                <w:color w:val="000000"/>
                <w:kern w:val="0"/>
                <w:sz w:val="24"/>
                <w:szCs w:val="24"/>
              </w:rPr>
            </w:pPr>
            <w:r>
              <w:rPr>
                <w:rFonts w:ascii="宋体" w:hAnsi="宋体"/>
                <w:color w:val="000000"/>
                <w:kern w:val="0"/>
                <w:sz w:val="24"/>
                <w:szCs w:val="24"/>
              </w:rPr>
              <w:t>249,274.54</w:t>
            </w:r>
          </w:p>
        </w:tc>
        <w:tc>
          <w:tcPr>
            <w:tcW w:w="7" w:type="dxa"/>
            <w:tcBorders>
              <w:top w:val="single" w:sz="4" w:space="0" w:color="auto"/>
              <w:left w:val="single" w:sz="4" w:space="0" w:color="auto"/>
              <w:bottom w:val="single" w:sz="4" w:space="0" w:color="auto"/>
              <w:right w:val="single" w:sz="4" w:space="0" w:color="auto"/>
            </w:tcBorders>
            <w:vAlign w:val="center"/>
          </w:tcPr>
          <w:p>
            <w:pPr>
              <w:widowControl/>
              <w:snapToGrid w:val="0"/>
              <w:spacing w:after="0" w:line="240" w:lineRule="auto"/>
              <w:jc w:val="right"/>
              <w:rPr>
                <w:rFonts w:ascii="宋体" w:hAnsi="宋体"/>
                <w:color w:val="000000"/>
                <w:kern w:val="0"/>
                <w:sz w:val="24"/>
                <w:szCs w:val="24"/>
              </w:rPr>
            </w:pPr>
            <w:r>
              <w:rPr>
                <w:rFonts w:ascii="宋体" w:hAnsi="宋体"/>
                <w:color w:val="000000"/>
                <w:kern w:val="0"/>
                <w:sz w:val="24"/>
                <w:szCs w:val="24"/>
              </w:rPr>
              <w:t>0.50</w:t>
            </w:r>
          </w:p>
        </w:tc>
      </w:tr>
      <w:tr>
        <w:tblPrEx>
          <w:tblW w:w="5000" w:type="pct"/>
          <w:tblInd w:w="0" w:type="dxa"/>
          <w:tblLayout w:type="fixed"/>
          <w:tblCellMar>
            <w:top w:w="0" w:type="dxa"/>
            <w:left w:w="0" w:type="dxa"/>
            <w:bottom w:w="0" w:type="dxa"/>
            <w:right w:w="0" w:type="dxa"/>
          </w:tblCellMar>
          <w:tblLook w:val="0000"/>
        </w:tblPrEx>
        <w:trPr>
          <w:cantSplit/>
          <w:trHeight w:val="375"/>
        </w:trPr>
        <w:tc>
          <w:tcPr>
            <w:tcW w:w="7" w:type="dxa"/>
            <w:tcBorders>
              <w:top w:val="single" w:sz="4" w:space="0" w:color="auto"/>
              <w:left w:val="single" w:sz="4" w:space="0" w:color="auto"/>
              <w:bottom w:val="single" w:sz="4" w:space="0" w:color="auto"/>
              <w:right w:val="single" w:sz="4" w:space="0" w:color="auto"/>
            </w:tcBorders>
            <w:vAlign w:val="center"/>
          </w:tcPr>
          <w:p>
            <w:pPr>
              <w:widowControl/>
              <w:snapToGrid w:val="0"/>
              <w:spacing w:after="0" w:line="240" w:lineRule="auto"/>
              <w:jc w:val="center"/>
              <w:rPr>
                <w:rFonts w:ascii="宋体" w:hAnsi="宋体"/>
                <w:color w:val="000000"/>
                <w:kern w:val="0"/>
                <w:sz w:val="24"/>
                <w:szCs w:val="24"/>
              </w:rPr>
            </w:pPr>
            <w:r>
              <w:rPr>
                <w:rFonts w:ascii="宋体" w:hAnsi="宋体"/>
                <w:color w:val="000000"/>
                <w:kern w:val="0"/>
                <w:sz w:val="24"/>
                <w:szCs w:val="24"/>
              </w:rPr>
              <w:t>8</w:t>
            </w:r>
          </w:p>
        </w:tc>
        <w:tc>
          <w:tcPr>
            <w:tcW w:w="7" w:type="dxa"/>
            <w:tcBorders>
              <w:top w:val="single" w:sz="4" w:space="0" w:color="auto"/>
              <w:left w:val="single" w:sz="4" w:space="0" w:color="auto"/>
              <w:bottom w:val="single" w:sz="4" w:space="0" w:color="auto"/>
              <w:right w:val="single" w:sz="4" w:space="0" w:color="auto"/>
            </w:tcBorders>
            <w:vAlign w:val="center"/>
          </w:tcPr>
          <w:p>
            <w:pPr>
              <w:spacing w:after="0" w:line="240" w:lineRule="auto"/>
              <w:jc w:val="left"/>
            </w:pPr>
            <w:r>
              <w:rPr>
                <w:rFonts w:ascii="宋体" w:hAnsi="宋体"/>
                <w:color w:val="000000"/>
                <w:kern w:val="0"/>
                <w:sz w:val="25"/>
                <w:szCs w:val="24"/>
              </w:rPr>
              <w:t>同业存单</w:t>
            </w:r>
          </w:p>
        </w:tc>
        <w:tc>
          <w:tcPr>
            <w:tcW w:w="7" w:type="dxa"/>
            <w:tcBorders>
              <w:top w:val="single" w:sz="4" w:space="0" w:color="auto"/>
              <w:left w:val="single" w:sz="4" w:space="0" w:color="auto"/>
              <w:bottom w:val="single" w:sz="4" w:space="0" w:color="auto"/>
              <w:right w:val="single" w:sz="4" w:space="0" w:color="auto"/>
            </w:tcBorders>
            <w:vAlign w:val="center"/>
          </w:tcPr>
          <w:p>
            <w:pPr>
              <w:widowControl/>
              <w:snapToGrid w:val="0"/>
              <w:spacing w:after="0" w:line="240" w:lineRule="auto"/>
              <w:jc w:val="right"/>
              <w:rPr>
                <w:rFonts w:ascii="宋体" w:hAnsi="宋体"/>
                <w:color w:val="000000"/>
                <w:kern w:val="0"/>
                <w:sz w:val="24"/>
                <w:szCs w:val="24"/>
              </w:rPr>
            </w:pPr>
            <w:r>
              <w:rPr>
                <w:rFonts w:ascii="宋体" w:hAnsi="宋体"/>
                <w:color w:val="000000"/>
                <w:kern w:val="0"/>
                <w:sz w:val="24"/>
                <w:szCs w:val="24"/>
              </w:rPr>
              <w:t>-</w:t>
            </w:r>
          </w:p>
        </w:tc>
        <w:tc>
          <w:tcPr>
            <w:tcW w:w="7" w:type="dxa"/>
            <w:tcBorders>
              <w:top w:val="single" w:sz="4" w:space="0" w:color="auto"/>
              <w:left w:val="single" w:sz="4" w:space="0" w:color="auto"/>
              <w:bottom w:val="single" w:sz="4" w:space="0" w:color="auto"/>
              <w:right w:val="single" w:sz="4" w:space="0" w:color="auto"/>
            </w:tcBorders>
            <w:vAlign w:val="center"/>
          </w:tcPr>
          <w:p>
            <w:pPr>
              <w:widowControl/>
              <w:snapToGrid w:val="0"/>
              <w:spacing w:after="0" w:line="240" w:lineRule="auto"/>
              <w:jc w:val="right"/>
              <w:rPr>
                <w:rFonts w:ascii="宋体" w:hAnsi="宋体"/>
                <w:color w:val="000000"/>
                <w:kern w:val="0"/>
                <w:sz w:val="24"/>
                <w:szCs w:val="24"/>
              </w:rPr>
            </w:pPr>
            <w:r>
              <w:rPr>
                <w:rFonts w:ascii="宋体" w:hAnsi="宋体"/>
                <w:color w:val="000000"/>
                <w:kern w:val="0"/>
                <w:sz w:val="24"/>
                <w:szCs w:val="24"/>
              </w:rPr>
              <w:t>-</w:t>
            </w:r>
          </w:p>
        </w:tc>
      </w:tr>
      <w:tr>
        <w:tblPrEx>
          <w:tblW w:w="5000" w:type="pct"/>
          <w:tblInd w:w="0" w:type="dxa"/>
          <w:tblLayout w:type="fixed"/>
          <w:tblCellMar>
            <w:top w:w="0" w:type="dxa"/>
            <w:left w:w="0" w:type="dxa"/>
            <w:bottom w:w="0" w:type="dxa"/>
            <w:right w:w="0" w:type="dxa"/>
          </w:tblCellMar>
          <w:tblLook w:val="0000"/>
        </w:tblPrEx>
        <w:trPr>
          <w:cantSplit/>
          <w:trHeight w:val="375"/>
        </w:trPr>
        <w:tc>
          <w:tcPr>
            <w:tcW w:w="7" w:type="dxa"/>
            <w:tcBorders>
              <w:top w:val="single" w:sz="4" w:space="0" w:color="auto"/>
              <w:left w:val="single" w:sz="4" w:space="0" w:color="auto"/>
              <w:bottom w:val="single" w:sz="4" w:space="0" w:color="auto"/>
              <w:right w:val="single" w:sz="4" w:space="0" w:color="auto"/>
            </w:tcBorders>
            <w:vAlign w:val="center"/>
          </w:tcPr>
          <w:p>
            <w:pPr>
              <w:widowControl/>
              <w:snapToGrid w:val="0"/>
              <w:spacing w:after="0" w:line="240" w:lineRule="auto"/>
              <w:jc w:val="center"/>
              <w:rPr>
                <w:rFonts w:ascii="宋体" w:hAnsi="宋体"/>
                <w:color w:val="000000"/>
                <w:kern w:val="0"/>
                <w:sz w:val="24"/>
                <w:szCs w:val="24"/>
              </w:rPr>
            </w:pPr>
            <w:r>
              <w:rPr>
                <w:rFonts w:ascii="宋体" w:hAnsi="宋体"/>
                <w:color w:val="000000"/>
                <w:kern w:val="0"/>
                <w:sz w:val="24"/>
                <w:szCs w:val="24"/>
              </w:rPr>
              <w:t>9</w:t>
            </w:r>
          </w:p>
        </w:tc>
        <w:tc>
          <w:tcPr>
            <w:tcW w:w="7" w:type="dxa"/>
            <w:tcBorders>
              <w:top w:val="single" w:sz="4" w:space="0" w:color="auto"/>
              <w:left w:val="single" w:sz="4" w:space="0" w:color="auto"/>
              <w:bottom w:val="single" w:sz="4" w:space="0" w:color="auto"/>
              <w:right w:val="single" w:sz="4" w:space="0" w:color="auto"/>
            </w:tcBorders>
            <w:vAlign w:val="center"/>
          </w:tcPr>
          <w:p>
            <w:pPr>
              <w:spacing w:after="0" w:line="240" w:lineRule="auto"/>
              <w:jc w:val="left"/>
            </w:pPr>
            <w:r>
              <w:rPr>
                <w:rFonts w:ascii="宋体" w:hAnsi="宋体"/>
                <w:color w:val="000000"/>
                <w:kern w:val="0"/>
                <w:sz w:val="25"/>
                <w:szCs w:val="24"/>
              </w:rPr>
              <w:t>其他</w:t>
            </w:r>
          </w:p>
        </w:tc>
        <w:tc>
          <w:tcPr>
            <w:tcW w:w="7" w:type="dxa"/>
            <w:tcBorders>
              <w:top w:val="single" w:sz="4" w:space="0" w:color="auto"/>
              <w:left w:val="single" w:sz="4" w:space="0" w:color="auto"/>
              <w:bottom w:val="single" w:sz="4" w:space="0" w:color="auto"/>
              <w:right w:val="single" w:sz="4" w:space="0" w:color="auto"/>
            </w:tcBorders>
            <w:vAlign w:val="center"/>
          </w:tcPr>
          <w:p>
            <w:pPr>
              <w:widowControl/>
              <w:snapToGrid w:val="0"/>
              <w:spacing w:after="0" w:line="240" w:lineRule="auto"/>
              <w:jc w:val="right"/>
              <w:rPr>
                <w:rFonts w:ascii="宋体" w:hAnsi="宋体"/>
                <w:color w:val="000000"/>
                <w:kern w:val="0"/>
                <w:sz w:val="24"/>
                <w:szCs w:val="24"/>
              </w:rPr>
            </w:pPr>
            <w:r>
              <w:rPr>
                <w:rFonts w:ascii="宋体" w:hAnsi="宋体"/>
                <w:color w:val="000000"/>
                <w:kern w:val="0"/>
                <w:sz w:val="24"/>
                <w:szCs w:val="24"/>
              </w:rPr>
              <w:t>-</w:t>
            </w:r>
          </w:p>
        </w:tc>
        <w:tc>
          <w:tcPr>
            <w:tcW w:w="7" w:type="dxa"/>
            <w:tcBorders>
              <w:top w:val="single" w:sz="4" w:space="0" w:color="auto"/>
              <w:left w:val="single" w:sz="4" w:space="0" w:color="auto"/>
              <w:bottom w:val="single" w:sz="4" w:space="0" w:color="auto"/>
              <w:right w:val="single" w:sz="4" w:space="0" w:color="auto"/>
            </w:tcBorders>
            <w:vAlign w:val="center"/>
          </w:tcPr>
          <w:p>
            <w:pPr>
              <w:widowControl/>
              <w:snapToGrid w:val="0"/>
              <w:spacing w:after="0" w:line="240" w:lineRule="auto"/>
              <w:jc w:val="right"/>
              <w:rPr>
                <w:rFonts w:ascii="宋体" w:hAnsi="宋体"/>
                <w:color w:val="000000"/>
                <w:kern w:val="0"/>
                <w:sz w:val="24"/>
                <w:szCs w:val="24"/>
              </w:rPr>
            </w:pPr>
            <w:r>
              <w:rPr>
                <w:rFonts w:ascii="宋体" w:hAnsi="宋体"/>
                <w:color w:val="000000"/>
                <w:kern w:val="0"/>
                <w:sz w:val="24"/>
                <w:szCs w:val="24"/>
              </w:rPr>
              <w:t>-</w:t>
            </w:r>
          </w:p>
        </w:tc>
      </w:tr>
      <w:tr>
        <w:tblPrEx>
          <w:tblW w:w="5000" w:type="pct"/>
          <w:tblInd w:w="0" w:type="dxa"/>
          <w:tblLayout w:type="fixed"/>
          <w:tblCellMar>
            <w:top w:w="0" w:type="dxa"/>
            <w:left w:w="0" w:type="dxa"/>
            <w:bottom w:w="0" w:type="dxa"/>
            <w:right w:w="0" w:type="dxa"/>
          </w:tblCellMar>
          <w:tblLook w:val="0000"/>
        </w:tblPrEx>
        <w:trPr>
          <w:cantSplit/>
          <w:trHeight w:val="375"/>
        </w:trPr>
        <w:tc>
          <w:tcPr>
            <w:tcW w:w="7" w:type="dxa"/>
            <w:tcBorders>
              <w:top w:val="single" w:sz="4" w:space="0" w:color="auto"/>
              <w:left w:val="single" w:sz="4" w:space="0" w:color="auto"/>
              <w:bottom w:val="single" w:sz="4" w:space="0" w:color="auto"/>
              <w:right w:val="single" w:sz="4" w:space="0" w:color="auto"/>
            </w:tcBorders>
            <w:vAlign w:val="center"/>
          </w:tcPr>
          <w:p>
            <w:pPr>
              <w:widowControl/>
              <w:snapToGrid w:val="0"/>
              <w:spacing w:after="0" w:line="240" w:lineRule="auto"/>
              <w:jc w:val="center"/>
              <w:rPr>
                <w:rFonts w:ascii="宋体" w:hAnsi="宋体"/>
                <w:color w:val="000000"/>
                <w:kern w:val="0"/>
                <w:sz w:val="24"/>
                <w:szCs w:val="24"/>
              </w:rPr>
            </w:pPr>
            <w:r>
              <w:rPr>
                <w:rFonts w:ascii="宋体" w:hAnsi="宋体"/>
                <w:color w:val="000000"/>
                <w:kern w:val="0"/>
                <w:sz w:val="24"/>
                <w:szCs w:val="24"/>
              </w:rPr>
              <w:t>10</w:t>
            </w:r>
          </w:p>
        </w:tc>
        <w:tc>
          <w:tcPr>
            <w:tcW w:w="7" w:type="dxa"/>
            <w:tcBorders>
              <w:top w:val="single" w:sz="4" w:space="0" w:color="auto"/>
              <w:left w:val="single" w:sz="4" w:space="0" w:color="auto"/>
              <w:bottom w:val="single" w:sz="4" w:space="0" w:color="auto"/>
              <w:right w:val="single" w:sz="4" w:space="0" w:color="auto"/>
            </w:tcBorders>
            <w:vAlign w:val="center"/>
          </w:tcPr>
          <w:p>
            <w:pPr>
              <w:spacing w:after="0" w:line="240" w:lineRule="auto"/>
              <w:jc w:val="left"/>
            </w:pPr>
            <w:r>
              <w:rPr>
                <w:rFonts w:ascii="宋体" w:hAnsi="宋体"/>
                <w:color w:val="000000"/>
                <w:kern w:val="0"/>
                <w:sz w:val="25"/>
                <w:szCs w:val="24"/>
              </w:rPr>
              <w:t>合计</w:t>
            </w:r>
          </w:p>
        </w:tc>
        <w:tc>
          <w:tcPr>
            <w:tcW w:w="7" w:type="dxa"/>
            <w:tcBorders>
              <w:top w:val="single" w:sz="4" w:space="0" w:color="auto"/>
              <w:left w:val="single" w:sz="4" w:space="0" w:color="auto"/>
              <w:bottom w:val="single" w:sz="4" w:space="0" w:color="auto"/>
              <w:right w:val="single" w:sz="4" w:space="0" w:color="auto"/>
            </w:tcBorders>
            <w:vAlign w:val="center"/>
          </w:tcPr>
          <w:p>
            <w:pPr>
              <w:widowControl/>
              <w:snapToGrid w:val="0"/>
              <w:spacing w:after="0" w:line="240" w:lineRule="auto"/>
              <w:jc w:val="right"/>
              <w:rPr>
                <w:rFonts w:ascii="宋体" w:hAnsi="宋体"/>
                <w:color w:val="000000"/>
                <w:kern w:val="0"/>
                <w:sz w:val="24"/>
                <w:szCs w:val="24"/>
              </w:rPr>
            </w:pPr>
            <w:r>
              <w:rPr>
                <w:rFonts w:ascii="宋体" w:hAnsi="宋体"/>
                <w:color w:val="000000"/>
                <w:kern w:val="0"/>
                <w:sz w:val="24"/>
                <w:szCs w:val="24"/>
              </w:rPr>
              <w:t>1,565,687.66</w:t>
            </w:r>
          </w:p>
        </w:tc>
        <w:tc>
          <w:tcPr>
            <w:tcW w:w="7" w:type="dxa"/>
            <w:tcBorders>
              <w:top w:val="single" w:sz="4" w:space="0" w:color="auto"/>
              <w:left w:val="single" w:sz="4" w:space="0" w:color="auto"/>
              <w:bottom w:val="single" w:sz="4" w:space="0" w:color="auto"/>
              <w:right w:val="single" w:sz="4" w:space="0" w:color="auto"/>
            </w:tcBorders>
            <w:vAlign w:val="center"/>
          </w:tcPr>
          <w:p>
            <w:pPr>
              <w:widowControl/>
              <w:snapToGrid w:val="0"/>
              <w:spacing w:after="0" w:line="240" w:lineRule="auto"/>
              <w:jc w:val="right"/>
              <w:rPr>
                <w:rFonts w:ascii="宋体" w:hAnsi="宋体"/>
                <w:color w:val="000000"/>
                <w:kern w:val="0"/>
                <w:sz w:val="24"/>
                <w:szCs w:val="24"/>
              </w:rPr>
            </w:pPr>
            <w:r>
              <w:rPr>
                <w:rFonts w:ascii="宋体" w:hAnsi="宋体"/>
                <w:color w:val="000000"/>
                <w:kern w:val="0"/>
                <w:sz w:val="24"/>
                <w:szCs w:val="24"/>
              </w:rPr>
              <w:t>3.13</w:t>
            </w:r>
          </w:p>
        </w:tc>
      </w:tr>
    </w:tbl>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 </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5、报告期末按公允价值占基金资产净值比例大小排序的前五名债券投资明细</w:t>
      </w:r>
    </w:p>
    <w:tbl>
      <w:tblPr>
        <w:tblW w:w="5000" w:type="pct"/>
        <w:tblInd w:w="0" w:type="dxa"/>
        <w:tblLayout w:type="fixed"/>
        <w:tblCellMar>
          <w:top w:w="0" w:type="dxa"/>
          <w:left w:w="0" w:type="dxa"/>
          <w:bottom w:w="0" w:type="dxa"/>
          <w:right w:w="0" w:type="dxa"/>
        </w:tblCellMar>
        <w:tblLook w:val="0000"/>
      </w:tblPr>
      <w:tblGrid>
        <w:gridCol w:w="1445"/>
        <w:gridCol w:w="1445"/>
        <w:gridCol w:w="1445"/>
        <w:gridCol w:w="1445"/>
        <w:gridCol w:w="1445"/>
        <w:gridCol w:w="1445"/>
      </w:tblGrid>
      <w:tr>
        <w:tblPrEx>
          <w:tblW w:w="5000" w:type="pct"/>
          <w:tblInd w:w="0" w:type="dxa"/>
          <w:tblLayout w:type="fixed"/>
          <w:tblCellMar>
            <w:top w:w="0" w:type="dxa"/>
            <w:left w:w="0" w:type="dxa"/>
            <w:bottom w:w="0" w:type="dxa"/>
            <w:right w:w="0" w:type="dxa"/>
          </w:tblCellMar>
          <w:tblLook w:val="0000"/>
        </w:tblPrEx>
        <w:trPr>
          <w:cantSplit/>
          <w:trHeight w:val="375"/>
        </w:trPr>
        <w:tc>
          <w:tcPr>
            <w:tcW w:w="7" w:type="dxa"/>
            <w:tcBorders>
              <w:top w:val="single" w:sz="4" w:space="0" w:color="auto"/>
              <w:left w:val="single" w:sz="4" w:space="0" w:color="auto"/>
              <w:bottom w:val="single" w:sz="4" w:space="0" w:color="auto"/>
              <w:right w:val="single" w:sz="4" w:space="0" w:color="auto"/>
            </w:tcBorders>
            <w:vAlign w:val="center"/>
          </w:tcPr>
          <w:p>
            <w:pPr>
              <w:widowControl/>
              <w:snapToGrid w:val="0"/>
              <w:spacing w:after="0" w:line="240" w:lineRule="auto"/>
              <w:jc w:val="center"/>
              <w:rPr>
                <w:rFonts w:ascii="宋体" w:hAnsi="宋体"/>
                <w:color w:val="000000"/>
                <w:kern w:val="0"/>
                <w:sz w:val="24"/>
                <w:szCs w:val="24"/>
              </w:rPr>
            </w:pPr>
            <w:r>
              <w:rPr>
                <w:rFonts w:ascii="宋体" w:hAnsi="宋体"/>
                <w:color w:val="000000"/>
                <w:kern w:val="0"/>
                <w:sz w:val="24"/>
                <w:szCs w:val="24"/>
              </w:rPr>
              <w:t>序号</w:t>
            </w:r>
          </w:p>
        </w:tc>
        <w:tc>
          <w:tcPr>
            <w:tcW w:w="7" w:type="dxa"/>
            <w:tcBorders>
              <w:top w:val="single" w:sz="4" w:space="0" w:color="auto"/>
              <w:left w:val="single" w:sz="4" w:space="0" w:color="auto"/>
              <w:bottom w:val="single" w:sz="4" w:space="0" w:color="auto"/>
              <w:right w:val="single" w:sz="4" w:space="0" w:color="auto"/>
            </w:tcBorders>
            <w:vAlign w:val="center"/>
          </w:tcPr>
          <w:p>
            <w:pPr>
              <w:widowControl/>
              <w:snapToGrid w:val="0"/>
              <w:spacing w:after="0" w:line="240" w:lineRule="auto"/>
              <w:jc w:val="center"/>
              <w:rPr>
                <w:rFonts w:ascii="宋体" w:hAnsi="宋体"/>
                <w:color w:val="000000"/>
                <w:kern w:val="0"/>
                <w:sz w:val="24"/>
                <w:szCs w:val="24"/>
              </w:rPr>
            </w:pPr>
            <w:r>
              <w:rPr>
                <w:rFonts w:ascii="宋体" w:hAnsi="宋体"/>
                <w:color w:val="000000"/>
                <w:kern w:val="0"/>
                <w:sz w:val="24"/>
                <w:szCs w:val="24"/>
              </w:rPr>
              <w:t>债券代码</w:t>
            </w:r>
          </w:p>
        </w:tc>
        <w:tc>
          <w:tcPr>
            <w:tcW w:w="7" w:type="dxa"/>
            <w:tcBorders>
              <w:top w:val="single" w:sz="4" w:space="0" w:color="auto"/>
              <w:left w:val="single" w:sz="4" w:space="0" w:color="auto"/>
              <w:bottom w:val="single" w:sz="4" w:space="0" w:color="auto"/>
              <w:right w:val="single" w:sz="4" w:space="0" w:color="auto"/>
            </w:tcBorders>
            <w:vAlign w:val="center"/>
          </w:tcPr>
          <w:p>
            <w:pPr>
              <w:widowControl/>
              <w:snapToGrid w:val="0"/>
              <w:spacing w:after="0" w:line="240" w:lineRule="auto"/>
              <w:jc w:val="center"/>
              <w:rPr>
                <w:rFonts w:ascii="宋体" w:hAnsi="宋体"/>
                <w:color w:val="000000"/>
                <w:kern w:val="0"/>
                <w:sz w:val="24"/>
                <w:szCs w:val="24"/>
              </w:rPr>
            </w:pPr>
            <w:r>
              <w:rPr>
                <w:rFonts w:ascii="宋体" w:hAnsi="宋体"/>
                <w:color w:val="000000"/>
                <w:kern w:val="0"/>
                <w:sz w:val="24"/>
                <w:szCs w:val="24"/>
              </w:rPr>
              <w:t>债券名称</w:t>
            </w:r>
          </w:p>
        </w:tc>
        <w:tc>
          <w:tcPr>
            <w:tcW w:w="7" w:type="dxa"/>
            <w:tcBorders>
              <w:top w:val="single" w:sz="4" w:space="0" w:color="auto"/>
              <w:left w:val="single" w:sz="4" w:space="0" w:color="auto"/>
              <w:bottom w:val="single" w:sz="4" w:space="0" w:color="auto"/>
              <w:right w:val="single" w:sz="4" w:space="0" w:color="auto"/>
            </w:tcBorders>
            <w:vAlign w:val="center"/>
          </w:tcPr>
          <w:p>
            <w:pPr>
              <w:widowControl/>
              <w:snapToGrid w:val="0"/>
              <w:spacing w:after="0" w:line="240" w:lineRule="auto"/>
              <w:jc w:val="center"/>
              <w:rPr>
                <w:rFonts w:ascii="宋体" w:hAnsi="宋体"/>
                <w:color w:val="000000"/>
                <w:kern w:val="0"/>
                <w:sz w:val="24"/>
                <w:szCs w:val="24"/>
              </w:rPr>
            </w:pPr>
            <w:r>
              <w:rPr>
                <w:rFonts w:ascii="宋体" w:hAnsi="宋体"/>
                <w:color w:val="000000"/>
                <w:kern w:val="0"/>
                <w:sz w:val="24"/>
                <w:szCs w:val="24"/>
              </w:rPr>
              <w:t>数量（张）</w:t>
            </w:r>
          </w:p>
        </w:tc>
        <w:tc>
          <w:tcPr>
            <w:tcW w:w="7" w:type="dxa"/>
            <w:tcBorders>
              <w:top w:val="single" w:sz="4" w:space="0" w:color="auto"/>
              <w:left w:val="single" w:sz="4" w:space="0" w:color="auto"/>
              <w:bottom w:val="single" w:sz="4" w:space="0" w:color="auto"/>
              <w:right w:val="single" w:sz="4" w:space="0" w:color="auto"/>
            </w:tcBorders>
            <w:vAlign w:val="center"/>
          </w:tcPr>
          <w:p>
            <w:pPr>
              <w:widowControl/>
              <w:snapToGrid w:val="0"/>
              <w:spacing w:after="0" w:line="240" w:lineRule="auto"/>
              <w:jc w:val="center"/>
              <w:rPr>
                <w:rFonts w:ascii="宋体" w:hAnsi="宋体"/>
                <w:color w:val="000000"/>
                <w:kern w:val="0"/>
                <w:sz w:val="24"/>
                <w:szCs w:val="24"/>
              </w:rPr>
            </w:pPr>
            <w:r>
              <w:rPr>
                <w:rFonts w:ascii="宋体" w:hAnsi="宋体"/>
                <w:color w:val="000000"/>
                <w:kern w:val="0"/>
                <w:sz w:val="24"/>
                <w:szCs w:val="24"/>
              </w:rPr>
              <w:t>公允价值（元）</w:t>
            </w:r>
          </w:p>
        </w:tc>
        <w:tc>
          <w:tcPr>
            <w:tcW w:w="7" w:type="dxa"/>
            <w:tcBorders>
              <w:top w:val="single" w:sz="4" w:space="0" w:color="auto"/>
              <w:left w:val="single" w:sz="4" w:space="0" w:color="auto"/>
              <w:bottom w:val="single" w:sz="4" w:space="0" w:color="auto"/>
              <w:right w:val="single" w:sz="4" w:space="0" w:color="auto"/>
            </w:tcBorders>
            <w:vAlign w:val="center"/>
          </w:tcPr>
          <w:p>
            <w:pPr>
              <w:widowControl/>
              <w:snapToGrid w:val="0"/>
              <w:spacing w:after="0" w:line="240" w:lineRule="auto"/>
              <w:jc w:val="center"/>
              <w:rPr>
                <w:rFonts w:ascii="宋体" w:hAnsi="宋体"/>
                <w:color w:val="000000"/>
                <w:kern w:val="0"/>
                <w:sz w:val="24"/>
                <w:szCs w:val="24"/>
              </w:rPr>
            </w:pPr>
            <w:r>
              <w:rPr>
                <w:rFonts w:ascii="宋体" w:hAnsi="宋体"/>
                <w:color w:val="000000"/>
                <w:kern w:val="0"/>
                <w:sz w:val="24"/>
                <w:szCs w:val="24"/>
              </w:rPr>
              <w:t>占基金资产净值比例（%）</w:t>
            </w:r>
          </w:p>
        </w:tc>
      </w:tr>
      <w:tr>
        <w:tblPrEx>
          <w:tblW w:w="5000" w:type="pct"/>
          <w:tblInd w:w="0" w:type="dxa"/>
          <w:tblLayout w:type="fixed"/>
          <w:tblCellMar>
            <w:top w:w="0" w:type="dxa"/>
            <w:left w:w="0" w:type="dxa"/>
            <w:bottom w:w="0" w:type="dxa"/>
            <w:right w:w="0" w:type="dxa"/>
          </w:tblCellMar>
          <w:tblLook w:val="0000"/>
        </w:tblPrEx>
        <w:trPr>
          <w:cantSplit/>
          <w:trHeight w:val="375"/>
        </w:trPr>
        <w:tc>
          <w:tcPr>
            <w:tcW w:w="7" w:type="dxa"/>
            <w:tcBorders>
              <w:top w:val="single" w:sz="4" w:space="0" w:color="auto"/>
              <w:left w:val="single" w:sz="4" w:space="0" w:color="auto"/>
              <w:bottom w:val="single" w:sz="4" w:space="0" w:color="auto"/>
              <w:right w:val="single" w:sz="4" w:space="0" w:color="auto"/>
            </w:tcBorders>
            <w:vAlign w:val="center"/>
          </w:tcPr>
          <w:p>
            <w:pPr>
              <w:widowControl/>
              <w:snapToGrid w:val="0"/>
              <w:spacing w:after="0" w:line="240" w:lineRule="auto"/>
              <w:jc w:val="center"/>
              <w:rPr>
                <w:rFonts w:ascii="宋体" w:hAnsi="宋体"/>
                <w:color w:val="000000"/>
                <w:kern w:val="0"/>
                <w:sz w:val="24"/>
                <w:szCs w:val="24"/>
              </w:rPr>
            </w:pPr>
            <w:r>
              <w:rPr>
                <w:rFonts w:ascii="宋体" w:hAnsi="宋体"/>
                <w:color w:val="000000"/>
                <w:kern w:val="0"/>
                <w:sz w:val="24"/>
                <w:szCs w:val="24"/>
              </w:rPr>
              <w:t>1</w:t>
            </w:r>
          </w:p>
        </w:tc>
        <w:tc>
          <w:tcPr>
            <w:tcW w:w="7" w:type="dxa"/>
            <w:tcBorders>
              <w:top w:val="single" w:sz="4" w:space="0" w:color="auto"/>
              <w:left w:val="single" w:sz="4" w:space="0" w:color="auto"/>
              <w:bottom w:val="single" w:sz="4" w:space="0" w:color="auto"/>
              <w:right w:val="single" w:sz="4" w:space="0" w:color="auto"/>
            </w:tcBorders>
            <w:vAlign w:val="center"/>
          </w:tcPr>
          <w:p>
            <w:pPr>
              <w:widowControl/>
              <w:snapToGrid w:val="0"/>
              <w:spacing w:after="0" w:line="240" w:lineRule="auto"/>
              <w:jc w:val="center"/>
              <w:rPr>
                <w:rFonts w:ascii="宋体" w:hAnsi="宋体"/>
                <w:color w:val="000000"/>
                <w:kern w:val="0"/>
                <w:sz w:val="24"/>
                <w:szCs w:val="24"/>
              </w:rPr>
            </w:pPr>
            <w:r>
              <w:rPr>
                <w:rFonts w:ascii="宋体" w:hAnsi="宋体"/>
                <w:color w:val="000000"/>
                <w:kern w:val="0"/>
                <w:sz w:val="24"/>
                <w:szCs w:val="24"/>
              </w:rPr>
              <w:t>019785</w:t>
            </w:r>
          </w:p>
        </w:tc>
        <w:tc>
          <w:tcPr>
            <w:tcW w:w="7" w:type="dxa"/>
            <w:tcBorders>
              <w:top w:val="single" w:sz="4" w:space="0" w:color="auto"/>
              <w:left w:val="single" w:sz="4" w:space="0" w:color="auto"/>
              <w:bottom w:val="single" w:sz="4" w:space="0" w:color="auto"/>
              <w:right w:val="single" w:sz="4" w:space="0" w:color="auto"/>
            </w:tcBorders>
            <w:vAlign w:val="center"/>
          </w:tcPr>
          <w:p>
            <w:pPr>
              <w:widowControl/>
              <w:snapToGrid w:val="0"/>
              <w:spacing w:after="0" w:line="240" w:lineRule="auto"/>
              <w:jc w:val="center"/>
              <w:rPr>
                <w:rFonts w:ascii="宋体" w:hAnsi="宋体"/>
                <w:color w:val="000000"/>
                <w:kern w:val="0"/>
                <w:sz w:val="24"/>
                <w:szCs w:val="24"/>
              </w:rPr>
            </w:pPr>
            <w:r>
              <w:rPr>
                <w:rFonts w:ascii="宋体" w:hAnsi="宋体"/>
                <w:color w:val="000000"/>
                <w:kern w:val="0"/>
                <w:sz w:val="24"/>
                <w:szCs w:val="24"/>
              </w:rPr>
              <w:t>25国债13</w:t>
            </w:r>
          </w:p>
        </w:tc>
        <w:tc>
          <w:tcPr>
            <w:tcW w:w="7" w:type="dxa"/>
            <w:tcBorders>
              <w:top w:val="single" w:sz="4" w:space="0" w:color="auto"/>
              <w:left w:val="single" w:sz="4" w:space="0" w:color="auto"/>
              <w:bottom w:val="single" w:sz="4" w:space="0" w:color="auto"/>
              <w:right w:val="single" w:sz="4" w:space="0" w:color="auto"/>
            </w:tcBorders>
            <w:vAlign w:val="center"/>
          </w:tcPr>
          <w:p>
            <w:pPr>
              <w:widowControl/>
              <w:snapToGrid w:val="0"/>
              <w:spacing w:after="0" w:line="240" w:lineRule="auto"/>
              <w:jc w:val="right"/>
              <w:rPr>
                <w:rFonts w:ascii="宋体" w:hAnsi="宋体"/>
                <w:color w:val="000000"/>
                <w:kern w:val="0"/>
                <w:sz w:val="24"/>
                <w:szCs w:val="24"/>
              </w:rPr>
            </w:pPr>
            <w:r>
              <w:rPr>
                <w:rFonts w:ascii="宋体" w:hAnsi="宋体"/>
                <w:color w:val="000000"/>
                <w:kern w:val="0"/>
                <w:sz w:val="24"/>
                <w:szCs w:val="24"/>
              </w:rPr>
              <w:t>13,000</w:t>
            </w:r>
          </w:p>
        </w:tc>
        <w:tc>
          <w:tcPr>
            <w:tcW w:w="7" w:type="dxa"/>
            <w:tcBorders>
              <w:top w:val="single" w:sz="4" w:space="0" w:color="auto"/>
              <w:left w:val="single" w:sz="4" w:space="0" w:color="auto"/>
              <w:bottom w:val="single" w:sz="4" w:space="0" w:color="auto"/>
              <w:right w:val="single" w:sz="4" w:space="0" w:color="auto"/>
            </w:tcBorders>
            <w:vAlign w:val="center"/>
          </w:tcPr>
          <w:p>
            <w:pPr>
              <w:widowControl/>
              <w:snapToGrid w:val="0"/>
              <w:spacing w:after="0" w:line="240" w:lineRule="auto"/>
              <w:jc w:val="right"/>
              <w:rPr>
                <w:rFonts w:ascii="宋体" w:hAnsi="宋体"/>
                <w:color w:val="000000"/>
                <w:kern w:val="0"/>
                <w:sz w:val="24"/>
                <w:szCs w:val="24"/>
              </w:rPr>
            </w:pPr>
            <w:r>
              <w:rPr>
                <w:rFonts w:ascii="宋体" w:hAnsi="宋体"/>
                <w:color w:val="000000"/>
                <w:kern w:val="0"/>
                <w:sz w:val="24"/>
                <w:szCs w:val="24"/>
              </w:rPr>
              <w:t>1,316,413.12</w:t>
            </w:r>
          </w:p>
        </w:tc>
        <w:tc>
          <w:tcPr>
            <w:tcW w:w="7" w:type="dxa"/>
            <w:tcBorders>
              <w:top w:val="single" w:sz="4" w:space="0" w:color="auto"/>
              <w:left w:val="single" w:sz="4" w:space="0" w:color="auto"/>
              <w:bottom w:val="single" w:sz="4" w:space="0" w:color="auto"/>
              <w:right w:val="single" w:sz="4" w:space="0" w:color="auto"/>
            </w:tcBorders>
            <w:vAlign w:val="center"/>
          </w:tcPr>
          <w:p>
            <w:pPr>
              <w:widowControl/>
              <w:snapToGrid w:val="0"/>
              <w:spacing w:after="0" w:line="240" w:lineRule="auto"/>
              <w:jc w:val="right"/>
              <w:rPr>
                <w:rFonts w:ascii="宋体" w:hAnsi="宋体"/>
                <w:color w:val="000000"/>
                <w:kern w:val="0"/>
                <w:sz w:val="24"/>
                <w:szCs w:val="24"/>
              </w:rPr>
            </w:pPr>
            <w:r>
              <w:rPr>
                <w:rFonts w:ascii="宋体" w:hAnsi="宋体"/>
                <w:color w:val="000000"/>
                <w:kern w:val="0"/>
                <w:sz w:val="24"/>
                <w:szCs w:val="24"/>
              </w:rPr>
              <w:t>2.63</w:t>
            </w:r>
          </w:p>
        </w:tc>
      </w:tr>
      <w:tr>
        <w:tblPrEx>
          <w:tblW w:w="5000" w:type="pct"/>
          <w:tblInd w:w="0" w:type="dxa"/>
          <w:tblLayout w:type="fixed"/>
          <w:tblCellMar>
            <w:top w:w="0" w:type="dxa"/>
            <w:left w:w="0" w:type="dxa"/>
            <w:bottom w:w="0" w:type="dxa"/>
            <w:right w:w="0" w:type="dxa"/>
          </w:tblCellMar>
          <w:tblLook w:val="0000"/>
        </w:tblPrEx>
        <w:trPr>
          <w:cantSplit/>
          <w:trHeight w:val="375"/>
        </w:trPr>
        <w:tc>
          <w:tcPr>
            <w:tcW w:w="7" w:type="dxa"/>
            <w:tcBorders>
              <w:top w:val="single" w:sz="4" w:space="0" w:color="auto"/>
              <w:left w:val="single" w:sz="4" w:space="0" w:color="auto"/>
              <w:bottom w:val="single" w:sz="4" w:space="0" w:color="auto"/>
              <w:right w:val="single" w:sz="4" w:space="0" w:color="auto"/>
            </w:tcBorders>
            <w:vAlign w:val="center"/>
          </w:tcPr>
          <w:p>
            <w:pPr>
              <w:widowControl/>
              <w:snapToGrid w:val="0"/>
              <w:spacing w:after="0" w:line="240" w:lineRule="auto"/>
              <w:jc w:val="center"/>
              <w:rPr>
                <w:rFonts w:ascii="宋体" w:hAnsi="宋体"/>
                <w:color w:val="000000"/>
                <w:kern w:val="0"/>
                <w:sz w:val="24"/>
                <w:szCs w:val="24"/>
              </w:rPr>
            </w:pPr>
            <w:r>
              <w:rPr>
                <w:rFonts w:ascii="宋体" w:hAnsi="宋体"/>
                <w:color w:val="000000"/>
                <w:kern w:val="0"/>
                <w:sz w:val="24"/>
                <w:szCs w:val="24"/>
              </w:rPr>
              <w:t>2</w:t>
            </w:r>
          </w:p>
        </w:tc>
        <w:tc>
          <w:tcPr>
            <w:tcW w:w="7" w:type="dxa"/>
            <w:tcBorders>
              <w:top w:val="single" w:sz="4" w:space="0" w:color="auto"/>
              <w:left w:val="single" w:sz="4" w:space="0" w:color="auto"/>
              <w:bottom w:val="single" w:sz="4" w:space="0" w:color="auto"/>
              <w:right w:val="single" w:sz="4" w:space="0" w:color="auto"/>
            </w:tcBorders>
            <w:vAlign w:val="center"/>
          </w:tcPr>
          <w:p>
            <w:pPr>
              <w:widowControl/>
              <w:snapToGrid w:val="0"/>
              <w:spacing w:after="0" w:line="240" w:lineRule="auto"/>
              <w:jc w:val="center"/>
              <w:rPr>
                <w:rFonts w:ascii="宋体" w:hAnsi="宋体"/>
                <w:color w:val="000000"/>
                <w:kern w:val="0"/>
                <w:sz w:val="24"/>
                <w:szCs w:val="24"/>
              </w:rPr>
            </w:pPr>
            <w:r>
              <w:rPr>
                <w:rFonts w:ascii="宋体" w:hAnsi="宋体"/>
                <w:color w:val="000000"/>
                <w:kern w:val="0"/>
                <w:sz w:val="24"/>
                <w:szCs w:val="24"/>
              </w:rPr>
              <w:t>123259</w:t>
            </w:r>
          </w:p>
        </w:tc>
        <w:tc>
          <w:tcPr>
            <w:tcW w:w="7" w:type="dxa"/>
            <w:tcBorders>
              <w:top w:val="single" w:sz="4" w:space="0" w:color="auto"/>
              <w:left w:val="single" w:sz="4" w:space="0" w:color="auto"/>
              <w:bottom w:val="single" w:sz="4" w:space="0" w:color="auto"/>
              <w:right w:val="single" w:sz="4" w:space="0" w:color="auto"/>
            </w:tcBorders>
            <w:vAlign w:val="center"/>
          </w:tcPr>
          <w:p>
            <w:pPr>
              <w:widowControl/>
              <w:snapToGrid w:val="0"/>
              <w:spacing w:after="0" w:line="240" w:lineRule="auto"/>
              <w:jc w:val="center"/>
              <w:rPr>
                <w:rFonts w:ascii="宋体" w:hAnsi="宋体"/>
                <w:color w:val="000000"/>
                <w:kern w:val="0"/>
                <w:sz w:val="24"/>
                <w:szCs w:val="24"/>
              </w:rPr>
            </w:pPr>
            <w:r>
              <w:rPr>
                <w:rFonts w:ascii="宋体" w:hAnsi="宋体"/>
                <w:color w:val="000000"/>
                <w:kern w:val="0"/>
                <w:sz w:val="24"/>
                <w:szCs w:val="24"/>
              </w:rPr>
              <w:t>锦浪转02</w:t>
            </w:r>
          </w:p>
        </w:tc>
        <w:tc>
          <w:tcPr>
            <w:tcW w:w="7" w:type="dxa"/>
            <w:tcBorders>
              <w:top w:val="single" w:sz="4" w:space="0" w:color="auto"/>
              <w:left w:val="single" w:sz="4" w:space="0" w:color="auto"/>
              <w:bottom w:val="single" w:sz="4" w:space="0" w:color="auto"/>
              <w:right w:val="single" w:sz="4" w:space="0" w:color="auto"/>
            </w:tcBorders>
            <w:vAlign w:val="center"/>
          </w:tcPr>
          <w:p>
            <w:pPr>
              <w:widowControl/>
              <w:snapToGrid w:val="0"/>
              <w:spacing w:after="0" w:line="240" w:lineRule="auto"/>
              <w:jc w:val="right"/>
              <w:rPr>
                <w:rFonts w:ascii="宋体" w:hAnsi="宋体"/>
                <w:color w:val="000000"/>
                <w:kern w:val="0"/>
                <w:sz w:val="24"/>
                <w:szCs w:val="24"/>
              </w:rPr>
            </w:pPr>
            <w:r>
              <w:rPr>
                <w:rFonts w:ascii="宋体" w:hAnsi="宋体"/>
                <w:color w:val="000000"/>
                <w:kern w:val="0"/>
                <w:sz w:val="24"/>
                <w:szCs w:val="24"/>
              </w:rPr>
              <w:t>1,333</w:t>
            </w:r>
          </w:p>
        </w:tc>
        <w:tc>
          <w:tcPr>
            <w:tcW w:w="7" w:type="dxa"/>
            <w:tcBorders>
              <w:top w:val="single" w:sz="4" w:space="0" w:color="auto"/>
              <w:left w:val="single" w:sz="4" w:space="0" w:color="auto"/>
              <w:bottom w:val="single" w:sz="4" w:space="0" w:color="auto"/>
              <w:right w:val="single" w:sz="4" w:space="0" w:color="auto"/>
            </w:tcBorders>
            <w:vAlign w:val="center"/>
          </w:tcPr>
          <w:p>
            <w:pPr>
              <w:widowControl/>
              <w:snapToGrid w:val="0"/>
              <w:spacing w:after="0" w:line="240" w:lineRule="auto"/>
              <w:jc w:val="right"/>
              <w:rPr>
                <w:rFonts w:ascii="宋体" w:hAnsi="宋体"/>
                <w:color w:val="000000"/>
                <w:kern w:val="0"/>
                <w:sz w:val="24"/>
                <w:szCs w:val="24"/>
              </w:rPr>
            </w:pPr>
            <w:r>
              <w:rPr>
                <w:rFonts w:ascii="宋体" w:hAnsi="宋体"/>
                <w:color w:val="000000"/>
                <w:kern w:val="0"/>
                <w:sz w:val="24"/>
                <w:szCs w:val="24"/>
              </w:rPr>
              <w:t>249,274.54</w:t>
            </w:r>
          </w:p>
        </w:tc>
        <w:tc>
          <w:tcPr>
            <w:tcW w:w="7" w:type="dxa"/>
            <w:tcBorders>
              <w:top w:val="single" w:sz="4" w:space="0" w:color="auto"/>
              <w:left w:val="single" w:sz="4" w:space="0" w:color="auto"/>
              <w:bottom w:val="single" w:sz="4" w:space="0" w:color="auto"/>
              <w:right w:val="single" w:sz="4" w:space="0" w:color="auto"/>
            </w:tcBorders>
            <w:vAlign w:val="center"/>
          </w:tcPr>
          <w:p>
            <w:pPr>
              <w:widowControl/>
              <w:snapToGrid w:val="0"/>
              <w:spacing w:after="0" w:line="240" w:lineRule="auto"/>
              <w:jc w:val="right"/>
              <w:rPr>
                <w:rFonts w:ascii="宋体" w:hAnsi="宋体"/>
                <w:color w:val="000000"/>
                <w:kern w:val="0"/>
                <w:sz w:val="24"/>
                <w:szCs w:val="24"/>
              </w:rPr>
            </w:pPr>
            <w:r>
              <w:rPr>
                <w:rFonts w:ascii="宋体" w:hAnsi="宋体"/>
                <w:color w:val="000000"/>
                <w:kern w:val="0"/>
                <w:sz w:val="24"/>
                <w:szCs w:val="24"/>
              </w:rPr>
              <w:t>0.50</w:t>
            </w:r>
          </w:p>
        </w:tc>
      </w:tr>
    </w:tbl>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 </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6、报告期末按公允价值占基金资产净值比例大小排序的前十名资产支持证券投资明细</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无。</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7、报告期末按公允价值占基金资产净值比例大小排序的前五名贵金属投资明细</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无。</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8、报告期末按公允价值占基金资产净值比例大小排序的前五名权证投资明细</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无。</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9、报告期末本基金投资的股指期货交易情况说明</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9.1 报告期末本基金投资的股指期货持仓和损益明细</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无。</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9.2 本基金投资股指期货的投资政策</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无。</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10、报告期末本基金投资的国债期货交易情况说明</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10.1 本期国债期货投资政策</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无。</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10.2 报告期末本基金投资的国债期货持仓和损益明细</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无。</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10.3 本期国债期货投资评价</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无。</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11、投资组合报告附注</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11.1 本基金投资的前十名证券的发行主体本期是否出现被监管部门立案调查，或在报告编制日前一年内受到公开谴责,处罚的情形</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报告期内本基金投资的前十名证券的发行主体未被监管部门立案调查，在本报告编制日前一年内本基金投资的前十名证券的发行主体未受到公开谴责和处罚。</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11.2 基金投资的前十名股票是否超出基金合同约定的备选股票库</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基金投资的前十名股票中，没有超出基金合同约定的备选股票库之外的股票。</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11.3 其他资产构成</w:t>
      </w:r>
    </w:p>
    <w:tbl>
      <w:tblPr>
        <w:tblW w:w="5000" w:type="pct"/>
        <w:tblInd w:w="0" w:type="dxa"/>
        <w:tblLayout w:type="fixed"/>
        <w:tblCellMar>
          <w:top w:w="0" w:type="dxa"/>
          <w:left w:w="0" w:type="dxa"/>
          <w:bottom w:w="0" w:type="dxa"/>
          <w:right w:w="0" w:type="dxa"/>
        </w:tblCellMar>
        <w:tblLook w:val="0000"/>
      </w:tblPr>
      <w:tblGrid>
        <w:gridCol w:w="2890"/>
        <w:gridCol w:w="2890"/>
        <w:gridCol w:w="2890"/>
      </w:tblGrid>
      <w:tr>
        <w:tblPrEx>
          <w:tblW w:w="5000" w:type="pct"/>
          <w:tblInd w:w="0" w:type="dxa"/>
          <w:tblLayout w:type="fixed"/>
          <w:tblCellMar>
            <w:top w:w="0" w:type="dxa"/>
            <w:left w:w="0" w:type="dxa"/>
            <w:bottom w:w="0" w:type="dxa"/>
            <w:right w:w="0" w:type="dxa"/>
          </w:tblCellMar>
          <w:tblLook w:val="0000"/>
        </w:tblPrEx>
        <w:trPr>
          <w:cantSplit/>
          <w:trHeight w:val="375"/>
        </w:trPr>
        <w:tc>
          <w:tcPr>
            <w:tcW w:w="7" w:type="dxa"/>
            <w:tcBorders>
              <w:top w:val="single" w:sz="4" w:space="0" w:color="auto"/>
              <w:left w:val="single" w:sz="4" w:space="0" w:color="auto"/>
              <w:bottom w:val="single" w:sz="4" w:space="0" w:color="auto"/>
              <w:right w:val="single" w:sz="4" w:space="0" w:color="auto"/>
            </w:tcBorders>
            <w:vAlign w:val="center"/>
          </w:tcPr>
          <w:p>
            <w:pPr>
              <w:widowControl/>
              <w:snapToGrid w:val="0"/>
              <w:spacing w:after="0" w:line="240" w:lineRule="auto"/>
              <w:jc w:val="center"/>
              <w:rPr>
                <w:rFonts w:ascii="宋体" w:hAnsi="宋体"/>
                <w:color w:val="000000"/>
                <w:kern w:val="0"/>
                <w:sz w:val="24"/>
                <w:szCs w:val="24"/>
              </w:rPr>
            </w:pPr>
            <w:r>
              <w:rPr>
                <w:rFonts w:ascii="宋体" w:hAnsi="宋体"/>
                <w:color w:val="000000"/>
                <w:kern w:val="0"/>
                <w:sz w:val="24"/>
                <w:szCs w:val="24"/>
              </w:rPr>
              <w:t>序号</w:t>
            </w:r>
          </w:p>
        </w:tc>
        <w:tc>
          <w:tcPr>
            <w:tcW w:w="7" w:type="dxa"/>
            <w:tcBorders>
              <w:top w:val="single" w:sz="4" w:space="0" w:color="auto"/>
              <w:left w:val="single" w:sz="4" w:space="0" w:color="auto"/>
              <w:bottom w:val="single" w:sz="4" w:space="0" w:color="auto"/>
              <w:right w:val="single" w:sz="4" w:space="0" w:color="auto"/>
            </w:tcBorders>
            <w:vAlign w:val="center"/>
          </w:tcPr>
          <w:p>
            <w:pPr>
              <w:widowControl/>
              <w:snapToGrid w:val="0"/>
              <w:spacing w:after="0" w:line="240" w:lineRule="auto"/>
              <w:jc w:val="center"/>
              <w:rPr>
                <w:rFonts w:ascii="宋体" w:hAnsi="宋体"/>
                <w:color w:val="000000"/>
                <w:kern w:val="0"/>
                <w:sz w:val="24"/>
                <w:szCs w:val="24"/>
              </w:rPr>
            </w:pPr>
            <w:r>
              <w:rPr>
                <w:rFonts w:ascii="宋体" w:hAnsi="宋体"/>
                <w:color w:val="000000"/>
                <w:kern w:val="0"/>
                <w:sz w:val="24"/>
                <w:szCs w:val="24"/>
              </w:rPr>
              <w:t>名称</w:t>
            </w:r>
          </w:p>
        </w:tc>
        <w:tc>
          <w:tcPr>
            <w:tcW w:w="7" w:type="dxa"/>
            <w:tcBorders>
              <w:top w:val="single" w:sz="4" w:space="0" w:color="auto"/>
              <w:left w:val="single" w:sz="4" w:space="0" w:color="auto"/>
              <w:bottom w:val="single" w:sz="4" w:space="0" w:color="auto"/>
              <w:right w:val="single" w:sz="4" w:space="0" w:color="auto"/>
            </w:tcBorders>
            <w:vAlign w:val="center"/>
          </w:tcPr>
          <w:p>
            <w:pPr>
              <w:widowControl/>
              <w:snapToGrid w:val="0"/>
              <w:spacing w:after="0" w:line="240" w:lineRule="auto"/>
              <w:jc w:val="center"/>
              <w:rPr>
                <w:rFonts w:ascii="宋体" w:hAnsi="宋体"/>
                <w:color w:val="000000"/>
                <w:kern w:val="0"/>
                <w:sz w:val="24"/>
                <w:szCs w:val="24"/>
              </w:rPr>
            </w:pPr>
            <w:r>
              <w:rPr>
                <w:rFonts w:ascii="宋体" w:hAnsi="宋体"/>
                <w:color w:val="000000"/>
                <w:kern w:val="0"/>
                <w:sz w:val="24"/>
                <w:szCs w:val="24"/>
              </w:rPr>
              <w:t>金额（元）</w:t>
            </w:r>
          </w:p>
        </w:tc>
      </w:tr>
      <w:tr>
        <w:tblPrEx>
          <w:tblW w:w="5000" w:type="pct"/>
          <w:tblInd w:w="0" w:type="dxa"/>
          <w:tblLayout w:type="fixed"/>
          <w:tblCellMar>
            <w:top w:w="0" w:type="dxa"/>
            <w:left w:w="0" w:type="dxa"/>
            <w:bottom w:w="0" w:type="dxa"/>
            <w:right w:w="0" w:type="dxa"/>
          </w:tblCellMar>
          <w:tblLook w:val="0000"/>
        </w:tblPrEx>
        <w:trPr>
          <w:cantSplit/>
          <w:trHeight w:val="375"/>
        </w:trPr>
        <w:tc>
          <w:tcPr>
            <w:tcW w:w="7" w:type="dxa"/>
            <w:tcBorders>
              <w:top w:val="single" w:sz="4" w:space="0" w:color="auto"/>
              <w:left w:val="single" w:sz="4" w:space="0" w:color="auto"/>
              <w:bottom w:val="single" w:sz="4" w:space="0" w:color="auto"/>
              <w:right w:val="single" w:sz="4" w:space="0" w:color="auto"/>
            </w:tcBorders>
            <w:vAlign w:val="center"/>
          </w:tcPr>
          <w:p>
            <w:pPr>
              <w:widowControl/>
              <w:snapToGrid w:val="0"/>
              <w:spacing w:after="0" w:line="240" w:lineRule="auto"/>
              <w:jc w:val="center"/>
              <w:rPr>
                <w:rFonts w:ascii="宋体" w:hAnsi="宋体"/>
                <w:color w:val="000000"/>
                <w:kern w:val="0"/>
                <w:sz w:val="24"/>
                <w:szCs w:val="24"/>
              </w:rPr>
            </w:pPr>
            <w:r>
              <w:rPr>
                <w:rFonts w:ascii="宋体" w:hAnsi="宋体"/>
                <w:color w:val="000000"/>
                <w:kern w:val="0"/>
                <w:sz w:val="24"/>
                <w:szCs w:val="24"/>
              </w:rPr>
              <w:t>1</w:t>
            </w:r>
          </w:p>
        </w:tc>
        <w:tc>
          <w:tcPr>
            <w:tcW w:w="7" w:type="dxa"/>
            <w:vMerge w:val="restart"/>
            <w:tcBorders>
              <w:top w:val="single" w:sz="4" w:space="0" w:color="auto"/>
              <w:left w:val="single" w:sz="4" w:space="0" w:color="auto"/>
              <w:bottom w:val="single" w:sz="4" w:space="0" w:color="auto"/>
              <w:right w:val="single" w:sz="4" w:space="0" w:color="auto"/>
            </w:tcBorders>
            <w:vAlign w:val="center"/>
          </w:tcPr>
          <w:p>
            <w:pPr>
              <w:spacing w:after="0" w:line="240" w:lineRule="auto"/>
              <w:jc w:val="left"/>
            </w:pPr>
            <w:r>
              <w:rPr>
                <w:rFonts w:ascii="宋体" w:hAnsi="宋体"/>
                <w:color w:val="000000"/>
                <w:kern w:val="0"/>
                <w:sz w:val="25"/>
                <w:szCs w:val="24"/>
              </w:rPr>
              <w:t>存出保证金</w:t>
            </w:r>
          </w:p>
        </w:tc>
        <w:tc>
          <w:tcPr>
            <w:tcW w:w="7" w:type="dxa"/>
            <w:tcBorders>
              <w:top w:val="single" w:sz="4" w:space="0" w:color="auto"/>
              <w:left w:val="single" w:sz="4" w:space="0" w:color="auto"/>
              <w:bottom w:val="single" w:sz="4" w:space="0" w:color="auto"/>
              <w:right w:val="single" w:sz="4" w:space="0" w:color="auto"/>
            </w:tcBorders>
            <w:vAlign w:val="center"/>
          </w:tcPr>
          <w:p>
            <w:pPr>
              <w:widowControl/>
              <w:snapToGrid w:val="0"/>
              <w:spacing w:after="0" w:line="240" w:lineRule="auto"/>
              <w:jc w:val="right"/>
              <w:rPr>
                <w:rFonts w:ascii="宋体" w:hAnsi="宋体"/>
                <w:color w:val="000000"/>
                <w:kern w:val="0"/>
                <w:sz w:val="24"/>
                <w:szCs w:val="24"/>
              </w:rPr>
            </w:pPr>
            <w:r>
              <w:rPr>
                <w:rFonts w:ascii="宋体" w:hAnsi="宋体"/>
                <w:color w:val="000000"/>
                <w:kern w:val="0"/>
                <w:sz w:val="24"/>
                <w:szCs w:val="24"/>
              </w:rPr>
              <w:t>30,999.47</w:t>
            </w:r>
          </w:p>
        </w:tc>
      </w:tr>
      <w:tr>
        <w:tblPrEx>
          <w:tblW w:w="5000" w:type="pct"/>
          <w:tblInd w:w="0" w:type="dxa"/>
          <w:tblLayout w:type="fixed"/>
          <w:tblCellMar>
            <w:top w:w="0" w:type="dxa"/>
            <w:left w:w="0" w:type="dxa"/>
            <w:bottom w:w="0" w:type="dxa"/>
            <w:right w:w="0" w:type="dxa"/>
          </w:tblCellMar>
          <w:tblLook w:val="0000"/>
        </w:tblPrEx>
        <w:trPr>
          <w:cantSplit/>
          <w:trHeight w:val="375"/>
        </w:trPr>
        <w:tc>
          <w:tcPr>
            <w:tcW w:w="7" w:type="dxa"/>
            <w:tcBorders>
              <w:top w:val="single" w:sz="4" w:space="0" w:color="auto"/>
              <w:left w:val="single" w:sz="4" w:space="0" w:color="auto"/>
              <w:bottom w:val="single" w:sz="4" w:space="0" w:color="auto"/>
              <w:right w:val="single" w:sz="4" w:space="0" w:color="auto"/>
            </w:tcBorders>
            <w:vAlign w:val="center"/>
          </w:tcPr>
          <w:p>
            <w:pPr>
              <w:widowControl/>
              <w:snapToGrid w:val="0"/>
              <w:spacing w:after="0" w:line="240" w:lineRule="auto"/>
              <w:jc w:val="center"/>
              <w:rPr>
                <w:rFonts w:ascii="宋体" w:hAnsi="宋体"/>
                <w:color w:val="000000"/>
                <w:kern w:val="0"/>
                <w:sz w:val="24"/>
                <w:szCs w:val="24"/>
              </w:rPr>
            </w:pPr>
            <w:r>
              <w:rPr>
                <w:rFonts w:ascii="宋体" w:hAnsi="宋体"/>
                <w:color w:val="000000"/>
                <w:kern w:val="0"/>
                <w:sz w:val="24"/>
                <w:szCs w:val="24"/>
              </w:rPr>
              <w:t>2</w:t>
            </w:r>
          </w:p>
        </w:tc>
        <w:tc>
          <w:tcPr>
            <w:tcW w:w="7" w:type="dxa"/>
            <w:vMerge w:val="restart"/>
            <w:tcBorders>
              <w:top w:val="single" w:sz="4" w:space="0" w:color="auto"/>
              <w:left w:val="single" w:sz="4" w:space="0" w:color="auto"/>
              <w:bottom w:val="single" w:sz="4" w:space="0" w:color="auto"/>
              <w:right w:val="single" w:sz="4" w:space="0" w:color="auto"/>
            </w:tcBorders>
            <w:vAlign w:val="center"/>
          </w:tcPr>
          <w:p>
            <w:pPr>
              <w:spacing w:after="0" w:line="240" w:lineRule="auto"/>
              <w:jc w:val="left"/>
            </w:pPr>
            <w:r>
              <w:rPr>
                <w:rFonts w:ascii="宋体" w:hAnsi="宋体"/>
                <w:color w:val="000000"/>
                <w:kern w:val="0"/>
                <w:sz w:val="25"/>
                <w:szCs w:val="24"/>
              </w:rPr>
              <w:t>应收证券清算款</w:t>
            </w:r>
          </w:p>
        </w:tc>
        <w:tc>
          <w:tcPr>
            <w:tcW w:w="7" w:type="dxa"/>
            <w:tcBorders>
              <w:top w:val="single" w:sz="4" w:space="0" w:color="auto"/>
              <w:left w:val="single" w:sz="4" w:space="0" w:color="auto"/>
              <w:bottom w:val="single" w:sz="4" w:space="0" w:color="auto"/>
              <w:right w:val="single" w:sz="4" w:space="0" w:color="auto"/>
            </w:tcBorders>
            <w:vAlign w:val="center"/>
          </w:tcPr>
          <w:p>
            <w:pPr>
              <w:widowControl/>
              <w:snapToGrid w:val="0"/>
              <w:spacing w:after="0" w:line="240" w:lineRule="auto"/>
              <w:jc w:val="right"/>
              <w:rPr>
                <w:rFonts w:ascii="宋体" w:hAnsi="宋体"/>
                <w:color w:val="000000"/>
                <w:kern w:val="0"/>
                <w:sz w:val="24"/>
                <w:szCs w:val="24"/>
              </w:rPr>
            </w:pPr>
            <w:r>
              <w:rPr>
                <w:rFonts w:ascii="宋体" w:hAnsi="宋体"/>
                <w:color w:val="000000"/>
                <w:kern w:val="0"/>
                <w:sz w:val="24"/>
                <w:szCs w:val="24"/>
              </w:rPr>
              <w:t>-</w:t>
            </w:r>
          </w:p>
        </w:tc>
      </w:tr>
      <w:tr>
        <w:tblPrEx>
          <w:tblW w:w="5000" w:type="pct"/>
          <w:tblInd w:w="0" w:type="dxa"/>
          <w:tblLayout w:type="fixed"/>
          <w:tblCellMar>
            <w:top w:w="0" w:type="dxa"/>
            <w:left w:w="0" w:type="dxa"/>
            <w:bottom w:w="0" w:type="dxa"/>
            <w:right w:w="0" w:type="dxa"/>
          </w:tblCellMar>
          <w:tblLook w:val="0000"/>
        </w:tblPrEx>
        <w:trPr>
          <w:cantSplit/>
          <w:trHeight w:val="375"/>
        </w:trPr>
        <w:tc>
          <w:tcPr>
            <w:tcW w:w="7" w:type="dxa"/>
            <w:tcBorders>
              <w:top w:val="single" w:sz="4" w:space="0" w:color="auto"/>
              <w:left w:val="single" w:sz="4" w:space="0" w:color="auto"/>
              <w:bottom w:val="single" w:sz="4" w:space="0" w:color="auto"/>
              <w:right w:val="single" w:sz="4" w:space="0" w:color="auto"/>
            </w:tcBorders>
            <w:vAlign w:val="center"/>
          </w:tcPr>
          <w:p>
            <w:pPr>
              <w:widowControl/>
              <w:snapToGrid w:val="0"/>
              <w:spacing w:after="0" w:line="240" w:lineRule="auto"/>
              <w:jc w:val="center"/>
              <w:rPr>
                <w:rFonts w:ascii="宋体" w:hAnsi="宋体"/>
                <w:color w:val="000000"/>
                <w:kern w:val="0"/>
                <w:sz w:val="24"/>
                <w:szCs w:val="24"/>
              </w:rPr>
            </w:pPr>
            <w:r>
              <w:rPr>
                <w:rFonts w:ascii="宋体" w:hAnsi="宋体"/>
                <w:color w:val="000000"/>
                <w:kern w:val="0"/>
                <w:sz w:val="24"/>
                <w:szCs w:val="24"/>
              </w:rPr>
              <w:t>3</w:t>
            </w:r>
          </w:p>
        </w:tc>
        <w:tc>
          <w:tcPr>
            <w:tcW w:w="7" w:type="dxa"/>
            <w:vMerge w:val="restart"/>
            <w:tcBorders>
              <w:top w:val="single" w:sz="4" w:space="0" w:color="auto"/>
              <w:left w:val="single" w:sz="4" w:space="0" w:color="auto"/>
              <w:bottom w:val="single" w:sz="4" w:space="0" w:color="auto"/>
              <w:right w:val="single" w:sz="4" w:space="0" w:color="auto"/>
            </w:tcBorders>
            <w:vAlign w:val="center"/>
          </w:tcPr>
          <w:p>
            <w:pPr>
              <w:spacing w:after="0" w:line="240" w:lineRule="auto"/>
              <w:jc w:val="left"/>
            </w:pPr>
            <w:r>
              <w:rPr>
                <w:rFonts w:ascii="宋体" w:hAnsi="宋体"/>
                <w:color w:val="000000"/>
                <w:kern w:val="0"/>
                <w:sz w:val="25"/>
                <w:szCs w:val="24"/>
              </w:rPr>
              <w:t>应收股利</w:t>
            </w:r>
          </w:p>
        </w:tc>
        <w:tc>
          <w:tcPr>
            <w:tcW w:w="7" w:type="dxa"/>
            <w:tcBorders>
              <w:top w:val="single" w:sz="4" w:space="0" w:color="auto"/>
              <w:left w:val="single" w:sz="4" w:space="0" w:color="auto"/>
              <w:bottom w:val="single" w:sz="4" w:space="0" w:color="auto"/>
              <w:right w:val="single" w:sz="4" w:space="0" w:color="auto"/>
            </w:tcBorders>
            <w:vAlign w:val="center"/>
          </w:tcPr>
          <w:p>
            <w:pPr>
              <w:widowControl/>
              <w:snapToGrid w:val="0"/>
              <w:spacing w:after="0" w:line="240" w:lineRule="auto"/>
              <w:jc w:val="right"/>
              <w:rPr>
                <w:rFonts w:ascii="宋体" w:hAnsi="宋体"/>
                <w:color w:val="000000"/>
                <w:kern w:val="0"/>
                <w:sz w:val="24"/>
                <w:szCs w:val="24"/>
              </w:rPr>
            </w:pPr>
            <w:r>
              <w:rPr>
                <w:rFonts w:ascii="宋体" w:hAnsi="宋体"/>
                <w:color w:val="000000"/>
                <w:kern w:val="0"/>
                <w:sz w:val="24"/>
                <w:szCs w:val="24"/>
              </w:rPr>
              <w:t>33,753.26</w:t>
            </w:r>
          </w:p>
        </w:tc>
      </w:tr>
      <w:tr>
        <w:tblPrEx>
          <w:tblW w:w="5000" w:type="pct"/>
          <w:tblInd w:w="0" w:type="dxa"/>
          <w:tblLayout w:type="fixed"/>
          <w:tblCellMar>
            <w:top w:w="0" w:type="dxa"/>
            <w:left w:w="0" w:type="dxa"/>
            <w:bottom w:w="0" w:type="dxa"/>
            <w:right w:w="0" w:type="dxa"/>
          </w:tblCellMar>
          <w:tblLook w:val="0000"/>
        </w:tblPrEx>
        <w:trPr>
          <w:cantSplit/>
          <w:trHeight w:val="375"/>
        </w:trPr>
        <w:tc>
          <w:tcPr>
            <w:tcW w:w="7" w:type="dxa"/>
            <w:tcBorders>
              <w:top w:val="single" w:sz="4" w:space="0" w:color="auto"/>
              <w:left w:val="single" w:sz="4" w:space="0" w:color="auto"/>
              <w:bottom w:val="single" w:sz="4" w:space="0" w:color="auto"/>
              <w:right w:val="single" w:sz="4" w:space="0" w:color="auto"/>
            </w:tcBorders>
            <w:vAlign w:val="center"/>
          </w:tcPr>
          <w:p>
            <w:pPr>
              <w:widowControl/>
              <w:snapToGrid w:val="0"/>
              <w:spacing w:after="0" w:line="240" w:lineRule="auto"/>
              <w:jc w:val="center"/>
              <w:rPr>
                <w:rFonts w:ascii="宋体" w:hAnsi="宋体"/>
                <w:color w:val="000000"/>
                <w:kern w:val="0"/>
                <w:sz w:val="24"/>
                <w:szCs w:val="24"/>
              </w:rPr>
            </w:pPr>
            <w:r>
              <w:rPr>
                <w:rFonts w:ascii="宋体" w:hAnsi="宋体"/>
                <w:color w:val="000000"/>
                <w:kern w:val="0"/>
                <w:sz w:val="24"/>
                <w:szCs w:val="24"/>
              </w:rPr>
              <w:t>4</w:t>
            </w:r>
          </w:p>
        </w:tc>
        <w:tc>
          <w:tcPr>
            <w:tcW w:w="7" w:type="dxa"/>
            <w:tcBorders>
              <w:top w:val="single" w:sz="4" w:space="0" w:color="auto"/>
              <w:left w:val="single" w:sz="4" w:space="0" w:color="auto"/>
              <w:bottom w:val="single" w:sz="4" w:space="0" w:color="auto"/>
              <w:right w:val="single" w:sz="4" w:space="0" w:color="auto"/>
            </w:tcBorders>
            <w:vAlign w:val="center"/>
          </w:tcPr>
          <w:p>
            <w:pPr>
              <w:spacing w:after="0" w:line="240" w:lineRule="auto"/>
              <w:jc w:val="left"/>
            </w:pPr>
            <w:r>
              <w:rPr>
                <w:rFonts w:ascii="宋体" w:hAnsi="宋体"/>
                <w:color w:val="000000"/>
                <w:kern w:val="0"/>
                <w:sz w:val="25"/>
                <w:szCs w:val="24"/>
              </w:rPr>
              <w:t>应收利息</w:t>
            </w:r>
          </w:p>
        </w:tc>
        <w:tc>
          <w:tcPr>
            <w:tcW w:w="7" w:type="dxa"/>
            <w:tcBorders>
              <w:top w:val="single" w:sz="4" w:space="0" w:color="auto"/>
              <w:left w:val="single" w:sz="4" w:space="0" w:color="auto"/>
              <w:bottom w:val="single" w:sz="4" w:space="0" w:color="auto"/>
              <w:right w:val="single" w:sz="4" w:space="0" w:color="auto"/>
            </w:tcBorders>
            <w:vAlign w:val="center"/>
          </w:tcPr>
          <w:p>
            <w:pPr>
              <w:widowControl/>
              <w:snapToGrid w:val="0"/>
              <w:spacing w:after="0" w:line="240" w:lineRule="auto"/>
              <w:jc w:val="right"/>
              <w:rPr>
                <w:rFonts w:ascii="宋体" w:hAnsi="宋体"/>
                <w:color w:val="000000"/>
                <w:kern w:val="0"/>
                <w:sz w:val="24"/>
                <w:szCs w:val="24"/>
              </w:rPr>
            </w:pPr>
            <w:r>
              <w:rPr>
                <w:rFonts w:ascii="宋体" w:hAnsi="宋体"/>
                <w:color w:val="000000"/>
                <w:kern w:val="0"/>
                <w:sz w:val="24"/>
                <w:szCs w:val="24"/>
              </w:rPr>
              <w:t>-</w:t>
            </w:r>
          </w:p>
        </w:tc>
      </w:tr>
      <w:tr>
        <w:tblPrEx>
          <w:tblW w:w="5000" w:type="pct"/>
          <w:tblInd w:w="0" w:type="dxa"/>
          <w:tblLayout w:type="fixed"/>
          <w:tblCellMar>
            <w:top w:w="0" w:type="dxa"/>
            <w:left w:w="0" w:type="dxa"/>
            <w:bottom w:w="0" w:type="dxa"/>
            <w:right w:w="0" w:type="dxa"/>
          </w:tblCellMar>
          <w:tblLook w:val="0000"/>
        </w:tblPrEx>
        <w:trPr>
          <w:cantSplit/>
          <w:trHeight w:val="375"/>
        </w:trPr>
        <w:tc>
          <w:tcPr>
            <w:tcW w:w="7" w:type="dxa"/>
            <w:tcBorders>
              <w:top w:val="single" w:sz="4" w:space="0" w:color="auto"/>
              <w:left w:val="single" w:sz="4" w:space="0" w:color="auto"/>
              <w:bottom w:val="single" w:sz="4" w:space="0" w:color="auto"/>
              <w:right w:val="single" w:sz="4" w:space="0" w:color="auto"/>
            </w:tcBorders>
            <w:vAlign w:val="center"/>
          </w:tcPr>
          <w:p>
            <w:pPr>
              <w:widowControl/>
              <w:snapToGrid w:val="0"/>
              <w:spacing w:after="0" w:line="240" w:lineRule="auto"/>
              <w:jc w:val="center"/>
              <w:rPr>
                <w:rFonts w:ascii="宋体" w:hAnsi="宋体"/>
                <w:color w:val="000000"/>
                <w:kern w:val="0"/>
                <w:sz w:val="24"/>
                <w:szCs w:val="24"/>
              </w:rPr>
            </w:pPr>
            <w:r>
              <w:rPr>
                <w:rFonts w:ascii="宋体" w:hAnsi="宋体"/>
                <w:color w:val="000000"/>
                <w:kern w:val="0"/>
                <w:sz w:val="24"/>
                <w:szCs w:val="24"/>
              </w:rPr>
              <w:t>5</w:t>
            </w:r>
          </w:p>
        </w:tc>
        <w:tc>
          <w:tcPr>
            <w:tcW w:w="7" w:type="dxa"/>
            <w:tcBorders>
              <w:top w:val="single" w:sz="4" w:space="0" w:color="auto"/>
              <w:left w:val="single" w:sz="4" w:space="0" w:color="auto"/>
              <w:bottom w:val="single" w:sz="4" w:space="0" w:color="auto"/>
              <w:right w:val="single" w:sz="4" w:space="0" w:color="auto"/>
            </w:tcBorders>
            <w:vAlign w:val="center"/>
          </w:tcPr>
          <w:p>
            <w:pPr>
              <w:spacing w:after="0" w:line="240" w:lineRule="auto"/>
              <w:jc w:val="left"/>
            </w:pPr>
            <w:r>
              <w:rPr>
                <w:rFonts w:ascii="宋体" w:hAnsi="宋体"/>
                <w:color w:val="000000"/>
                <w:kern w:val="0"/>
                <w:sz w:val="25"/>
                <w:szCs w:val="24"/>
              </w:rPr>
              <w:t>应收申购款</w:t>
            </w:r>
          </w:p>
        </w:tc>
        <w:tc>
          <w:tcPr>
            <w:tcW w:w="7" w:type="dxa"/>
            <w:tcBorders>
              <w:top w:val="single" w:sz="4" w:space="0" w:color="auto"/>
              <w:left w:val="single" w:sz="4" w:space="0" w:color="auto"/>
              <w:bottom w:val="single" w:sz="4" w:space="0" w:color="auto"/>
              <w:right w:val="single" w:sz="4" w:space="0" w:color="auto"/>
            </w:tcBorders>
            <w:vAlign w:val="center"/>
          </w:tcPr>
          <w:p>
            <w:pPr>
              <w:widowControl/>
              <w:snapToGrid w:val="0"/>
              <w:spacing w:after="0" w:line="240" w:lineRule="auto"/>
              <w:jc w:val="right"/>
              <w:rPr>
                <w:rFonts w:ascii="宋体" w:hAnsi="宋体"/>
                <w:color w:val="000000"/>
                <w:kern w:val="0"/>
                <w:sz w:val="24"/>
                <w:szCs w:val="24"/>
              </w:rPr>
            </w:pPr>
            <w:r>
              <w:rPr>
                <w:rFonts w:ascii="宋体" w:hAnsi="宋体"/>
                <w:color w:val="000000"/>
                <w:kern w:val="0"/>
                <w:sz w:val="24"/>
                <w:szCs w:val="24"/>
              </w:rPr>
              <w:t>55,507.50</w:t>
            </w:r>
          </w:p>
        </w:tc>
      </w:tr>
      <w:tr>
        <w:tblPrEx>
          <w:tblW w:w="5000" w:type="pct"/>
          <w:tblInd w:w="0" w:type="dxa"/>
          <w:tblLayout w:type="fixed"/>
          <w:tblCellMar>
            <w:top w:w="0" w:type="dxa"/>
            <w:left w:w="0" w:type="dxa"/>
            <w:bottom w:w="0" w:type="dxa"/>
            <w:right w:w="0" w:type="dxa"/>
          </w:tblCellMar>
          <w:tblLook w:val="0000"/>
        </w:tblPrEx>
        <w:trPr>
          <w:cantSplit/>
          <w:trHeight w:val="375"/>
        </w:trPr>
        <w:tc>
          <w:tcPr>
            <w:tcW w:w="7" w:type="dxa"/>
            <w:tcBorders>
              <w:top w:val="single" w:sz="4" w:space="0" w:color="auto"/>
              <w:left w:val="single" w:sz="4" w:space="0" w:color="auto"/>
              <w:bottom w:val="single" w:sz="4" w:space="0" w:color="auto"/>
              <w:right w:val="single" w:sz="4" w:space="0" w:color="auto"/>
            </w:tcBorders>
            <w:vAlign w:val="center"/>
          </w:tcPr>
          <w:p>
            <w:pPr>
              <w:widowControl/>
              <w:snapToGrid w:val="0"/>
              <w:spacing w:after="0" w:line="240" w:lineRule="auto"/>
              <w:jc w:val="center"/>
              <w:rPr>
                <w:rFonts w:ascii="宋体" w:hAnsi="宋体"/>
                <w:color w:val="000000"/>
                <w:kern w:val="0"/>
                <w:sz w:val="24"/>
                <w:szCs w:val="24"/>
              </w:rPr>
            </w:pPr>
            <w:r>
              <w:rPr>
                <w:rFonts w:ascii="宋体" w:hAnsi="宋体"/>
                <w:color w:val="000000"/>
                <w:kern w:val="0"/>
                <w:sz w:val="24"/>
                <w:szCs w:val="24"/>
              </w:rPr>
              <w:t>6</w:t>
            </w:r>
          </w:p>
        </w:tc>
        <w:tc>
          <w:tcPr>
            <w:tcW w:w="7" w:type="dxa"/>
            <w:tcBorders>
              <w:top w:val="single" w:sz="4" w:space="0" w:color="auto"/>
              <w:left w:val="single" w:sz="4" w:space="0" w:color="auto"/>
              <w:bottom w:val="single" w:sz="4" w:space="0" w:color="auto"/>
              <w:right w:val="single" w:sz="4" w:space="0" w:color="auto"/>
            </w:tcBorders>
            <w:vAlign w:val="center"/>
          </w:tcPr>
          <w:p>
            <w:pPr>
              <w:spacing w:after="0" w:line="240" w:lineRule="auto"/>
              <w:jc w:val="left"/>
            </w:pPr>
            <w:r>
              <w:rPr>
                <w:rFonts w:ascii="宋体" w:hAnsi="宋体"/>
                <w:color w:val="000000"/>
                <w:kern w:val="0"/>
                <w:sz w:val="25"/>
                <w:szCs w:val="24"/>
              </w:rPr>
              <w:t>其他应收款</w:t>
            </w:r>
          </w:p>
        </w:tc>
        <w:tc>
          <w:tcPr>
            <w:tcW w:w="7" w:type="dxa"/>
            <w:tcBorders>
              <w:top w:val="single" w:sz="4" w:space="0" w:color="auto"/>
              <w:left w:val="single" w:sz="4" w:space="0" w:color="auto"/>
              <w:bottom w:val="single" w:sz="4" w:space="0" w:color="auto"/>
              <w:right w:val="single" w:sz="4" w:space="0" w:color="auto"/>
            </w:tcBorders>
            <w:vAlign w:val="center"/>
          </w:tcPr>
          <w:p>
            <w:pPr>
              <w:widowControl/>
              <w:snapToGrid w:val="0"/>
              <w:spacing w:after="0" w:line="240" w:lineRule="auto"/>
              <w:jc w:val="right"/>
              <w:rPr>
                <w:rFonts w:ascii="宋体" w:hAnsi="宋体"/>
                <w:color w:val="000000"/>
                <w:kern w:val="0"/>
                <w:sz w:val="24"/>
                <w:szCs w:val="24"/>
              </w:rPr>
            </w:pPr>
            <w:r>
              <w:rPr>
                <w:rFonts w:ascii="宋体" w:hAnsi="宋体"/>
                <w:color w:val="000000"/>
                <w:kern w:val="0"/>
                <w:sz w:val="24"/>
                <w:szCs w:val="24"/>
              </w:rPr>
              <w:t>-</w:t>
            </w:r>
          </w:p>
        </w:tc>
      </w:tr>
      <w:tr>
        <w:tblPrEx>
          <w:tblW w:w="5000" w:type="pct"/>
          <w:tblInd w:w="0" w:type="dxa"/>
          <w:tblLayout w:type="fixed"/>
          <w:tblCellMar>
            <w:top w:w="0" w:type="dxa"/>
            <w:left w:w="0" w:type="dxa"/>
            <w:bottom w:w="0" w:type="dxa"/>
            <w:right w:w="0" w:type="dxa"/>
          </w:tblCellMar>
          <w:tblLook w:val="0000"/>
        </w:tblPrEx>
        <w:trPr>
          <w:cantSplit/>
          <w:trHeight w:val="375"/>
        </w:trPr>
        <w:tc>
          <w:tcPr>
            <w:tcW w:w="7" w:type="dxa"/>
            <w:tcBorders>
              <w:top w:val="single" w:sz="4" w:space="0" w:color="auto"/>
              <w:left w:val="single" w:sz="4" w:space="0" w:color="auto"/>
              <w:bottom w:val="single" w:sz="4" w:space="0" w:color="auto"/>
              <w:right w:val="single" w:sz="4" w:space="0" w:color="auto"/>
            </w:tcBorders>
            <w:vAlign w:val="center"/>
          </w:tcPr>
          <w:p>
            <w:pPr>
              <w:widowControl/>
              <w:snapToGrid w:val="0"/>
              <w:spacing w:after="0" w:line="240" w:lineRule="auto"/>
              <w:jc w:val="center"/>
              <w:rPr>
                <w:rFonts w:ascii="宋体" w:hAnsi="宋体"/>
                <w:color w:val="000000"/>
                <w:kern w:val="0"/>
                <w:sz w:val="24"/>
                <w:szCs w:val="24"/>
              </w:rPr>
            </w:pPr>
            <w:r>
              <w:rPr>
                <w:rFonts w:ascii="宋体" w:hAnsi="宋体"/>
                <w:color w:val="000000"/>
                <w:kern w:val="0"/>
                <w:sz w:val="24"/>
                <w:szCs w:val="24"/>
              </w:rPr>
              <w:t>7</w:t>
            </w:r>
          </w:p>
        </w:tc>
        <w:tc>
          <w:tcPr>
            <w:tcW w:w="7" w:type="dxa"/>
            <w:tcBorders>
              <w:top w:val="single" w:sz="4" w:space="0" w:color="auto"/>
              <w:left w:val="single" w:sz="4" w:space="0" w:color="auto"/>
              <w:bottom w:val="single" w:sz="4" w:space="0" w:color="auto"/>
              <w:right w:val="single" w:sz="4" w:space="0" w:color="auto"/>
            </w:tcBorders>
            <w:vAlign w:val="center"/>
          </w:tcPr>
          <w:p>
            <w:pPr>
              <w:spacing w:after="0" w:line="240" w:lineRule="auto"/>
              <w:jc w:val="left"/>
            </w:pPr>
            <w:r>
              <w:rPr>
                <w:rFonts w:ascii="宋体" w:hAnsi="宋体"/>
                <w:color w:val="000000"/>
                <w:kern w:val="0"/>
                <w:sz w:val="25"/>
                <w:szCs w:val="24"/>
              </w:rPr>
              <w:t>其他</w:t>
            </w:r>
          </w:p>
        </w:tc>
        <w:tc>
          <w:tcPr>
            <w:tcW w:w="7" w:type="dxa"/>
            <w:tcBorders>
              <w:top w:val="single" w:sz="4" w:space="0" w:color="auto"/>
              <w:left w:val="single" w:sz="4" w:space="0" w:color="auto"/>
              <w:bottom w:val="single" w:sz="4" w:space="0" w:color="auto"/>
              <w:right w:val="single" w:sz="4" w:space="0" w:color="auto"/>
            </w:tcBorders>
            <w:vAlign w:val="center"/>
          </w:tcPr>
          <w:p>
            <w:pPr>
              <w:widowControl/>
              <w:snapToGrid w:val="0"/>
              <w:spacing w:after="0" w:line="240" w:lineRule="auto"/>
              <w:jc w:val="right"/>
              <w:rPr>
                <w:rFonts w:ascii="宋体" w:hAnsi="宋体"/>
                <w:color w:val="000000"/>
                <w:kern w:val="0"/>
                <w:sz w:val="24"/>
                <w:szCs w:val="24"/>
              </w:rPr>
            </w:pPr>
            <w:r>
              <w:rPr>
                <w:rFonts w:ascii="宋体" w:hAnsi="宋体"/>
                <w:color w:val="000000"/>
                <w:kern w:val="0"/>
                <w:sz w:val="24"/>
                <w:szCs w:val="24"/>
              </w:rPr>
              <w:t>-</w:t>
            </w:r>
          </w:p>
        </w:tc>
      </w:tr>
      <w:tr>
        <w:tblPrEx>
          <w:tblW w:w="5000" w:type="pct"/>
          <w:tblInd w:w="0" w:type="dxa"/>
          <w:tblLayout w:type="fixed"/>
          <w:tblCellMar>
            <w:top w:w="0" w:type="dxa"/>
            <w:left w:w="0" w:type="dxa"/>
            <w:bottom w:w="0" w:type="dxa"/>
            <w:right w:w="0" w:type="dxa"/>
          </w:tblCellMar>
          <w:tblLook w:val="0000"/>
        </w:tblPrEx>
        <w:trPr>
          <w:cantSplit/>
          <w:trHeight w:val="375"/>
        </w:trPr>
        <w:tc>
          <w:tcPr>
            <w:tcW w:w="7" w:type="dxa"/>
            <w:tcBorders>
              <w:top w:val="single" w:sz="4" w:space="0" w:color="auto"/>
              <w:left w:val="single" w:sz="4" w:space="0" w:color="auto"/>
              <w:bottom w:val="single" w:sz="4" w:space="0" w:color="auto"/>
              <w:right w:val="single" w:sz="4" w:space="0" w:color="auto"/>
            </w:tcBorders>
            <w:vAlign w:val="center"/>
          </w:tcPr>
          <w:p>
            <w:pPr>
              <w:widowControl/>
              <w:snapToGrid w:val="0"/>
              <w:spacing w:after="0" w:line="240" w:lineRule="auto"/>
              <w:jc w:val="center"/>
              <w:rPr>
                <w:rFonts w:ascii="宋体" w:hAnsi="宋体"/>
                <w:color w:val="000000"/>
                <w:kern w:val="0"/>
                <w:sz w:val="24"/>
                <w:szCs w:val="24"/>
              </w:rPr>
            </w:pPr>
            <w:r>
              <w:rPr>
                <w:rFonts w:ascii="宋体" w:hAnsi="宋体"/>
                <w:color w:val="000000"/>
                <w:kern w:val="0"/>
                <w:sz w:val="24"/>
                <w:szCs w:val="24"/>
              </w:rPr>
              <w:t>8</w:t>
            </w:r>
          </w:p>
        </w:tc>
        <w:tc>
          <w:tcPr>
            <w:tcW w:w="7" w:type="dxa"/>
            <w:tcBorders>
              <w:top w:val="single" w:sz="4" w:space="0" w:color="auto"/>
              <w:left w:val="single" w:sz="4" w:space="0" w:color="auto"/>
              <w:bottom w:val="single" w:sz="4" w:space="0" w:color="auto"/>
              <w:right w:val="single" w:sz="4" w:space="0" w:color="auto"/>
            </w:tcBorders>
            <w:vAlign w:val="center"/>
          </w:tcPr>
          <w:p>
            <w:pPr>
              <w:spacing w:after="0" w:line="240" w:lineRule="auto"/>
              <w:jc w:val="left"/>
            </w:pPr>
            <w:r>
              <w:rPr>
                <w:rFonts w:ascii="宋体" w:hAnsi="宋体"/>
                <w:color w:val="000000"/>
                <w:kern w:val="0"/>
                <w:sz w:val="25"/>
                <w:szCs w:val="24"/>
              </w:rPr>
              <w:t>合计</w:t>
            </w:r>
          </w:p>
        </w:tc>
        <w:tc>
          <w:tcPr>
            <w:tcW w:w="7" w:type="dxa"/>
            <w:tcBorders>
              <w:top w:val="single" w:sz="4" w:space="0" w:color="auto"/>
              <w:left w:val="single" w:sz="4" w:space="0" w:color="auto"/>
              <w:bottom w:val="single" w:sz="4" w:space="0" w:color="auto"/>
              <w:right w:val="single" w:sz="4" w:space="0" w:color="auto"/>
            </w:tcBorders>
            <w:vAlign w:val="center"/>
          </w:tcPr>
          <w:p>
            <w:pPr>
              <w:widowControl/>
              <w:snapToGrid w:val="0"/>
              <w:spacing w:after="0" w:line="240" w:lineRule="auto"/>
              <w:jc w:val="right"/>
              <w:rPr>
                <w:rFonts w:ascii="宋体" w:hAnsi="宋体"/>
                <w:color w:val="000000"/>
                <w:kern w:val="0"/>
                <w:sz w:val="24"/>
                <w:szCs w:val="24"/>
              </w:rPr>
            </w:pPr>
            <w:r>
              <w:rPr>
                <w:rFonts w:ascii="宋体" w:hAnsi="宋体"/>
                <w:color w:val="000000"/>
                <w:kern w:val="0"/>
                <w:sz w:val="24"/>
                <w:szCs w:val="24"/>
              </w:rPr>
              <w:t>120,260.23</w:t>
            </w:r>
          </w:p>
        </w:tc>
      </w:tr>
    </w:tbl>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11.4 报告期末持有的处于转股期的可转换债券明细</w:t>
      </w:r>
    </w:p>
    <w:tbl>
      <w:tblPr>
        <w:tblW w:w="5000" w:type="pct"/>
        <w:tblInd w:w="0" w:type="dxa"/>
        <w:tblLayout w:type="fixed"/>
        <w:tblCellMar>
          <w:top w:w="0" w:type="dxa"/>
          <w:left w:w="0" w:type="dxa"/>
          <w:bottom w:w="0" w:type="dxa"/>
          <w:right w:w="0" w:type="dxa"/>
        </w:tblCellMar>
        <w:tblLook w:val="0000"/>
      </w:tblPr>
      <w:tblGrid>
        <w:gridCol w:w="1734"/>
        <w:gridCol w:w="1734"/>
        <w:gridCol w:w="1734"/>
        <w:gridCol w:w="1734"/>
        <w:gridCol w:w="1734"/>
      </w:tblGrid>
      <w:tr>
        <w:tblPrEx>
          <w:tblW w:w="5000" w:type="pct"/>
          <w:tblInd w:w="0" w:type="dxa"/>
          <w:tblLayout w:type="fixed"/>
          <w:tblCellMar>
            <w:top w:w="0" w:type="dxa"/>
            <w:left w:w="0" w:type="dxa"/>
            <w:bottom w:w="0" w:type="dxa"/>
            <w:right w:w="0" w:type="dxa"/>
          </w:tblCellMar>
          <w:tblLook w:val="0000"/>
        </w:tblPrEx>
        <w:trPr>
          <w:cantSplit/>
          <w:trHeight w:val="375"/>
        </w:trPr>
        <w:tc>
          <w:tcPr>
            <w:tcW w:w="7" w:type="dxa"/>
            <w:tcBorders>
              <w:top w:val="single" w:sz="4" w:space="0" w:color="auto"/>
              <w:left w:val="single" w:sz="4" w:space="0" w:color="auto"/>
              <w:bottom w:val="single" w:sz="4" w:space="0" w:color="auto"/>
              <w:right w:val="single" w:sz="4" w:space="0" w:color="auto"/>
            </w:tcBorders>
            <w:vAlign w:val="center"/>
          </w:tcPr>
          <w:p>
            <w:pPr>
              <w:widowControl/>
              <w:snapToGrid w:val="0"/>
              <w:spacing w:after="0" w:line="240" w:lineRule="auto"/>
              <w:jc w:val="center"/>
              <w:rPr>
                <w:rFonts w:ascii="宋体" w:hAnsi="宋体"/>
                <w:color w:val="000000"/>
                <w:kern w:val="0"/>
                <w:sz w:val="24"/>
                <w:szCs w:val="24"/>
              </w:rPr>
            </w:pPr>
            <w:r>
              <w:rPr>
                <w:rFonts w:ascii="宋体" w:hAnsi="宋体"/>
                <w:color w:val="000000"/>
                <w:kern w:val="0"/>
                <w:sz w:val="24"/>
                <w:szCs w:val="24"/>
              </w:rPr>
              <w:t>序号</w:t>
            </w:r>
          </w:p>
        </w:tc>
        <w:tc>
          <w:tcPr>
            <w:tcW w:w="7" w:type="dxa"/>
            <w:tcBorders>
              <w:top w:val="single" w:sz="4" w:space="0" w:color="auto"/>
              <w:left w:val="single" w:sz="4" w:space="0" w:color="auto"/>
              <w:bottom w:val="single" w:sz="4" w:space="0" w:color="auto"/>
              <w:right w:val="single" w:sz="4" w:space="0" w:color="auto"/>
            </w:tcBorders>
            <w:vAlign w:val="center"/>
          </w:tcPr>
          <w:p>
            <w:pPr>
              <w:widowControl/>
              <w:snapToGrid w:val="0"/>
              <w:spacing w:after="0" w:line="240" w:lineRule="auto"/>
              <w:jc w:val="center"/>
              <w:rPr>
                <w:rFonts w:ascii="宋体" w:hAnsi="宋体"/>
                <w:color w:val="000000"/>
                <w:kern w:val="0"/>
                <w:sz w:val="24"/>
                <w:szCs w:val="24"/>
              </w:rPr>
            </w:pPr>
            <w:r>
              <w:rPr>
                <w:rFonts w:ascii="宋体" w:hAnsi="宋体"/>
                <w:color w:val="000000"/>
                <w:kern w:val="0"/>
                <w:sz w:val="24"/>
                <w:szCs w:val="24"/>
              </w:rPr>
              <w:t>债券代码</w:t>
            </w:r>
          </w:p>
        </w:tc>
        <w:tc>
          <w:tcPr>
            <w:tcW w:w="7" w:type="dxa"/>
            <w:tcBorders>
              <w:top w:val="single" w:sz="4" w:space="0" w:color="auto"/>
              <w:left w:val="single" w:sz="4" w:space="0" w:color="auto"/>
              <w:bottom w:val="single" w:sz="4" w:space="0" w:color="auto"/>
              <w:right w:val="single" w:sz="4" w:space="0" w:color="auto"/>
            </w:tcBorders>
            <w:vAlign w:val="center"/>
          </w:tcPr>
          <w:p>
            <w:pPr>
              <w:widowControl/>
              <w:snapToGrid w:val="0"/>
              <w:spacing w:after="0" w:line="240" w:lineRule="auto"/>
              <w:jc w:val="center"/>
              <w:rPr>
                <w:rFonts w:ascii="宋体" w:hAnsi="宋体"/>
                <w:color w:val="000000"/>
                <w:kern w:val="0"/>
                <w:sz w:val="24"/>
                <w:szCs w:val="24"/>
              </w:rPr>
            </w:pPr>
            <w:r>
              <w:rPr>
                <w:rFonts w:ascii="宋体" w:hAnsi="宋体"/>
                <w:color w:val="000000"/>
                <w:kern w:val="0"/>
                <w:sz w:val="24"/>
                <w:szCs w:val="24"/>
              </w:rPr>
              <w:t>债券名称</w:t>
            </w:r>
          </w:p>
        </w:tc>
        <w:tc>
          <w:tcPr>
            <w:tcW w:w="7" w:type="dxa"/>
            <w:tcBorders>
              <w:top w:val="single" w:sz="4" w:space="0" w:color="auto"/>
              <w:left w:val="single" w:sz="4" w:space="0" w:color="auto"/>
              <w:bottom w:val="single" w:sz="4" w:space="0" w:color="auto"/>
              <w:right w:val="single" w:sz="4" w:space="0" w:color="auto"/>
            </w:tcBorders>
            <w:vAlign w:val="center"/>
          </w:tcPr>
          <w:p>
            <w:pPr>
              <w:widowControl/>
              <w:snapToGrid w:val="0"/>
              <w:spacing w:after="0" w:line="240" w:lineRule="auto"/>
              <w:jc w:val="center"/>
              <w:rPr>
                <w:rFonts w:ascii="宋体" w:hAnsi="宋体"/>
                <w:color w:val="000000"/>
                <w:kern w:val="0"/>
                <w:sz w:val="24"/>
                <w:szCs w:val="24"/>
              </w:rPr>
            </w:pPr>
            <w:r>
              <w:rPr>
                <w:rFonts w:ascii="宋体" w:hAnsi="宋体"/>
                <w:color w:val="000000"/>
                <w:kern w:val="0"/>
                <w:sz w:val="24"/>
                <w:szCs w:val="24"/>
              </w:rPr>
              <w:t>公允价值（元）</w:t>
            </w:r>
          </w:p>
        </w:tc>
        <w:tc>
          <w:tcPr>
            <w:tcW w:w="7" w:type="dxa"/>
            <w:tcBorders>
              <w:top w:val="single" w:sz="4" w:space="0" w:color="auto"/>
              <w:left w:val="single" w:sz="4" w:space="0" w:color="auto"/>
              <w:bottom w:val="single" w:sz="4" w:space="0" w:color="auto"/>
              <w:right w:val="single" w:sz="4" w:space="0" w:color="auto"/>
            </w:tcBorders>
            <w:vAlign w:val="center"/>
          </w:tcPr>
          <w:p>
            <w:pPr>
              <w:widowControl/>
              <w:snapToGrid w:val="0"/>
              <w:spacing w:after="0" w:line="240" w:lineRule="auto"/>
              <w:jc w:val="center"/>
              <w:rPr>
                <w:rFonts w:ascii="宋体" w:hAnsi="宋体"/>
                <w:color w:val="000000"/>
                <w:kern w:val="0"/>
                <w:sz w:val="24"/>
                <w:szCs w:val="24"/>
              </w:rPr>
            </w:pPr>
            <w:r>
              <w:rPr>
                <w:rFonts w:ascii="宋体" w:hAnsi="宋体"/>
                <w:color w:val="000000"/>
                <w:kern w:val="0"/>
                <w:sz w:val="24"/>
                <w:szCs w:val="24"/>
              </w:rPr>
              <w:t>占基金资产净值比例（%）</w:t>
            </w:r>
          </w:p>
        </w:tc>
      </w:tr>
      <w:tr>
        <w:tblPrEx>
          <w:tblW w:w="5000" w:type="pct"/>
          <w:tblInd w:w="0" w:type="dxa"/>
          <w:tblLayout w:type="fixed"/>
          <w:tblCellMar>
            <w:top w:w="0" w:type="dxa"/>
            <w:left w:w="0" w:type="dxa"/>
            <w:bottom w:w="0" w:type="dxa"/>
            <w:right w:w="0" w:type="dxa"/>
          </w:tblCellMar>
          <w:tblLook w:val="0000"/>
        </w:tblPrEx>
        <w:trPr>
          <w:cantSplit/>
          <w:trHeight w:val="375"/>
        </w:trPr>
        <w:tc>
          <w:tcPr>
            <w:tcW w:w="7" w:type="dxa"/>
            <w:tcBorders>
              <w:top w:val="single" w:sz="4" w:space="0" w:color="auto"/>
              <w:left w:val="single" w:sz="4" w:space="0" w:color="auto"/>
              <w:bottom w:val="single" w:sz="4" w:space="0" w:color="auto"/>
              <w:right w:val="single" w:sz="4" w:space="0" w:color="auto"/>
            </w:tcBorders>
            <w:vAlign w:val="center"/>
          </w:tcPr>
          <w:p>
            <w:pPr>
              <w:widowControl/>
              <w:snapToGrid w:val="0"/>
              <w:spacing w:after="0" w:line="240" w:lineRule="auto"/>
              <w:jc w:val="center"/>
              <w:rPr>
                <w:rFonts w:ascii="宋体" w:hAnsi="宋体"/>
                <w:color w:val="000000"/>
                <w:kern w:val="0"/>
                <w:sz w:val="24"/>
                <w:szCs w:val="24"/>
              </w:rPr>
            </w:pPr>
            <w:r>
              <w:rPr>
                <w:rFonts w:ascii="宋体" w:hAnsi="宋体"/>
                <w:color w:val="000000"/>
                <w:kern w:val="0"/>
                <w:sz w:val="24"/>
                <w:szCs w:val="24"/>
              </w:rPr>
              <w:t>1</w:t>
            </w:r>
          </w:p>
        </w:tc>
        <w:tc>
          <w:tcPr>
            <w:tcW w:w="7" w:type="dxa"/>
            <w:tcBorders>
              <w:top w:val="single" w:sz="4" w:space="0" w:color="auto"/>
              <w:left w:val="single" w:sz="4" w:space="0" w:color="auto"/>
              <w:bottom w:val="single" w:sz="4" w:space="0" w:color="auto"/>
              <w:right w:val="single" w:sz="4" w:space="0" w:color="auto"/>
            </w:tcBorders>
            <w:vAlign w:val="center"/>
          </w:tcPr>
          <w:p>
            <w:pPr>
              <w:widowControl/>
              <w:snapToGrid w:val="0"/>
              <w:spacing w:after="0" w:line="240" w:lineRule="auto"/>
              <w:jc w:val="center"/>
              <w:rPr>
                <w:rFonts w:ascii="宋体" w:hAnsi="宋体"/>
                <w:color w:val="000000"/>
                <w:kern w:val="0"/>
                <w:sz w:val="24"/>
                <w:szCs w:val="24"/>
              </w:rPr>
            </w:pPr>
            <w:r>
              <w:rPr>
                <w:rFonts w:ascii="宋体" w:hAnsi="宋体"/>
                <w:color w:val="000000"/>
                <w:kern w:val="0"/>
                <w:sz w:val="24"/>
                <w:szCs w:val="24"/>
              </w:rPr>
              <w:t>123259</w:t>
            </w:r>
          </w:p>
        </w:tc>
        <w:tc>
          <w:tcPr>
            <w:tcW w:w="7" w:type="dxa"/>
            <w:tcBorders>
              <w:top w:val="single" w:sz="4" w:space="0" w:color="auto"/>
              <w:left w:val="single" w:sz="4" w:space="0" w:color="auto"/>
              <w:bottom w:val="single" w:sz="4" w:space="0" w:color="auto"/>
              <w:right w:val="single" w:sz="4" w:space="0" w:color="auto"/>
            </w:tcBorders>
            <w:vAlign w:val="center"/>
          </w:tcPr>
          <w:p>
            <w:pPr>
              <w:widowControl/>
              <w:snapToGrid w:val="0"/>
              <w:spacing w:after="0" w:line="240" w:lineRule="auto"/>
              <w:jc w:val="center"/>
              <w:rPr>
                <w:rFonts w:ascii="宋体" w:hAnsi="宋体"/>
                <w:color w:val="000000"/>
                <w:kern w:val="0"/>
                <w:sz w:val="24"/>
                <w:szCs w:val="24"/>
              </w:rPr>
            </w:pPr>
            <w:r>
              <w:rPr>
                <w:rFonts w:ascii="宋体" w:hAnsi="宋体"/>
                <w:color w:val="000000"/>
                <w:kern w:val="0"/>
                <w:sz w:val="24"/>
                <w:szCs w:val="24"/>
              </w:rPr>
              <w:t>锦浪转02</w:t>
            </w:r>
          </w:p>
        </w:tc>
        <w:tc>
          <w:tcPr>
            <w:tcW w:w="7" w:type="dxa"/>
            <w:tcBorders>
              <w:top w:val="single" w:sz="4" w:space="0" w:color="auto"/>
              <w:left w:val="single" w:sz="4" w:space="0" w:color="auto"/>
              <w:bottom w:val="single" w:sz="4" w:space="0" w:color="auto"/>
              <w:right w:val="single" w:sz="4" w:space="0" w:color="auto"/>
            </w:tcBorders>
            <w:vAlign w:val="center"/>
          </w:tcPr>
          <w:p>
            <w:pPr>
              <w:widowControl/>
              <w:snapToGrid w:val="0"/>
              <w:spacing w:after="0" w:line="240" w:lineRule="auto"/>
              <w:jc w:val="right"/>
              <w:rPr>
                <w:rFonts w:ascii="宋体" w:hAnsi="宋体"/>
                <w:color w:val="000000"/>
                <w:kern w:val="0"/>
                <w:sz w:val="24"/>
                <w:szCs w:val="24"/>
              </w:rPr>
            </w:pPr>
            <w:r>
              <w:rPr>
                <w:rFonts w:ascii="宋体" w:hAnsi="宋体"/>
                <w:color w:val="000000"/>
                <w:kern w:val="0"/>
                <w:sz w:val="24"/>
                <w:szCs w:val="24"/>
              </w:rPr>
              <w:t>249,274.54</w:t>
            </w:r>
          </w:p>
        </w:tc>
        <w:tc>
          <w:tcPr>
            <w:tcW w:w="7" w:type="dxa"/>
            <w:tcBorders>
              <w:top w:val="single" w:sz="4" w:space="0" w:color="auto"/>
              <w:left w:val="single" w:sz="4" w:space="0" w:color="auto"/>
              <w:bottom w:val="single" w:sz="4" w:space="0" w:color="auto"/>
              <w:right w:val="single" w:sz="4" w:space="0" w:color="auto"/>
            </w:tcBorders>
            <w:vAlign w:val="center"/>
          </w:tcPr>
          <w:p>
            <w:pPr>
              <w:widowControl/>
              <w:snapToGrid w:val="0"/>
              <w:spacing w:after="0" w:line="240" w:lineRule="auto"/>
              <w:jc w:val="right"/>
              <w:rPr>
                <w:rFonts w:ascii="宋体" w:hAnsi="宋体"/>
                <w:color w:val="000000"/>
                <w:kern w:val="0"/>
                <w:sz w:val="24"/>
                <w:szCs w:val="24"/>
              </w:rPr>
            </w:pPr>
            <w:r>
              <w:rPr>
                <w:rFonts w:ascii="宋体" w:hAnsi="宋体"/>
                <w:color w:val="000000"/>
                <w:kern w:val="0"/>
                <w:sz w:val="24"/>
                <w:szCs w:val="24"/>
              </w:rPr>
              <w:t>0.50</w:t>
            </w:r>
          </w:p>
        </w:tc>
      </w:tr>
    </w:tbl>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11.5 报告期末前十名股票中存在流通受限情况的说明</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无。</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11.6 投资组合报告附注的其他文字描述部分</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由于四舍五入的原因，分项之和与合计项之间可能存在尾差。</w:t>
      </w:r>
    </w:p>
    <w:p>
      <w:pPr>
        <w:pStyle w:val="Heading1"/>
        <w:snapToGrid w:val="0"/>
        <w:spacing w:before="240" w:beforeLines="0" w:after="0"/>
        <w:rPr>
          <w:rFonts w:ascii="宋体" w:hAnsi="宋体"/>
          <w:szCs w:val="30"/>
        </w:rPr>
      </w:pPr>
      <w:r>
        <w:br w:type="page"/>
      </w:r>
      <w:bookmarkStart w:id="24" w:name="_Toc256000011"/>
      <w:bookmarkStart w:id="25" w:name="_Toc256000038"/>
      <w:r>
        <w:rPr>
          <w:rFonts w:ascii="宋体" w:hAnsi="宋体"/>
          <w:sz w:val="30"/>
        </w:rPr>
        <w:t>十一、基金的业绩</w:t>
      </w:r>
      <w:bookmarkEnd w:id="25"/>
      <w:bookmarkEnd w:id="24"/>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基金业绩截止日为2026年06月30日，所载财务数据未经审计。</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基金管理人依照恪尽职守、诚实信用、谨慎勤勉的原则管理和运用基金财产，但不保证基金一定盈利，也不保证最低收益。基金的过往业绩并不代表其未来表现。投资有风险，投资者在做出投资决策前应仔细阅读本基金的招募说明书。</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1、基金份额净值增长率及其与同期业绩比较基准收益率的比较</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（1）交银启衡混合A</w:t>
      </w:r>
    </w:p>
    <w:tbl>
      <w:tblPr>
        <w:tblW w:w="5000" w:type="pct"/>
        <w:tblInd w:w="0" w:type="dxa"/>
        <w:tblLayout w:type="fixed"/>
        <w:tblCellMar>
          <w:top w:w="0" w:type="dxa"/>
          <w:left w:w="0" w:type="dxa"/>
          <w:bottom w:w="0" w:type="dxa"/>
          <w:right w:w="0" w:type="dxa"/>
        </w:tblCellMar>
        <w:tblLook w:val="0000"/>
      </w:tblPr>
      <w:tblGrid>
        <w:gridCol w:w="1238"/>
        <w:gridCol w:w="1238"/>
        <w:gridCol w:w="1238"/>
        <w:gridCol w:w="1239"/>
        <w:gridCol w:w="1239"/>
        <w:gridCol w:w="1239"/>
        <w:gridCol w:w="1239"/>
      </w:tblGrid>
      <w:tr>
        <w:tblPrEx>
          <w:tblW w:w="5000" w:type="pct"/>
          <w:tblInd w:w="0" w:type="dxa"/>
          <w:tblLayout w:type="fixed"/>
          <w:tblCellMar>
            <w:top w:w="0" w:type="dxa"/>
            <w:left w:w="0" w:type="dxa"/>
            <w:bottom w:w="0" w:type="dxa"/>
            <w:right w:w="0" w:type="dxa"/>
          </w:tblCellMar>
          <w:tblLook w:val="0000"/>
        </w:tblPrEx>
        <w:trPr>
          <w:cantSplit/>
          <w:trHeight w:val="375"/>
        </w:trPr>
        <w:tc>
          <w:tcPr>
            <w:tcW w:w="7" w:type="dxa"/>
            <w:vMerge w:val="restart"/>
            <w:tcBorders>
              <w:top w:val="single" w:sz="4" w:space="0" w:color="auto"/>
              <w:left w:val="single" w:sz="4" w:space="0" w:color="auto"/>
              <w:bottom w:val="single" w:sz="4" w:space="0" w:color="auto"/>
              <w:right w:val="single" w:sz="4" w:space="0" w:color="auto"/>
            </w:tcBorders>
            <w:vAlign w:val="center"/>
          </w:tcPr>
          <w:p>
            <w:pPr>
              <w:spacing w:after="0" w:line="240" w:lineRule="auto"/>
              <w:jc w:val="center"/>
            </w:pPr>
            <w:r>
              <w:rPr>
                <w:rFonts w:ascii="宋体" w:hAnsi="宋体"/>
                <w:color w:val="000000"/>
                <w:kern w:val="0"/>
                <w:sz w:val="25"/>
                <w:szCs w:val="24"/>
              </w:rPr>
              <w:t>阶段</w:t>
            </w:r>
          </w:p>
        </w:tc>
        <w:tc>
          <w:tcPr>
            <w:tcW w:w="7" w:type="dxa"/>
            <w:vMerge w:val="restart"/>
            <w:tcBorders>
              <w:top w:val="single" w:sz="4" w:space="0" w:color="auto"/>
              <w:left w:val="single" w:sz="4" w:space="0" w:color="auto"/>
              <w:bottom w:val="single" w:sz="4" w:space="0" w:color="auto"/>
              <w:right w:val="single" w:sz="4" w:space="0" w:color="auto"/>
            </w:tcBorders>
            <w:vAlign w:val="center"/>
          </w:tcPr>
          <w:p>
            <w:pPr>
              <w:spacing w:after="0" w:line="240" w:lineRule="auto"/>
              <w:jc w:val="center"/>
            </w:pPr>
            <w:r>
              <w:rPr>
                <w:rFonts w:ascii="宋体" w:hAnsi="宋体"/>
                <w:color w:val="000000"/>
                <w:kern w:val="0"/>
                <w:sz w:val="25"/>
                <w:szCs w:val="24"/>
              </w:rPr>
              <w:t>净值增长率①</w:t>
            </w:r>
          </w:p>
        </w:tc>
        <w:tc>
          <w:tcPr>
            <w:tcW w:w="7" w:type="dxa"/>
            <w:vMerge w:val="restart"/>
            <w:tcBorders>
              <w:top w:val="single" w:sz="4" w:space="0" w:color="auto"/>
              <w:left w:val="single" w:sz="4" w:space="0" w:color="auto"/>
              <w:bottom w:val="single" w:sz="4" w:space="0" w:color="auto"/>
              <w:right w:val="single" w:sz="4" w:space="0" w:color="auto"/>
            </w:tcBorders>
            <w:vAlign w:val="center"/>
          </w:tcPr>
          <w:p>
            <w:pPr>
              <w:spacing w:after="0" w:line="240" w:lineRule="auto"/>
              <w:jc w:val="center"/>
            </w:pPr>
            <w:r>
              <w:rPr>
                <w:rFonts w:ascii="宋体" w:hAnsi="宋体"/>
                <w:color w:val="000000"/>
                <w:kern w:val="0"/>
                <w:sz w:val="25"/>
                <w:szCs w:val="24"/>
              </w:rPr>
              <w:t>净值增长率标准差②</w:t>
            </w:r>
          </w:p>
        </w:tc>
        <w:tc>
          <w:tcPr>
            <w:tcW w:w="7" w:type="dxa"/>
            <w:vMerge w:val="restart"/>
            <w:tcBorders>
              <w:top w:val="single" w:sz="4" w:space="0" w:color="auto"/>
              <w:left w:val="single" w:sz="4" w:space="0" w:color="auto"/>
              <w:bottom w:val="single" w:sz="4" w:space="0" w:color="auto"/>
              <w:right w:val="single" w:sz="4" w:space="0" w:color="auto"/>
            </w:tcBorders>
            <w:vAlign w:val="center"/>
          </w:tcPr>
          <w:p>
            <w:pPr>
              <w:spacing w:after="0" w:line="240" w:lineRule="auto"/>
              <w:jc w:val="center"/>
            </w:pPr>
            <w:r>
              <w:rPr>
                <w:rFonts w:ascii="宋体" w:hAnsi="宋体"/>
                <w:color w:val="000000"/>
                <w:kern w:val="0"/>
                <w:sz w:val="25"/>
                <w:szCs w:val="24"/>
              </w:rPr>
              <w:t>业绩比较基准收益率③</w:t>
            </w:r>
          </w:p>
        </w:tc>
        <w:tc>
          <w:tcPr>
            <w:tcW w:w="7" w:type="dxa"/>
            <w:vMerge w:val="restart"/>
            <w:tcBorders>
              <w:top w:val="single" w:sz="4" w:space="0" w:color="auto"/>
              <w:left w:val="single" w:sz="4" w:space="0" w:color="auto"/>
              <w:bottom w:val="single" w:sz="4" w:space="0" w:color="auto"/>
              <w:right w:val="single" w:sz="4" w:space="0" w:color="auto"/>
            </w:tcBorders>
            <w:vAlign w:val="center"/>
          </w:tcPr>
          <w:p>
            <w:pPr>
              <w:spacing w:after="0" w:line="240" w:lineRule="auto"/>
              <w:jc w:val="center"/>
            </w:pPr>
            <w:r>
              <w:rPr>
                <w:rFonts w:ascii="宋体" w:hAnsi="宋体"/>
                <w:color w:val="000000"/>
                <w:kern w:val="0"/>
                <w:sz w:val="25"/>
                <w:szCs w:val="24"/>
              </w:rPr>
              <w:t>业绩比较基准收益率标准差④</w:t>
            </w:r>
          </w:p>
        </w:tc>
        <w:tc>
          <w:tcPr>
            <w:tcW w:w="7" w:type="dxa"/>
            <w:vMerge w:val="restart"/>
            <w:tcBorders>
              <w:top w:val="single" w:sz="4" w:space="0" w:color="auto"/>
              <w:left w:val="single" w:sz="4" w:space="0" w:color="auto"/>
              <w:bottom w:val="single" w:sz="4" w:space="0" w:color="auto"/>
              <w:right w:val="single" w:sz="4" w:space="0" w:color="auto"/>
            </w:tcBorders>
            <w:vAlign w:val="center"/>
          </w:tcPr>
          <w:p>
            <w:pPr>
              <w:spacing w:after="0" w:line="240" w:lineRule="auto"/>
              <w:jc w:val="center"/>
            </w:pPr>
            <w:r>
              <w:rPr>
                <w:rFonts w:ascii="宋体" w:hAnsi="宋体"/>
                <w:color w:val="000000"/>
                <w:kern w:val="0"/>
                <w:sz w:val="25"/>
                <w:szCs w:val="24"/>
              </w:rPr>
              <w:t>①-③</w:t>
            </w:r>
          </w:p>
        </w:tc>
        <w:tc>
          <w:tcPr>
            <w:tcW w:w="7" w:type="dxa"/>
            <w:vMerge w:val="restart"/>
            <w:tcBorders>
              <w:top w:val="single" w:sz="4" w:space="0" w:color="auto"/>
              <w:left w:val="single" w:sz="4" w:space="0" w:color="auto"/>
              <w:bottom w:val="single" w:sz="4" w:space="0" w:color="auto"/>
              <w:right w:val="single" w:sz="4" w:space="0" w:color="auto"/>
            </w:tcBorders>
            <w:vAlign w:val="center"/>
          </w:tcPr>
          <w:p>
            <w:pPr>
              <w:spacing w:after="0" w:line="240" w:lineRule="auto"/>
              <w:jc w:val="center"/>
            </w:pPr>
            <w:r>
              <w:rPr>
                <w:rFonts w:ascii="宋体" w:hAnsi="宋体"/>
                <w:color w:val="000000"/>
                <w:kern w:val="0"/>
                <w:sz w:val="25"/>
                <w:szCs w:val="24"/>
              </w:rPr>
              <w:t>②-④</w:t>
            </w:r>
          </w:p>
        </w:tc>
      </w:tr>
      <w:tr>
        <w:tblPrEx>
          <w:tblW w:w="5000" w:type="pct"/>
          <w:tblInd w:w="0" w:type="dxa"/>
          <w:tblLayout w:type="fixed"/>
          <w:tblCellMar>
            <w:top w:w="0" w:type="dxa"/>
            <w:left w:w="0" w:type="dxa"/>
            <w:bottom w:w="0" w:type="dxa"/>
            <w:right w:w="0" w:type="dxa"/>
          </w:tblCellMar>
          <w:tblLook w:val="0000"/>
        </w:tblPrEx>
        <w:trPr>
          <w:cantSplit/>
          <w:trHeight w:val="375"/>
        </w:trPr>
        <w:tc>
          <w:tcPr>
            <w:tcW w:w="7" w:type="dxa"/>
            <w:vMerge w:val="restart"/>
            <w:tcBorders>
              <w:top w:val="single" w:sz="4" w:space="0" w:color="auto"/>
              <w:left w:val="single" w:sz="4" w:space="0" w:color="auto"/>
              <w:bottom w:val="single" w:sz="4" w:space="0" w:color="auto"/>
              <w:right w:val="single" w:sz="4" w:space="0" w:color="auto"/>
            </w:tcBorders>
            <w:vAlign w:val="center"/>
          </w:tcPr>
          <w:p>
            <w:pPr>
              <w:spacing w:after="0" w:line="240" w:lineRule="auto"/>
              <w:jc w:val="center"/>
            </w:pPr>
            <w:r>
              <w:rPr>
                <w:rFonts w:ascii="宋体" w:hAnsi="宋体"/>
                <w:color w:val="000000"/>
                <w:kern w:val="0"/>
                <w:sz w:val="25"/>
                <w:szCs w:val="24"/>
              </w:rPr>
              <w:t>过去三个月</w:t>
            </w:r>
          </w:p>
        </w:tc>
        <w:tc>
          <w:tcPr>
            <w:tcW w:w="7" w:type="dxa"/>
            <w:vMerge w:val="restart"/>
            <w:tcBorders>
              <w:top w:val="single" w:sz="4" w:space="0" w:color="auto"/>
              <w:left w:val="single" w:sz="4" w:space="0" w:color="auto"/>
              <w:bottom w:val="single" w:sz="4" w:space="0" w:color="auto"/>
              <w:right w:val="single" w:sz="4" w:space="0" w:color="auto"/>
            </w:tcBorders>
            <w:vAlign w:val="center"/>
          </w:tcPr>
          <w:p>
            <w:pPr>
              <w:spacing w:after="0" w:line="240" w:lineRule="auto"/>
              <w:jc w:val="center"/>
            </w:pPr>
            <w:r>
              <w:rPr>
                <w:rFonts w:ascii="宋体" w:hAnsi="宋体"/>
                <w:color w:val="000000"/>
                <w:kern w:val="0"/>
                <w:sz w:val="25"/>
                <w:szCs w:val="24"/>
              </w:rPr>
              <w:t>-7.83%</w:t>
            </w:r>
          </w:p>
        </w:tc>
        <w:tc>
          <w:tcPr>
            <w:tcW w:w="7" w:type="dxa"/>
            <w:vMerge w:val="restart"/>
            <w:tcBorders>
              <w:top w:val="single" w:sz="4" w:space="0" w:color="auto"/>
              <w:left w:val="single" w:sz="4" w:space="0" w:color="auto"/>
              <w:bottom w:val="single" w:sz="4" w:space="0" w:color="auto"/>
              <w:right w:val="single" w:sz="4" w:space="0" w:color="auto"/>
            </w:tcBorders>
            <w:vAlign w:val="center"/>
          </w:tcPr>
          <w:p>
            <w:pPr>
              <w:spacing w:after="0" w:line="240" w:lineRule="auto"/>
              <w:jc w:val="center"/>
            </w:pPr>
            <w:r>
              <w:rPr>
                <w:rFonts w:ascii="宋体" w:hAnsi="宋体"/>
                <w:color w:val="000000"/>
                <w:kern w:val="0"/>
                <w:sz w:val="25"/>
                <w:szCs w:val="24"/>
              </w:rPr>
              <w:t>1.28%</w:t>
            </w:r>
          </w:p>
        </w:tc>
        <w:tc>
          <w:tcPr>
            <w:tcW w:w="7" w:type="dxa"/>
            <w:vMerge w:val="restart"/>
            <w:tcBorders>
              <w:top w:val="single" w:sz="4" w:space="0" w:color="auto"/>
              <w:left w:val="single" w:sz="4" w:space="0" w:color="auto"/>
              <w:bottom w:val="single" w:sz="4" w:space="0" w:color="auto"/>
              <w:right w:val="single" w:sz="4" w:space="0" w:color="auto"/>
            </w:tcBorders>
            <w:vAlign w:val="center"/>
          </w:tcPr>
          <w:p>
            <w:pPr>
              <w:spacing w:after="0" w:line="240" w:lineRule="auto"/>
              <w:jc w:val="center"/>
            </w:pPr>
            <w:r>
              <w:rPr>
                <w:rFonts w:ascii="宋体" w:hAnsi="宋体"/>
                <w:color w:val="000000"/>
                <w:kern w:val="0"/>
                <w:sz w:val="25"/>
                <w:szCs w:val="24"/>
              </w:rPr>
              <w:t>7.65%</w:t>
            </w:r>
          </w:p>
        </w:tc>
        <w:tc>
          <w:tcPr>
            <w:tcW w:w="7" w:type="dxa"/>
            <w:vMerge w:val="restart"/>
            <w:tcBorders>
              <w:top w:val="single" w:sz="4" w:space="0" w:color="auto"/>
              <w:left w:val="single" w:sz="4" w:space="0" w:color="auto"/>
              <w:bottom w:val="single" w:sz="4" w:space="0" w:color="auto"/>
              <w:right w:val="single" w:sz="4" w:space="0" w:color="auto"/>
            </w:tcBorders>
            <w:vAlign w:val="center"/>
          </w:tcPr>
          <w:p>
            <w:pPr>
              <w:spacing w:after="0" w:line="240" w:lineRule="auto"/>
              <w:jc w:val="center"/>
            </w:pPr>
            <w:r>
              <w:rPr>
                <w:rFonts w:ascii="宋体" w:hAnsi="宋体"/>
                <w:color w:val="000000"/>
                <w:kern w:val="0"/>
                <w:sz w:val="25"/>
                <w:szCs w:val="24"/>
              </w:rPr>
              <w:t>0.85%</w:t>
            </w:r>
          </w:p>
        </w:tc>
        <w:tc>
          <w:tcPr>
            <w:tcW w:w="7" w:type="dxa"/>
            <w:vMerge w:val="restart"/>
            <w:tcBorders>
              <w:top w:val="single" w:sz="4" w:space="0" w:color="auto"/>
              <w:left w:val="single" w:sz="4" w:space="0" w:color="auto"/>
              <w:bottom w:val="single" w:sz="4" w:space="0" w:color="auto"/>
              <w:right w:val="single" w:sz="4" w:space="0" w:color="auto"/>
            </w:tcBorders>
            <w:vAlign w:val="center"/>
          </w:tcPr>
          <w:p>
            <w:pPr>
              <w:spacing w:after="0" w:line="240" w:lineRule="auto"/>
              <w:jc w:val="center"/>
            </w:pPr>
            <w:r>
              <w:rPr>
                <w:rFonts w:ascii="宋体" w:hAnsi="宋体"/>
                <w:color w:val="000000"/>
                <w:kern w:val="0"/>
                <w:sz w:val="25"/>
                <w:szCs w:val="24"/>
              </w:rPr>
              <w:t>-15.48%</w:t>
            </w:r>
          </w:p>
        </w:tc>
        <w:tc>
          <w:tcPr>
            <w:tcW w:w="7" w:type="dxa"/>
            <w:vMerge w:val="restart"/>
            <w:tcBorders>
              <w:top w:val="single" w:sz="4" w:space="0" w:color="auto"/>
              <w:left w:val="single" w:sz="4" w:space="0" w:color="auto"/>
              <w:bottom w:val="single" w:sz="4" w:space="0" w:color="auto"/>
              <w:right w:val="single" w:sz="4" w:space="0" w:color="auto"/>
            </w:tcBorders>
            <w:vAlign w:val="center"/>
          </w:tcPr>
          <w:p>
            <w:pPr>
              <w:spacing w:after="0" w:line="240" w:lineRule="auto"/>
              <w:jc w:val="center"/>
            </w:pPr>
            <w:r>
              <w:rPr>
                <w:rFonts w:ascii="宋体" w:hAnsi="宋体"/>
                <w:color w:val="000000"/>
                <w:kern w:val="0"/>
                <w:sz w:val="25"/>
                <w:szCs w:val="24"/>
              </w:rPr>
              <w:t>0.43%</w:t>
            </w:r>
          </w:p>
        </w:tc>
      </w:tr>
      <w:tr>
        <w:tblPrEx>
          <w:tblW w:w="5000" w:type="pct"/>
          <w:tblInd w:w="0" w:type="dxa"/>
          <w:tblLayout w:type="fixed"/>
          <w:tblCellMar>
            <w:top w:w="0" w:type="dxa"/>
            <w:left w:w="0" w:type="dxa"/>
            <w:bottom w:w="0" w:type="dxa"/>
            <w:right w:w="0" w:type="dxa"/>
          </w:tblCellMar>
          <w:tblLook w:val="0000"/>
        </w:tblPrEx>
        <w:trPr>
          <w:cantSplit/>
          <w:trHeight w:val="375"/>
        </w:trPr>
        <w:tc>
          <w:tcPr>
            <w:tcW w:w="7" w:type="dxa"/>
            <w:tcBorders>
              <w:top w:val="single" w:sz="4" w:space="0" w:color="auto"/>
              <w:left w:val="single" w:sz="4" w:space="0" w:color="auto"/>
              <w:bottom w:val="single" w:sz="4" w:space="0" w:color="auto"/>
              <w:right w:val="single" w:sz="4" w:space="0" w:color="auto"/>
            </w:tcBorders>
            <w:vAlign w:val="center"/>
          </w:tcPr>
          <w:p>
            <w:pPr>
              <w:spacing w:after="0" w:line="240" w:lineRule="auto"/>
              <w:jc w:val="center"/>
            </w:pPr>
            <w:r>
              <w:rPr>
                <w:rFonts w:ascii="宋体" w:hAnsi="宋体"/>
                <w:color w:val="000000"/>
                <w:kern w:val="0"/>
                <w:sz w:val="25"/>
                <w:szCs w:val="24"/>
              </w:rPr>
              <w:t>2026年上半年</w:t>
            </w:r>
          </w:p>
        </w:tc>
        <w:tc>
          <w:tcPr>
            <w:tcW w:w="7" w:type="dxa"/>
            <w:tcBorders>
              <w:top w:val="single" w:sz="4" w:space="0" w:color="auto"/>
              <w:left w:val="single" w:sz="4" w:space="0" w:color="auto"/>
              <w:bottom w:val="single" w:sz="4" w:space="0" w:color="auto"/>
              <w:right w:val="single" w:sz="4" w:space="0" w:color="auto"/>
            </w:tcBorders>
            <w:vAlign w:val="center"/>
          </w:tcPr>
          <w:p>
            <w:pPr>
              <w:spacing w:after="0" w:line="240" w:lineRule="auto"/>
              <w:jc w:val="center"/>
            </w:pPr>
            <w:r>
              <w:rPr>
                <w:rFonts w:ascii="宋体" w:hAnsi="宋体"/>
                <w:color w:val="000000"/>
                <w:kern w:val="0"/>
                <w:sz w:val="25"/>
                <w:szCs w:val="24"/>
              </w:rPr>
              <w:t>-22.44%</w:t>
            </w:r>
          </w:p>
        </w:tc>
        <w:tc>
          <w:tcPr>
            <w:tcW w:w="7" w:type="dxa"/>
            <w:tcBorders>
              <w:top w:val="single" w:sz="4" w:space="0" w:color="auto"/>
              <w:left w:val="single" w:sz="4" w:space="0" w:color="auto"/>
              <w:bottom w:val="single" w:sz="4" w:space="0" w:color="auto"/>
              <w:right w:val="single" w:sz="4" w:space="0" w:color="auto"/>
            </w:tcBorders>
            <w:vAlign w:val="center"/>
          </w:tcPr>
          <w:p>
            <w:pPr>
              <w:spacing w:after="0" w:line="240" w:lineRule="auto"/>
              <w:jc w:val="center"/>
            </w:pPr>
            <w:r>
              <w:rPr>
                <w:rFonts w:ascii="宋体" w:hAnsi="宋体"/>
                <w:color w:val="000000"/>
                <w:kern w:val="0"/>
                <w:sz w:val="25"/>
                <w:szCs w:val="24"/>
              </w:rPr>
              <w:t>1.47%</w:t>
            </w:r>
          </w:p>
        </w:tc>
        <w:tc>
          <w:tcPr>
            <w:tcW w:w="7" w:type="dxa"/>
            <w:tcBorders>
              <w:top w:val="single" w:sz="4" w:space="0" w:color="auto"/>
              <w:left w:val="single" w:sz="4" w:space="0" w:color="auto"/>
              <w:bottom w:val="single" w:sz="4" w:space="0" w:color="auto"/>
              <w:right w:val="single" w:sz="4" w:space="0" w:color="auto"/>
            </w:tcBorders>
            <w:vAlign w:val="center"/>
          </w:tcPr>
          <w:p>
            <w:pPr>
              <w:spacing w:after="0" w:line="240" w:lineRule="auto"/>
              <w:jc w:val="center"/>
            </w:pPr>
            <w:r>
              <w:rPr>
                <w:rFonts w:ascii="宋体" w:hAnsi="宋体"/>
                <w:color w:val="000000"/>
                <w:kern w:val="0"/>
                <w:sz w:val="25"/>
                <w:szCs w:val="24"/>
              </w:rPr>
              <w:t>5.06%</w:t>
            </w:r>
          </w:p>
        </w:tc>
        <w:tc>
          <w:tcPr>
            <w:tcW w:w="7" w:type="dxa"/>
            <w:tcBorders>
              <w:top w:val="single" w:sz="4" w:space="0" w:color="auto"/>
              <w:left w:val="single" w:sz="4" w:space="0" w:color="auto"/>
              <w:bottom w:val="single" w:sz="4" w:space="0" w:color="auto"/>
              <w:right w:val="single" w:sz="4" w:space="0" w:color="auto"/>
            </w:tcBorders>
            <w:vAlign w:val="center"/>
          </w:tcPr>
          <w:p>
            <w:pPr>
              <w:spacing w:after="0" w:line="240" w:lineRule="auto"/>
              <w:jc w:val="center"/>
            </w:pPr>
            <w:r>
              <w:rPr>
                <w:rFonts w:ascii="宋体" w:hAnsi="宋体"/>
                <w:color w:val="000000"/>
                <w:kern w:val="0"/>
                <w:sz w:val="25"/>
                <w:szCs w:val="24"/>
              </w:rPr>
              <w:t>0.78%</w:t>
            </w:r>
          </w:p>
        </w:tc>
        <w:tc>
          <w:tcPr>
            <w:tcW w:w="7" w:type="dxa"/>
            <w:tcBorders>
              <w:top w:val="single" w:sz="4" w:space="0" w:color="auto"/>
              <w:left w:val="single" w:sz="4" w:space="0" w:color="auto"/>
              <w:bottom w:val="single" w:sz="4" w:space="0" w:color="auto"/>
              <w:right w:val="single" w:sz="4" w:space="0" w:color="auto"/>
            </w:tcBorders>
            <w:vAlign w:val="center"/>
          </w:tcPr>
          <w:p>
            <w:pPr>
              <w:spacing w:after="0" w:line="240" w:lineRule="auto"/>
              <w:jc w:val="center"/>
            </w:pPr>
            <w:r>
              <w:rPr>
                <w:rFonts w:ascii="宋体" w:hAnsi="宋体"/>
                <w:color w:val="000000"/>
                <w:kern w:val="0"/>
                <w:sz w:val="25"/>
                <w:szCs w:val="24"/>
              </w:rPr>
              <w:t>-27.50%</w:t>
            </w:r>
          </w:p>
        </w:tc>
        <w:tc>
          <w:tcPr>
            <w:tcW w:w="7" w:type="dxa"/>
            <w:tcBorders>
              <w:top w:val="single" w:sz="4" w:space="0" w:color="auto"/>
              <w:left w:val="single" w:sz="4" w:space="0" w:color="auto"/>
              <w:bottom w:val="single" w:sz="4" w:space="0" w:color="auto"/>
              <w:right w:val="single" w:sz="4" w:space="0" w:color="auto"/>
            </w:tcBorders>
            <w:vAlign w:val="center"/>
          </w:tcPr>
          <w:p>
            <w:pPr>
              <w:spacing w:after="0" w:line="240" w:lineRule="auto"/>
              <w:jc w:val="center"/>
            </w:pPr>
            <w:r>
              <w:rPr>
                <w:rFonts w:ascii="宋体" w:hAnsi="宋体"/>
                <w:color w:val="000000"/>
                <w:kern w:val="0"/>
                <w:sz w:val="25"/>
                <w:szCs w:val="24"/>
              </w:rPr>
              <w:t>0.69%</w:t>
            </w:r>
          </w:p>
        </w:tc>
      </w:tr>
      <w:tr>
        <w:tblPrEx>
          <w:tblW w:w="5000" w:type="pct"/>
          <w:tblInd w:w="0" w:type="dxa"/>
          <w:tblLayout w:type="fixed"/>
          <w:tblCellMar>
            <w:top w:w="0" w:type="dxa"/>
            <w:left w:w="0" w:type="dxa"/>
            <w:bottom w:w="0" w:type="dxa"/>
            <w:right w:w="0" w:type="dxa"/>
          </w:tblCellMar>
          <w:tblLook w:val="0000"/>
        </w:tblPrEx>
        <w:trPr>
          <w:cantSplit/>
          <w:trHeight w:val="375"/>
        </w:trPr>
        <w:tc>
          <w:tcPr>
            <w:tcW w:w="7" w:type="dxa"/>
            <w:tcBorders>
              <w:top w:val="single" w:sz="4" w:space="0" w:color="auto"/>
              <w:left w:val="single" w:sz="4" w:space="0" w:color="auto"/>
              <w:bottom w:val="single" w:sz="4" w:space="0" w:color="auto"/>
              <w:right w:val="single" w:sz="4" w:space="0" w:color="auto"/>
            </w:tcBorders>
            <w:vAlign w:val="center"/>
          </w:tcPr>
          <w:p>
            <w:pPr>
              <w:spacing w:after="0" w:line="240" w:lineRule="auto"/>
              <w:jc w:val="center"/>
            </w:pPr>
            <w:r>
              <w:rPr>
                <w:rFonts w:ascii="宋体" w:hAnsi="宋体"/>
                <w:color w:val="000000"/>
                <w:kern w:val="0"/>
                <w:sz w:val="25"/>
                <w:szCs w:val="24"/>
              </w:rPr>
              <w:t>2025年度</w:t>
            </w:r>
          </w:p>
        </w:tc>
        <w:tc>
          <w:tcPr>
            <w:tcW w:w="7" w:type="dxa"/>
            <w:tcBorders>
              <w:top w:val="single" w:sz="4" w:space="0" w:color="auto"/>
              <w:left w:val="single" w:sz="4" w:space="0" w:color="auto"/>
              <w:bottom w:val="single" w:sz="4" w:space="0" w:color="auto"/>
              <w:right w:val="single" w:sz="4" w:space="0" w:color="auto"/>
            </w:tcBorders>
            <w:vAlign w:val="center"/>
          </w:tcPr>
          <w:p>
            <w:pPr>
              <w:spacing w:after="0" w:line="240" w:lineRule="auto"/>
              <w:jc w:val="center"/>
            </w:pPr>
            <w:r>
              <w:rPr>
                <w:rFonts w:ascii="宋体" w:hAnsi="宋体"/>
                <w:color w:val="000000"/>
                <w:kern w:val="0"/>
                <w:sz w:val="25"/>
                <w:szCs w:val="24"/>
              </w:rPr>
              <w:t>30.36%</w:t>
            </w:r>
          </w:p>
        </w:tc>
        <w:tc>
          <w:tcPr>
            <w:tcW w:w="7" w:type="dxa"/>
            <w:tcBorders>
              <w:top w:val="single" w:sz="4" w:space="0" w:color="auto"/>
              <w:left w:val="single" w:sz="4" w:space="0" w:color="auto"/>
              <w:bottom w:val="single" w:sz="4" w:space="0" w:color="auto"/>
              <w:right w:val="single" w:sz="4" w:space="0" w:color="auto"/>
            </w:tcBorders>
            <w:vAlign w:val="center"/>
          </w:tcPr>
          <w:p>
            <w:pPr>
              <w:spacing w:after="0" w:line="240" w:lineRule="auto"/>
              <w:jc w:val="center"/>
            </w:pPr>
            <w:r>
              <w:rPr>
                <w:rFonts w:ascii="宋体" w:hAnsi="宋体"/>
                <w:color w:val="000000"/>
                <w:kern w:val="0"/>
                <w:sz w:val="25"/>
                <w:szCs w:val="24"/>
              </w:rPr>
              <w:t>2.03%</w:t>
            </w:r>
          </w:p>
        </w:tc>
        <w:tc>
          <w:tcPr>
            <w:tcW w:w="7" w:type="dxa"/>
            <w:tcBorders>
              <w:top w:val="single" w:sz="4" w:space="0" w:color="auto"/>
              <w:left w:val="single" w:sz="4" w:space="0" w:color="auto"/>
              <w:bottom w:val="single" w:sz="4" w:space="0" w:color="auto"/>
              <w:right w:val="single" w:sz="4" w:space="0" w:color="auto"/>
            </w:tcBorders>
            <w:vAlign w:val="center"/>
          </w:tcPr>
          <w:p>
            <w:pPr>
              <w:spacing w:after="0" w:line="240" w:lineRule="auto"/>
              <w:jc w:val="center"/>
            </w:pPr>
            <w:r>
              <w:rPr>
                <w:rFonts w:ascii="宋体" w:hAnsi="宋体"/>
                <w:color w:val="000000"/>
                <w:kern w:val="0"/>
                <w:sz w:val="25"/>
                <w:szCs w:val="24"/>
              </w:rPr>
              <w:t>13.13%</w:t>
            </w:r>
          </w:p>
        </w:tc>
        <w:tc>
          <w:tcPr>
            <w:tcW w:w="7" w:type="dxa"/>
            <w:tcBorders>
              <w:top w:val="single" w:sz="4" w:space="0" w:color="auto"/>
              <w:left w:val="single" w:sz="4" w:space="0" w:color="auto"/>
              <w:bottom w:val="single" w:sz="4" w:space="0" w:color="auto"/>
              <w:right w:val="single" w:sz="4" w:space="0" w:color="auto"/>
            </w:tcBorders>
            <w:vAlign w:val="center"/>
          </w:tcPr>
          <w:p>
            <w:pPr>
              <w:spacing w:after="0" w:line="240" w:lineRule="auto"/>
              <w:jc w:val="center"/>
            </w:pPr>
            <w:r>
              <w:rPr>
                <w:rFonts w:ascii="宋体" w:hAnsi="宋体"/>
                <w:color w:val="000000"/>
                <w:kern w:val="0"/>
                <w:sz w:val="25"/>
                <w:szCs w:val="24"/>
              </w:rPr>
              <w:t>0.67%</w:t>
            </w:r>
          </w:p>
        </w:tc>
        <w:tc>
          <w:tcPr>
            <w:tcW w:w="7" w:type="dxa"/>
            <w:tcBorders>
              <w:top w:val="single" w:sz="4" w:space="0" w:color="auto"/>
              <w:left w:val="single" w:sz="4" w:space="0" w:color="auto"/>
              <w:bottom w:val="single" w:sz="4" w:space="0" w:color="auto"/>
              <w:right w:val="single" w:sz="4" w:space="0" w:color="auto"/>
            </w:tcBorders>
            <w:vAlign w:val="center"/>
          </w:tcPr>
          <w:p>
            <w:pPr>
              <w:spacing w:after="0" w:line="240" w:lineRule="auto"/>
              <w:jc w:val="center"/>
            </w:pPr>
            <w:r>
              <w:rPr>
                <w:rFonts w:ascii="宋体" w:hAnsi="宋体"/>
                <w:color w:val="000000"/>
                <w:kern w:val="0"/>
                <w:sz w:val="25"/>
                <w:szCs w:val="24"/>
              </w:rPr>
              <w:t>17.23%</w:t>
            </w:r>
          </w:p>
        </w:tc>
        <w:tc>
          <w:tcPr>
            <w:tcW w:w="7" w:type="dxa"/>
            <w:tcBorders>
              <w:top w:val="single" w:sz="4" w:space="0" w:color="auto"/>
              <w:left w:val="single" w:sz="4" w:space="0" w:color="auto"/>
              <w:bottom w:val="single" w:sz="4" w:space="0" w:color="auto"/>
              <w:right w:val="single" w:sz="4" w:space="0" w:color="auto"/>
            </w:tcBorders>
            <w:vAlign w:val="center"/>
          </w:tcPr>
          <w:p>
            <w:pPr>
              <w:spacing w:after="0" w:line="240" w:lineRule="auto"/>
              <w:jc w:val="center"/>
            </w:pPr>
            <w:r>
              <w:rPr>
                <w:rFonts w:ascii="宋体" w:hAnsi="宋体"/>
                <w:color w:val="000000"/>
                <w:kern w:val="0"/>
                <w:sz w:val="25"/>
                <w:szCs w:val="24"/>
              </w:rPr>
              <w:t>1.36%</w:t>
            </w:r>
          </w:p>
        </w:tc>
      </w:tr>
      <w:tr>
        <w:tblPrEx>
          <w:tblW w:w="5000" w:type="pct"/>
          <w:tblInd w:w="0" w:type="dxa"/>
          <w:tblLayout w:type="fixed"/>
          <w:tblCellMar>
            <w:top w:w="0" w:type="dxa"/>
            <w:left w:w="0" w:type="dxa"/>
            <w:bottom w:w="0" w:type="dxa"/>
            <w:right w:w="0" w:type="dxa"/>
          </w:tblCellMar>
          <w:tblLook w:val="0000"/>
        </w:tblPrEx>
        <w:trPr>
          <w:cantSplit/>
          <w:trHeight w:val="375"/>
        </w:trPr>
        <w:tc>
          <w:tcPr>
            <w:tcW w:w="7" w:type="dxa"/>
            <w:tcBorders>
              <w:top w:val="single" w:sz="4" w:space="0" w:color="auto"/>
              <w:left w:val="single" w:sz="4" w:space="0" w:color="auto"/>
              <w:bottom w:val="single" w:sz="4" w:space="0" w:color="auto"/>
              <w:right w:val="single" w:sz="4" w:space="0" w:color="auto"/>
            </w:tcBorders>
            <w:vAlign w:val="center"/>
          </w:tcPr>
          <w:p>
            <w:pPr>
              <w:spacing w:after="0" w:line="240" w:lineRule="auto"/>
              <w:jc w:val="center"/>
            </w:pPr>
            <w:r>
              <w:rPr>
                <w:rFonts w:ascii="宋体" w:hAnsi="宋体"/>
                <w:color w:val="000000"/>
                <w:kern w:val="0"/>
                <w:sz w:val="25"/>
                <w:szCs w:val="24"/>
              </w:rPr>
              <w:t>2024年度</w:t>
            </w:r>
          </w:p>
        </w:tc>
        <w:tc>
          <w:tcPr>
            <w:tcW w:w="7" w:type="dxa"/>
            <w:tcBorders>
              <w:top w:val="single" w:sz="4" w:space="0" w:color="auto"/>
              <w:left w:val="single" w:sz="4" w:space="0" w:color="auto"/>
              <w:bottom w:val="single" w:sz="4" w:space="0" w:color="auto"/>
              <w:right w:val="single" w:sz="4" w:space="0" w:color="auto"/>
            </w:tcBorders>
            <w:vAlign w:val="center"/>
          </w:tcPr>
          <w:p>
            <w:pPr>
              <w:spacing w:after="0" w:line="240" w:lineRule="auto"/>
              <w:jc w:val="center"/>
            </w:pPr>
            <w:r>
              <w:rPr>
                <w:rFonts w:ascii="宋体" w:hAnsi="宋体"/>
                <w:color w:val="000000"/>
                <w:kern w:val="0"/>
                <w:sz w:val="25"/>
                <w:szCs w:val="24"/>
              </w:rPr>
              <w:t>8.01%</w:t>
            </w:r>
          </w:p>
        </w:tc>
        <w:tc>
          <w:tcPr>
            <w:tcW w:w="7" w:type="dxa"/>
            <w:tcBorders>
              <w:top w:val="single" w:sz="4" w:space="0" w:color="auto"/>
              <w:left w:val="single" w:sz="4" w:space="0" w:color="auto"/>
              <w:bottom w:val="single" w:sz="4" w:space="0" w:color="auto"/>
              <w:right w:val="single" w:sz="4" w:space="0" w:color="auto"/>
            </w:tcBorders>
            <w:vAlign w:val="center"/>
          </w:tcPr>
          <w:p>
            <w:pPr>
              <w:spacing w:after="0" w:line="240" w:lineRule="auto"/>
              <w:jc w:val="center"/>
            </w:pPr>
            <w:r>
              <w:rPr>
                <w:rFonts w:ascii="宋体" w:hAnsi="宋体"/>
                <w:color w:val="000000"/>
                <w:kern w:val="0"/>
                <w:sz w:val="25"/>
                <w:szCs w:val="24"/>
              </w:rPr>
              <w:t>2.02%</w:t>
            </w:r>
          </w:p>
        </w:tc>
        <w:tc>
          <w:tcPr>
            <w:tcW w:w="7" w:type="dxa"/>
            <w:tcBorders>
              <w:top w:val="single" w:sz="4" w:space="0" w:color="auto"/>
              <w:left w:val="single" w:sz="4" w:space="0" w:color="auto"/>
              <w:bottom w:val="single" w:sz="4" w:space="0" w:color="auto"/>
              <w:right w:val="single" w:sz="4" w:space="0" w:color="auto"/>
            </w:tcBorders>
            <w:vAlign w:val="center"/>
          </w:tcPr>
          <w:p>
            <w:pPr>
              <w:spacing w:after="0" w:line="240" w:lineRule="auto"/>
              <w:jc w:val="center"/>
            </w:pPr>
            <w:r>
              <w:rPr>
                <w:rFonts w:ascii="宋体" w:hAnsi="宋体"/>
                <w:color w:val="000000"/>
                <w:kern w:val="0"/>
                <w:sz w:val="25"/>
                <w:szCs w:val="24"/>
              </w:rPr>
              <w:t>13.36%</w:t>
            </w:r>
          </w:p>
        </w:tc>
        <w:tc>
          <w:tcPr>
            <w:tcW w:w="7" w:type="dxa"/>
            <w:tcBorders>
              <w:top w:val="single" w:sz="4" w:space="0" w:color="auto"/>
              <w:left w:val="single" w:sz="4" w:space="0" w:color="auto"/>
              <w:bottom w:val="single" w:sz="4" w:space="0" w:color="auto"/>
              <w:right w:val="single" w:sz="4" w:space="0" w:color="auto"/>
            </w:tcBorders>
            <w:vAlign w:val="center"/>
          </w:tcPr>
          <w:p>
            <w:pPr>
              <w:spacing w:after="0" w:line="240" w:lineRule="auto"/>
              <w:jc w:val="center"/>
            </w:pPr>
            <w:r>
              <w:rPr>
                <w:rFonts w:ascii="宋体" w:hAnsi="宋体"/>
                <w:color w:val="000000"/>
                <w:kern w:val="0"/>
                <w:sz w:val="25"/>
                <w:szCs w:val="24"/>
              </w:rPr>
              <w:t>0.91%</w:t>
            </w:r>
          </w:p>
        </w:tc>
        <w:tc>
          <w:tcPr>
            <w:tcW w:w="7" w:type="dxa"/>
            <w:tcBorders>
              <w:top w:val="single" w:sz="4" w:space="0" w:color="auto"/>
              <w:left w:val="single" w:sz="4" w:space="0" w:color="auto"/>
              <w:bottom w:val="single" w:sz="4" w:space="0" w:color="auto"/>
              <w:right w:val="single" w:sz="4" w:space="0" w:color="auto"/>
            </w:tcBorders>
            <w:vAlign w:val="center"/>
          </w:tcPr>
          <w:p>
            <w:pPr>
              <w:spacing w:after="0" w:line="240" w:lineRule="auto"/>
              <w:jc w:val="center"/>
            </w:pPr>
            <w:r>
              <w:rPr>
                <w:rFonts w:ascii="宋体" w:hAnsi="宋体"/>
                <w:color w:val="000000"/>
                <w:kern w:val="0"/>
                <w:sz w:val="25"/>
                <w:szCs w:val="24"/>
              </w:rPr>
              <w:t>-5.35%</w:t>
            </w:r>
          </w:p>
        </w:tc>
        <w:tc>
          <w:tcPr>
            <w:tcW w:w="7" w:type="dxa"/>
            <w:tcBorders>
              <w:top w:val="single" w:sz="4" w:space="0" w:color="auto"/>
              <w:left w:val="single" w:sz="4" w:space="0" w:color="auto"/>
              <w:bottom w:val="single" w:sz="4" w:space="0" w:color="auto"/>
              <w:right w:val="single" w:sz="4" w:space="0" w:color="auto"/>
            </w:tcBorders>
            <w:vAlign w:val="center"/>
          </w:tcPr>
          <w:p>
            <w:pPr>
              <w:spacing w:after="0" w:line="240" w:lineRule="auto"/>
              <w:jc w:val="center"/>
            </w:pPr>
            <w:r>
              <w:rPr>
                <w:rFonts w:ascii="宋体" w:hAnsi="宋体"/>
                <w:color w:val="000000"/>
                <w:kern w:val="0"/>
                <w:sz w:val="25"/>
                <w:szCs w:val="24"/>
              </w:rPr>
              <w:t>1.11%</w:t>
            </w:r>
          </w:p>
        </w:tc>
      </w:tr>
      <w:tr>
        <w:tblPrEx>
          <w:tblW w:w="5000" w:type="pct"/>
          <w:tblInd w:w="0" w:type="dxa"/>
          <w:tblLayout w:type="fixed"/>
          <w:tblCellMar>
            <w:top w:w="0" w:type="dxa"/>
            <w:left w:w="0" w:type="dxa"/>
            <w:bottom w:w="0" w:type="dxa"/>
            <w:right w:w="0" w:type="dxa"/>
          </w:tblCellMar>
          <w:tblLook w:val="0000"/>
        </w:tblPrEx>
        <w:trPr>
          <w:cantSplit/>
          <w:trHeight w:val="375"/>
        </w:trPr>
        <w:tc>
          <w:tcPr>
            <w:tcW w:w="7" w:type="dxa"/>
            <w:tcBorders>
              <w:top w:val="single" w:sz="4" w:space="0" w:color="auto"/>
              <w:left w:val="single" w:sz="4" w:space="0" w:color="auto"/>
              <w:bottom w:val="single" w:sz="4" w:space="0" w:color="auto"/>
              <w:right w:val="single" w:sz="4" w:space="0" w:color="auto"/>
            </w:tcBorders>
            <w:vAlign w:val="center"/>
          </w:tcPr>
          <w:p>
            <w:pPr>
              <w:spacing w:after="0" w:line="240" w:lineRule="auto"/>
              <w:jc w:val="center"/>
            </w:pPr>
            <w:r>
              <w:rPr>
                <w:rFonts w:ascii="宋体" w:hAnsi="宋体"/>
                <w:color w:val="000000"/>
                <w:kern w:val="0"/>
                <w:sz w:val="25"/>
                <w:szCs w:val="24"/>
              </w:rPr>
              <w:t>2023年度</w:t>
            </w:r>
          </w:p>
        </w:tc>
        <w:tc>
          <w:tcPr>
            <w:tcW w:w="7" w:type="dxa"/>
            <w:tcBorders>
              <w:top w:val="single" w:sz="4" w:space="0" w:color="auto"/>
              <w:left w:val="single" w:sz="4" w:space="0" w:color="auto"/>
              <w:bottom w:val="single" w:sz="4" w:space="0" w:color="auto"/>
              <w:right w:val="single" w:sz="4" w:space="0" w:color="auto"/>
            </w:tcBorders>
            <w:vAlign w:val="center"/>
          </w:tcPr>
          <w:p>
            <w:pPr>
              <w:spacing w:after="0" w:line="240" w:lineRule="auto"/>
              <w:jc w:val="center"/>
            </w:pPr>
            <w:r>
              <w:rPr>
                <w:rFonts w:ascii="宋体" w:hAnsi="宋体"/>
                <w:color w:val="000000"/>
                <w:kern w:val="0"/>
                <w:sz w:val="25"/>
                <w:szCs w:val="24"/>
              </w:rPr>
              <w:t>-15.28%</w:t>
            </w:r>
          </w:p>
        </w:tc>
        <w:tc>
          <w:tcPr>
            <w:tcW w:w="7" w:type="dxa"/>
            <w:tcBorders>
              <w:top w:val="single" w:sz="4" w:space="0" w:color="auto"/>
              <w:left w:val="single" w:sz="4" w:space="0" w:color="auto"/>
              <w:bottom w:val="single" w:sz="4" w:space="0" w:color="auto"/>
              <w:right w:val="single" w:sz="4" w:space="0" w:color="auto"/>
            </w:tcBorders>
            <w:vAlign w:val="center"/>
          </w:tcPr>
          <w:p>
            <w:pPr>
              <w:spacing w:after="0" w:line="240" w:lineRule="auto"/>
              <w:jc w:val="center"/>
            </w:pPr>
            <w:r>
              <w:rPr>
                <w:rFonts w:ascii="宋体" w:hAnsi="宋体"/>
                <w:color w:val="000000"/>
                <w:kern w:val="0"/>
                <w:sz w:val="25"/>
                <w:szCs w:val="24"/>
              </w:rPr>
              <w:t>0.89%</w:t>
            </w:r>
          </w:p>
        </w:tc>
        <w:tc>
          <w:tcPr>
            <w:tcW w:w="7" w:type="dxa"/>
            <w:tcBorders>
              <w:top w:val="single" w:sz="4" w:space="0" w:color="auto"/>
              <w:left w:val="single" w:sz="4" w:space="0" w:color="auto"/>
              <w:bottom w:val="single" w:sz="4" w:space="0" w:color="auto"/>
              <w:right w:val="single" w:sz="4" w:space="0" w:color="auto"/>
            </w:tcBorders>
            <w:vAlign w:val="center"/>
          </w:tcPr>
          <w:p>
            <w:pPr>
              <w:spacing w:after="0" w:line="240" w:lineRule="auto"/>
              <w:jc w:val="center"/>
            </w:pPr>
            <w:r>
              <w:rPr>
                <w:rFonts w:ascii="宋体" w:hAnsi="宋体"/>
                <w:color w:val="000000"/>
                <w:kern w:val="0"/>
                <w:sz w:val="25"/>
                <w:szCs w:val="24"/>
              </w:rPr>
              <w:t>-6.70%</w:t>
            </w:r>
          </w:p>
        </w:tc>
        <w:tc>
          <w:tcPr>
            <w:tcW w:w="7" w:type="dxa"/>
            <w:tcBorders>
              <w:top w:val="single" w:sz="4" w:space="0" w:color="auto"/>
              <w:left w:val="single" w:sz="4" w:space="0" w:color="auto"/>
              <w:bottom w:val="single" w:sz="4" w:space="0" w:color="auto"/>
              <w:right w:val="single" w:sz="4" w:space="0" w:color="auto"/>
            </w:tcBorders>
            <w:vAlign w:val="center"/>
          </w:tcPr>
          <w:p>
            <w:pPr>
              <w:spacing w:after="0" w:line="240" w:lineRule="auto"/>
              <w:jc w:val="center"/>
            </w:pPr>
            <w:r>
              <w:rPr>
                <w:rFonts w:ascii="宋体" w:hAnsi="宋体"/>
                <w:color w:val="000000"/>
                <w:kern w:val="0"/>
                <w:sz w:val="25"/>
                <w:szCs w:val="24"/>
              </w:rPr>
              <w:t>0.60%</w:t>
            </w:r>
          </w:p>
        </w:tc>
        <w:tc>
          <w:tcPr>
            <w:tcW w:w="7" w:type="dxa"/>
            <w:tcBorders>
              <w:top w:val="single" w:sz="4" w:space="0" w:color="auto"/>
              <w:left w:val="single" w:sz="4" w:space="0" w:color="auto"/>
              <w:bottom w:val="single" w:sz="4" w:space="0" w:color="auto"/>
              <w:right w:val="single" w:sz="4" w:space="0" w:color="auto"/>
            </w:tcBorders>
            <w:vAlign w:val="center"/>
          </w:tcPr>
          <w:p>
            <w:pPr>
              <w:spacing w:after="0" w:line="240" w:lineRule="auto"/>
              <w:jc w:val="center"/>
            </w:pPr>
            <w:r>
              <w:rPr>
                <w:rFonts w:ascii="宋体" w:hAnsi="宋体"/>
                <w:color w:val="000000"/>
                <w:kern w:val="0"/>
                <w:sz w:val="25"/>
                <w:szCs w:val="24"/>
              </w:rPr>
              <w:t>-8.58%</w:t>
            </w:r>
          </w:p>
        </w:tc>
        <w:tc>
          <w:tcPr>
            <w:tcW w:w="7" w:type="dxa"/>
            <w:tcBorders>
              <w:top w:val="single" w:sz="4" w:space="0" w:color="auto"/>
              <w:left w:val="single" w:sz="4" w:space="0" w:color="auto"/>
              <w:bottom w:val="single" w:sz="4" w:space="0" w:color="auto"/>
              <w:right w:val="single" w:sz="4" w:space="0" w:color="auto"/>
            </w:tcBorders>
            <w:vAlign w:val="center"/>
          </w:tcPr>
          <w:p>
            <w:pPr>
              <w:spacing w:after="0" w:line="240" w:lineRule="auto"/>
              <w:jc w:val="center"/>
            </w:pPr>
            <w:r>
              <w:rPr>
                <w:rFonts w:ascii="宋体" w:hAnsi="宋体"/>
                <w:color w:val="000000"/>
                <w:kern w:val="0"/>
                <w:sz w:val="25"/>
                <w:szCs w:val="24"/>
              </w:rPr>
              <w:t>0.29%</w:t>
            </w:r>
          </w:p>
        </w:tc>
      </w:tr>
      <w:tr>
        <w:tblPrEx>
          <w:tblW w:w="5000" w:type="pct"/>
          <w:tblInd w:w="0" w:type="dxa"/>
          <w:tblLayout w:type="fixed"/>
          <w:tblCellMar>
            <w:top w:w="0" w:type="dxa"/>
            <w:left w:w="0" w:type="dxa"/>
            <w:bottom w:w="0" w:type="dxa"/>
            <w:right w:w="0" w:type="dxa"/>
          </w:tblCellMar>
          <w:tblLook w:val="0000"/>
        </w:tblPrEx>
        <w:trPr>
          <w:cantSplit/>
          <w:trHeight w:val="375"/>
        </w:trPr>
        <w:tc>
          <w:tcPr>
            <w:tcW w:w="7" w:type="dxa"/>
            <w:tcBorders>
              <w:top w:val="single" w:sz="4" w:space="0" w:color="auto"/>
              <w:left w:val="single" w:sz="4" w:space="0" w:color="auto"/>
              <w:bottom w:val="single" w:sz="4" w:space="0" w:color="auto"/>
              <w:right w:val="single" w:sz="4" w:space="0" w:color="auto"/>
            </w:tcBorders>
            <w:vAlign w:val="center"/>
          </w:tcPr>
          <w:p>
            <w:pPr>
              <w:spacing w:after="0" w:line="240" w:lineRule="auto"/>
              <w:jc w:val="center"/>
            </w:pPr>
            <w:r>
              <w:rPr>
                <w:rFonts w:ascii="宋体" w:hAnsi="宋体"/>
                <w:color w:val="000000"/>
                <w:kern w:val="0"/>
                <w:sz w:val="25"/>
                <w:szCs w:val="24"/>
              </w:rPr>
              <w:t>2022年度（自基金合同生效起至2022年12月31日）</w:t>
            </w:r>
          </w:p>
        </w:tc>
        <w:tc>
          <w:tcPr>
            <w:tcW w:w="7" w:type="dxa"/>
            <w:tcBorders>
              <w:top w:val="single" w:sz="4" w:space="0" w:color="auto"/>
              <w:left w:val="single" w:sz="4" w:space="0" w:color="auto"/>
              <w:bottom w:val="single" w:sz="4" w:space="0" w:color="auto"/>
              <w:right w:val="single" w:sz="4" w:space="0" w:color="auto"/>
            </w:tcBorders>
            <w:vAlign w:val="center"/>
          </w:tcPr>
          <w:p>
            <w:pPr>
              <w:spacing w:after="0" w:line="240" w:lineRule="auto"/>
              <w:jc w:val="center"/>
            </w:pPr>
            <w:r>
              <w:rPr>
                <w:rFonts w:ascii="宋体" w:hAnsi="宋体"/>
                <w:color w:val="000000"/>
                <w:kern w:val="0"/>
                <w:sz w:val="25"/>
                <w:szCs w:val="24"/>
              </w:rPr>
              <w:t>-0.63%</w:t>
            </w:r>
          </w:p>
        </w:tc>
        <w:tc>
          <w:tcPr>
            <w:tcW w:w="7" w:type="dxa"/>
            <w:tcBorders>
              <w:top w:val="single" w:sz="4" w:space="0" w:color="auto"/>
              <w:left w:val="single" w:sz="4" w:space="0" w:color="auto"/>
              <w:bottom w:val="single" w:sz="4" w:space="0" w:color="auto"/>
              <w:right w:val="single" w:sz="4" w:space="0" w:color="auto"/>
            </w:tcBorders>
            <w:vAlign w:val="center"/>
          </w:tcPr>
          <w:p>
            <w:pPr>
              <w:spacing w:after="0" w:line="240" w:lineRule="auto"/>
              <w:jc w:val="center"/>
            </w:pPr>
            <w:r>
              <w:rPr>
                <w:rFonts w:ascii="宋体" w:hAnsi="宋体"/>
                <w:color w:val="000000"/>
                <w:kern w:val="0"/>
                <w:sz w:val="25"/>
                <w:szCs w:val="24"/>
              </w:rPr>
              <w:t>0.19%</w:t>
            </w:r>
          </w:p>
        </w:tc>
        <w:tc>
          <w:tcPr>
            <w:tcW w:w="7" w:type="dxa"/>
            <w:tcBorders>
              <w:top w:val="single" w:sz="4" w:space="0" w:color="auto"/>
              <w:left w:val="single" w:sz="4" w:space="0" w:color="auto"/>
              <w:bottom w:val="single" w:sz="4" w:space="0" w:color="auto"/>
              <w:right w:val="single" w:sz="4" w:space="0" w:color="auto"/>
            </w:tcBorders>
            <w:vAlign w:val="center"/>
          </w:tcPr>
          <w:p>
            <w:pPr>
              <w:spacing w:after="0" w:line="240" w:lineRule="auto"/>
              <w:jc w:val="center"/>
            </w:pPr>
            <w:r>
              <w:rPr>
                <w:rFonts w:ascii="宋体" w:hAnsi="宋体"/>
                <w:color w:val="000000"/>
                <w:kern w:val="0"/>
                <w:sz w:val="25"/>
                <w:szCs w:val="24"/>
              </w:rPr>
              <w:t>0.89%</w:t>
            </w:r>
          </w:p>
        </w:tc>
        <w:tc>
          <w:tcPr>
            <w:tcW w:w="7" w:type="dxa"/>
            <w:tcBorders>
              <w:top w:val="single" w:sz="4" w:space="0" w:color="auto"/>
              <w:left w:val="single" w:sz="4" w:space="0" w:color="auto"/>
              <w:bottom w:val="single" w:sz="4" w:space="0" w:color="auto"/>
              <w:right w:val="single" w:sz="4" w:space="0" w:color="auto"/>
            </w:tcBorders>
            <w:vAlign w:val="center"/>
          </w:tcPr>
          <w:p>
            <w:pPr>
              <w:spacing w:after="0" w:line="240" w:lineRule="auto"/>
              <w:jc w:val="center"/>
            </w:pPr>
            <w:r>
              <w:rPr>
                <w:rFonts w:ascii="宋体" w:hAnsi="宋体"/>
                <w:color w:val="000000"/>
                <w:kern w:val="0"/>
                <w:sz w:val="25"/>
                <w:szCs w:val="24"/>
              </w:rPr>
              <w:t>0.58%</w:t>
            </w:r>
          </w:p>
        </w:tc>
        <w:tc>
          <w:tcPr>
            <w:tcW w:w="7" w:type="dxa"/>
            <w:tcBorders>
              <w:top w:val="single" w:sz="4" w:space="0" w:color="auto"/>
              <w:left w:val="single" w:sz="4" w:space="0" w:color="auto"/>
              <w:bottom w:val="single" w:sz="4" w:space="0" w:color="auto"/>
              <w:right w:val="single" w:sz="4" w:space="0" w:color="auto"/>
            </w:tcBorders>
            <w:vAlign w:val="center"/>
          </w:tcPr>
          <w:p>
            <w:pPr>
              <w:spacing w:after="0" w:line="240" w:lineRule="auto"/>
              <w:jc w:val="center"/>
            </w:pPr>
            <w:r>
              <w:rPr>
                <w:rFonts w:ascii="宋体" w:hAnsi="宋体"/>
                <w:color w:val="000000"/>
                <w:kern w:val="0"/>
                <w:sz w:val="25"/>
                <w:szCs w:val="24"/>
              </w:rPr>
              <w:t>-1.52%</w:t>
            </w:r>
          </w:p>
        </w:tc>
        <w:tc>
          <w:tcPr>
            <w:tcW w:w="7" w:type="dxa"/>
            <w:tcBorders>
              <w:top w:val="single" w:sz="4" w:space="0" w:color="auto"/>
              <w:left w:val="single" w:sz="4" w:space="0" w:color="auto"/>
              <w:bottom w:val="single" w:sz="4" w:space="0" w:color="auto"/>
              <w:right w:val="single" w:sz="4" w:space="0" w:color="auto"/>
            </w:tcBorders>
            <w:vAlign w:val="center"/>
          </w:tcPr>
          <w:p>
            <w:pPr>
              <w:spacing w:after="0" w:line="240" w:lineRule="auto"/>
              <w:jc w:val="center"/>
            </w:pPr>
            <w:r>
              <w:rPr>
                <w:rFonts w:ascii="宋体" w:hAnsi="宋体"/>
                <w:color w:val="000000"/>
                <w:kern w:val="0"/>
                <w:sz w:val="25"/>
                <w:szCs w:val="24"/>
              </w:rPr>
              <w:t>-0.39%</w:t>
            </w:r>
          </w:p>
        </w:tc>
      </w:tr>
    </w:tbl>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（2）交银启衡混合C</w:t>
      </w:r>
    </w:p>
    <w:tbl>
      <w:tblPr>
        <w:tblW w:w="5000" w:type="pct"/>
        <w:tblInd w:w="0" w:type="dxa"/>
        <w:tblLayout w:type="fixed"/>
        <w:tblCellMar>
          <w:top w:w="0" w:type="dxa"/>
          <w:left w:w="0" w:type="dxa"/>
          <w:bottom w:w="0" w:type="dxa"/>
          <w:right w:w="0" w:type="dxa"/>
        </w:tblCellMar>
        <w:tblLook w:val="0000"/>
      </w:tblPr>
      <w:tblGrid>
        <w:gridCol w:w="1238"/>
        <w:gridCol w:w="1238"/>
        <w:gridCol w:w="1238"/>
        <w:gridCol w:w="1239"/>
        <w:gridCol w:w="1239"/>
        <w:gridCol w:w="1239"/>
        <w:gridCol w:w="1239"/>
      </w:tblGrid>
      <w:tr>
        <w:tblPrEx>
          <w:tblW w:w="5000" w:type="pct"/>
          <w:tblInd w:w="0" w:type="dxa"/>
          <w:tblLayout w:type="fixed"/>
          <w:tblCellMar>
            <w:top w:w="0" w:type="dxa"/>
            <w:left w:w="0" w:type="dxa"/>
            <w:bottom w:w="0" w:type="dxa"/>
            <w:right w:w="0" w:type="dxa"/>
          </w:tblCellMar>
          <w:tblLook w:val="0000"/>
        </w:tblPrEx>
        <w:trPr>
          <w:cantSplit/>
          <w:trHeight w:val="375"/>
        </w:trPr>
        <w:tc>
          <w:tcPr>
            <w:tcW w:w="7" w:type="dxa"/>
            <w:vMerge w:val="restart"/>
            <w:tcBorders>
              <w:top w:val="single" w:sz="4" w:space="0" w:color="auto"/>
              <w:left w:val="single" w:sz="4" w:space="0" w:color="auto"/>
              <w:bottom w:val="single" w:sz="4" w:space="0" w:color="auto"/>
              <w:right w:val="single" w:sz="4" w:space="0" w:color="auto"/>
            </w:tcBorders>
            <w:vAlign w:val="center"/>
          </w:tcPr>
          <w:p>
            <w:pPr>
              <w:spacing w:after="0" w:line="240" w:lineRule="auto"/>
              <w:jc w:val="center"/>
            </w:pPr>
            <w:r>
              <w:rPr>
                <w:rFonts w:ascii="宋体" w:hAnsi="宋体"/>
                <w:color w:val="000000"/>
                <w:kern w:val="0"/>
                <w:sz w:val="25"/>
                <w:szCs w:val="24"/>
              </w:rPr>
              <w:t>阶段</w:t>
            </w:r>
          </w:p>
        </w:tc>
        <w:tc>
          <w:tcPr>
            <w:tcW w:w="7" w:type="dxa"/>
            <w:vMerge w:val="restart"/>
            <w:tcBorders>
              <w:top w:val="single" w:sz="4" w:space="0" w:color="auto"/>
              <w:left w:val="single" w:sz="4" w:space="0" w:color="auto"/>
              <w:bottom w:val="single" w:sz="4" w:space="0" w:color="auto"/>
              <w:right w:val="single" w:sz="4" w:space="0" w:color="auto"/>
            </w:tcBorders>
            <w:vAlign w:val="center"/>
          </w:tcPr>
          <w:p>
            <w:pPr>
              <w:spacing w:after="0" w:line="240" w:lineRule="auto"/>
              <w:jc w:val="center"/>
            </w:pPr>
            <w:r>
              <w:rPr>
                <w:rFonts w:ascii="宋体" w:hAnsi="宋体"/>
                <w:color w:val="000000"/>
                <w:kern w:val="0"/>
                <w:sz w:val="25"/>
                <w:szCs w:val="24"/>
              </w:rPr>
              <w:t>净值增长率①</w:t>
            </w:r>
          </w:p>
        </w:tc>
        <w:tc>
          <w:tcPr>
            <w:tcW w:w="7" w:type="dxa"/>
            <w:vMerge w:val="restart"/>
            <w:tcBorders>
              <w:top w:val="single" w:sz="4" w:space="0" w:color="auto"/>
              <w:left w:val="single" w:sz="4" w:space="0" w:color="auto"/>
              <w:bottom w:val="single" w:sz="4" w:space="0" w:color="auto"/>
              <w:right w:val="single" w:sz="4" w:space="0" w:color="auto"/>
            </w:tcBorders>
            <w:vAlign w:val="center"/>
          </w:tcPr>
          <w:p>
            <w:pPr>
              <w:spacing w:after="0" w:line="240" w:lineRule="auto"/>
              <w:jc w:val="center"/>
            </w:pPr>
            <w:r>
              <w:rPr>
                <w:rFonts w:ascii="宋体" w:hAnsi="宋体"/>
                <w:color w:val="000000"/>
                <w:kern w:val="0"/>
                <w:sz w:val="25"/>
                <w:szCs w:val="24"/>
              </w:rPr>
              <w:t>净值增长率标准差②</w:t>
            </w:r>
          </w:p>
        </w:tc>
        <w:tc>
          <w:tcPr>
            <w:tcW w:w="7" w:type="dxa"/>
            <w:vMerge w:val="restart"/>
            <w:tcBorders>
              <w:top w:val="single" w:sz="4" w:space="0" w:color="auto"/>
              <w:left w:val="single" w:sz="4" w:space="0" w:color="auto"/>
              <w:bottom w:val="single" w:sz="4" w:space="0" w:color="auto"/>
              <w:right w:val="single" w:sz="4" w:space="0" w:color="auto"/>
            </w:tcBorders>
            <w:vAlign w:val="center"/>
          </w:tcPr>
          <w:p>
            <w:pPr>
              <w:spacing w:after="0" w:line="240" w:lineRule="auto"/>
              <w:jc w:val="center"/>
            </w:pPr>
            <w:r>
              <w:rPr>
                <w:rFonts w:ascii="宋体" w:hAnsi="宋体"/>
                <w:color w:val="000000"/>
                <w:kern w:val="0"/>
                <w:sz w:val="25"/>
                <w:szCs w:val="24"/>
              </w:rPr>
              <w:t>业绩比较基准收益率③</w:t>
            </w:r>
          </w:p>
        </w:tc>
        <w:tc>
          <w:tcPr>
            <w:tcW w:w="7" w:type="dxa"/>
            <w:vMerge w:val="restart"/>
            <w:tcBorders>
              <w:top w:val="single" w:sz="4" w:space="0" w:color="auto"/>
              <w:left w:val="single" w:sz="4" w:space="0" w:color="auto"/>
              <w:bottom w:val="single" w:sz="4" w:space="0" w:color="auto"/>
              <w:right w:val="single" w:sz="4" w:space="0" w:color="auto"/>
            </w:tcBorders>
            <w:vAlign w:val="center"/>
          </w:tcPr>
          <w:p>
            <w:pPr>
              <w:spacing w:after="0" w:line="240" w:lineRule="auto"/>
              <w:jc w:val="center"/>
            </w:pPr>
            <w:r>
              <w:rPr>
                <w:rFonts w:ascii="宋体" w:hAnsi="宋体"/>
                <w:color w:val="000000"/>
                <w:kern w:val="0"/>
                <w:sz w:val="25"/>
                <w:szCs w:val="24"/>
              </w:rPr>
              <w:t>业绩比较基准收益率标准差④</w:t>
            </w:r>
          </w:p>
        </w:tc>
        <w:tc>
          <w:tcPr>
            <w:tcW w:w="7" w:type="dxa"/>
            <w:vMerge w:val="restart"/>
            <w:tcBorders>
              <w:top w:val="single" w:sz="4" w:space="0" w:color="auto"/>
              <w:left w:val="single" w:sz="4" w:space="0" w:color="auto"/>
              <w:bottom w:val="single" w:sz="4" w:space="0" w:color="auto"/>
              <w:right w:val="single" w:sz="4" w:space="0" w:color="auto"/>
            </w:tcBorders>
            <w:vAlign w:val="center"/>
          </w:tcPr>
          <w:p>
            <w:pPr>
              <w:spacing w:after="0" w:line="240" w:lineRule="auto"/>
              <w:jc w:val="center"/>
            </w:pPr>
            <w:r>
              <w:rPr>
                <w:rFonts w:ascii="宋体" w:hAnsi="宋体"/>
                <w:color w:val="000000"/>
                <w:kern w:val="0"/>
                <w:sz w:val="25"/>
                <w:szCs w:val="24"/>
              </w:rPr>
              <w:t>①-③</w:t>
            </w:r>
          </w:p>
        </w:tc>
        <w:tc>
          <w:tcPr>
            <w:tcW w:w="7" w:type="dxa"/>
            <w:vMerge w:val="restart"/>
            <w:tcBorders>
              <w:top w:val="single" w:sz="4" w:space="0" w:color="auto"/>
              <w:left w:val="single" w:sz="4" w:space="0" w:color="auto"/>
              <w:bottom w:val="single" w:sz="4" w:space="0" w:color="auto"/>
              <w:right w:val="single" w:sz="4" w:space="0" w:color="auto"/>
            </w:tcBorders>
            <w:vAlign w:val="center"/>
          </w:tcPr>
          <w:p>
            <w:pPr>
              <w:spacing w:after="0" w:line="240" w:lineRule="auto"/>
              <w:jc w:val="center"/>
            </w:pPr>
            <w:r>
              <w:rPr>
                <w:rFonts w:ascii="宋体" w:hAnsi="宋体"/>
                <w:color w:val="000000"/>
                <w:kern w:val="0"/>
                <w:sz w:val="25"/>
                <w:szCs w:val="24"/>
              </w:rPr>
              <w:t>②-④</w:t>
            </w:r>
          </w:p>
        </w:tc>
      </w:tr>
      <w:tr>
        <w:tblPrEx>
          <w:tblW w:w="5000" w:type="pct"/>
          <w:tblInd w:w="0" w:type="dxa"/>
          <w:tblLayout w:type="fixed"/>
          <w:tblCellMar>
            <w:top w:w="0" w:type="dxa"/>
            <w:left w:w="0" w:type="dxa"/>
            <w:bottom w:w="0" w:type="dxa"/>
            <w:right w:w="0" w:type="dxa"/>
          </w:tblCellMar>
          <w:tblLook w:val="0000"/>
        </w:tblPrEx>
        <w:trPr>
          <w:cantSplit/>
          <w:trHeight w:val="375"/>
        </w:trPr>
        <w:tc>
          <w:tcPr>
            <w:tcW w:w="7" w:type="dxa"/>
            <w:vMerge w:val="restart"/>
            <w:tcBorders>
              <w:top w:val="single" w:sz="4" w:space="0" w:color="auto"/>
              <w:left w:val="single" w:sz="4" w:space="0" w:color="auto"/>
              <w:bottom w:val="single" w:sz="4" w:space="0" w:color="auto"/>
              <w:right w:val="single" w:sz="4" w:space="0" w:color="auto"/>
            </w:tcBorders>
            <w:vAlign w:val="center"/>
          </w:tcPr>
          <w:p>
            <w:pPr>
              <w:spacing w:after="0" w:line="240" w:lineRule="auto"/>
              <w:jc w:val="center"/>
            </w:pPr>
            <w:r>
              <w:rPr>
                <w:rFonts w:ascii="宋体" w:hAnsi="宋体"/>
                <w:color w:val="000000"/>
                <w:kern w:val="0"/>
                <w:sz w:val="25"/>
                <w:szCs w:val="24"/>
              </w:rPr>
              <w:t>过去三个月</w:t>
            </w:r>
          </w:p>
        </w:tc>
        <w:tc>
          <w:tcPr>
            <w:tcW w:w="7" w:type="dxa"/>
            <w:vMerge w:val="restart"/>
            <w:tcBorders>
              <w:top w:val="single" w:sz="4" w:space="0" w:color="auto"/>
              <w:left w:val="single" w:sz="4" w:space="0" w:color="auto"/>
              <w:bottom w:val="single" w:sz="4" w:space="0" w:color="auto"/>
              <w:right w:val="single" w:sz="4" w:space="0" w:color="auto"/>
            </w:tcBorders>
            <w:vAlign w:val="center"/>
          </w:tcPr>
          <w:p>
            <w:pPr>
              <w:spacing w:after="0" w:line="240" w:lineRule="auto"/>
              <w:jc w:val="center"/>
            </w:pPr>
            <w:r>
              <w:rPr>
                <w:rFonts w:ascii="宋体" w:hAnsi="宋体"/>
                <w:color w:val="000000"/>
                <w:kern w:val="0"/>
                <w:sz w:val="25"/>
                <w:szCs w:val="24"/>
              </w:rPr>
              <w:t>-8.02%</w:t>
            </w:r>
          </w:p>
        </w:tc>
        <w:tc>
          <w:tcPr>
            <w:tcW w:w="7" w:type="dxa"/>
            <w:vMerge w:val="restart"/>
            <w:tcBorders>
              <w:top w:val="single" w:sz="4" w:space="0" w:color="auto"/>
              <w:left w:val="single" w:sz="4" w:space="0" w:color="auto"/>
              <w:bottom w:val="single" w:sz="4" w:space="0" w:color="auto"/>
              <w:right w:val="single" w:sz="4" w:space="0" w:color="auto"/>
            </w:tcBorders>
            <w:vAlign w:val="center"/>
          </w:tcPr>
          <w:p>
            <w:pPr>
              <w:spacing w:after="0" w:line="240" w:lineRule="auto"/>
              <w:jc w:val="center"/>
            </w:pPr>
            <w:r>
              <w:rPr>
                <w:rFonts w:ascii="宋体" w:hAnsi="宋体"/>
                <w:color w:val="000000"/>
                <w:kern w:val="0"/>
                <w:sz w:val="25"/>
                <w:szCs w:val="24"/>
              </w:rPr>
              <w:t>1.28%</w:t>
            </w:r>
          </w:p>
        </w:tc>
        <w:tc>
          <w:tcPr>
            <w:tcW w:w="7" w:type="dxa"/>
            <w:vMerge w:val="restart"/>
            <w:tcBorders>
              <w:top w:val="single" w:sz="4" w:space="0" w:color="auto"/>
              <w:left w:val="single" w:sz="4" w:space="0" w:color="auto"/>
              <w:bottom w:val="single" w:sz="4" w:space="0" w:color="auto"/>
              <w:right w:val="single" w:sz="4" w:space="0" w:color="auto"/>
            </w:tcBorders>
            <w:vAlign w:val="center"/>
          </w:tcPr>
          <w:p>
            <w:pPr>
              <w:spacing w:after="0" w:line="240" w:lineRule="auto"/>
              <w:jc w:val="center"/>
            </w:pPr>
            <w:r>
              <w:rPr>
                <w:rFonts w:ascii="宋体" w:hAnsi="宋体"/>
                <w:color w:val="000000"/>
                <w:kern w:val="0"/>
                <w:sz w:val="25"/>
                <w:szCs w:val="24"/>
              </w:rPr>
              <w:t>7.65%</w:t>
            </w:r>
          </w:p>
        </w:tc>
        <w:tc>
          <w:tcPr>
            <w:tcW w:w="7" w:type="dxa"/>
            <w:vMerge w:val="restart"/>
            <w:tcBorders>
              <w:top w:val="single" w:sz="4" w:space="0" w:color="auto"/>
              <w:left w:val="single" w:sz="4" w:space="0" w:color="auto"/>
              <w:bottom w:val="single" w:sz="4" w:space="0" w:color="auto"/>
              <w:right w:val="single" w:sz="4" w:space="0" w:color="auto"/>
            </w:tcBorders>
            <w:vAlign w:val="center"/>
          </w:tcPr>
          <w:p>
            <w:pPr>
              <w:spacing w:after="0" w:line="240" w:lineRule="auto"/>
              <w:jc w:val="center"/>
            </w:pPr>
            <w:r>
              <w:rPr>
                <w:rFonts w:ascii="宋体" w:hAnsi="宋体"/>
                <w:color w:val="000000"/>
                <w:kern w:val="0"/>
                <w:sz w:val="25"/>
                <w:szCs w:val="24"/>
              </w:rPr>
              <w:t>0.85%</w:t>
            </w:r>
          </w:p>
        </w:tc>
        <w:tc>
          <w:tcPr>
            <w:tcW w:w="7" w:type="dxa"/>
            <w:vMerge w:val="restart"/>
            <w:tcBorders>
              <w:top w:val="single" w:sz="4" w:space="0" w:color="auto"/>
              <w:left w:val="single" w:sz="4" w:space="0" w:color="auto"/>
              <w:bottom w:val="single" w:sz="4" w:space="0" w:color="auto"/>
              <w:right w:val="single" w:sz="4" w:space="0" w:color="auto"/>
            </w:tcBorders>
            <w:vAlign w:val="center"/>
          </w:tcPr>
          <w:p>
            <w:pPr>
              <w:spacing w:after="0" w:line="240" w:lineRule="auto"/>
              <w:jc w:val="center"/>
            </w:pPr>
            <w:r>
              <w:rPr>
                <w:rFonts w:ascii="宋体" w:hAnsi="宋体"/>
                <w:color w:val="000000"/>
                <w:kern w:val="0"/>
                <w:sz w:val="25"/>
                <w:szCs w:val="24"/>
              </w:rPr>
              <w:t>-15.67%</w:t>
            </w:r>
          </w:p>
        </w:tc>
        <w:tc>
          <w:tcPr>
            <w:tcW w:w="7" w:type="dxa"/>
            <w:vMerge w:val="restart"/>
            <w:tcBorders>
              <w:top w:val="single" w:sz="4" w:space="0" w:color="auto"/>
              <w:left w:val="single" w:sz="4" w:space="0" w:color="auto"/>
              <w:bottom w:val="single" w:sz="4" w:space="0" w:color="auto"/>
              <w:right w:val="single" w:sz="4" w:space="0" w:color="auto"/>
            </w:tcBorders>
            <w:vAlign w:val="center"/>
          </w:tcPr>
          <w:p>
            <w:pPr>
              <w:spacing w:after="0" w:line="240" w:lineRule="auto"/>
              <w:jc w:val="center"/>
            </w:pPr>
            <w:r>
              <w:rPr>
                <w:rFonts w:ascii="宋体" w:hAnsi="宋体"/>
                <w:color w:val="000000"/>
                <w:kern w:val="0"/>
                <w:sz w:val="25"/>
                <w:szCs w:val="24"/>
              </w:rPr>
              <w:t>0.43%</w:t>
            </w:r>
          </w:p>
        </w:tc>
      </w:tr>
      <w:tr>
        <w:tblPrEx>
          <w:tblW w:w="5000" w:type="pct"/>
          <w:tblInd w:w="0" w:type="dxa"/>
          <w:tblLayout w:type="fixed"/>
          <w:tblCellMar>
            <w:top w:w="0" w:type="dxa"/>
            <w:left w:w="0" w:type="dxa"/>
            <w:bottom w:w="0" w:type="dxa"/>
            <w:right w:w="0" w:type="dxa"/>
          </w:tblCellMar>
          <w:tblLook w:val="0000"/>
        </w:tblPrEx>
        <w:trPr>
          <w:cantSplit/>
          <w:trHeight w:val="375"/>
        </w:trPr>
        <w:tc>
          <w:tcPr>
            <w:tcW w:w="7" w:type="dxa"/>
            <w:tcBorders>
              <w:top w:val="single" w:sz="4" w:space="0" w:color="auto"/>
              <w:left w:val="single" w:sz="4" w:space="0" w:color="auto"/>
              <w:bottom w:val="single" w:sz="4" w:space="0" w:color="auto"/>
              <w:right w:val="single" w:sz="4" w:space="0" w:color="auto"/>
            </w:tcBorders>
            <w:vAlign w:val="center"/>
          </w:tcPr>
          <w:p>
            <w:pPr>
              <w:spacing w:after="0" w:line="240" w:lineRule="auto"/>
              <w:jc w:val="center"/>
            </w:pPr>
            <w:r>
              <w:rPr>
                <w:rFonts w:ascii="宋体" w:hAnsi="宋体"/>
                <w:color w:val="000000"/>
                <w:kern w:val="0"/>
                <w:sz w:val="25"/>
                <w:szCs w:val="24"/>
              </w:rPr>
              <w:t>2026年上半年</w:t>
            </w:r>
          </w:p>
        </w:tc>
        <w:tc>
          <w:tcPr>
            <w:tcW w:w="7" w:type="dxa"/>
            <w:tcBorders>
              <w:top w:val="single" w:sz="4" w:space="0" w:color="auto"/>
              <w:left w:val="single" w:sz="4" w:space="0" w:color="auto"/>
              <w:bottom w:val="single" w:sz="4" w:space="0" w:color="auto"/>
              <w:right w:val="single" w:sz="4" w:space="0" w:color="auto"/>
            </w:tcBorders>
            <w:vAlign w:val="center"/>
          </w:tcPr>
          <w:p>
            <w:pPr>
              <w:spacing w:after="0" w:line="240" w:lineRule="auto"/>
              <w:jc w:val="center"/>
            </w:pPr>
            <w:r>
              <w:rPr>
                <w:rFonts w:ascii="宋体" w:hAnsi="宋体"/>
                <w:color w:val="000000"/>
                <w:kern w:val="0"/>
                <w:sz w:val="25"/>
                <w:szCs w:val="24"/>
              </w:rPr>
              <w:t>-22.75%</w:t>
            </w:r>
          </w:p>
        </w:tc>
        <w:tc>
          <w:tcPr>
            <w:tcW w:w="7" w:type="dxa"/>
            <w:tcBorders>
              <w:top w:val="single" w:sz="4" w:space="0" w:color="auto"/>
              <w:left w:val="single" w:sz="4" w:space="0" w:color="auto"/>
              <w:bottom w:val="single" w:sz="4" w:space="0" w:color="auto"/>
              <w:right w:val="single" w:sz="4" w:space="0" w:color="auto"/>
            </w:tcBorders>
            <w:vAlign w:val="center"/>
          </w:tcPr>
          <w:p>
            <w:pPr>
              <w:spacing w:after="0" w:line="240" w:lineRule="auto"/>
              <w:jc w:val="center"/>
            </w:pPr>
            <w:r>
              <w:rPr>
                <w:rFonts w:ascii="宋体" w:hAnsi="宋体"/>
                <w:color w:val="000000"/>
                <w:kern w:val="0"/>
                <w:sz w:val="25"/>
                <w:szCs w:val="24"/>
              </w:rPr>
              <w:t>1.47%</w:t>
            </w:r>
          </w:p>
        </w:tc>
        <w:tc>
          <w:tcPr>
            <w:tcW w:w="7" w:type="dxa"/>
            <w:tcBorders>
              <w:top w:val="single" w:sz="4" w:space="0" w:color="auto"/>
              <w:left w:val="single" w:sz="4" w:space="0" w:color="auto"/>
              <w:bottom w:val="single" w:sz="4" w:space="0" w:color="auto"/>
              <w:right w:val="single" w:sz="4" w:space="0" w:color="auto"/>
            </w:tcBorders>
            <w:vAlign w:val="center"/>
          </w:tcPr>
          <w:p>
            <w:pPr>
              <w:spacing w:after="0" w:line="240" w:lineRule="auto"/>
              <w:jc w:val="center"/>
            </w:pPr>
            <w:r>
              <w:rPr>
                <w:rFonts w:ascii="宋体" w:hAnsi="宋体"/>
                <w:color w:val="000000"/>
                <w:kern w:val="0"/>
                <w:sz w:val="25"/>
                <w:szCs w:val="24"/>
              </w:rPr>
              <w:t>5.06%</w:t>
            </w:r>
          </w:p>
        </w:tc>
        <w:tc>
          <w:tcPr>
            <w:tcW w:w="7" w:type="dxa"/>
            <w:tcBorders>
              <w:top w:val="single" w:sz="4" w:space="0" w:color="auto"/>
              <w:left w:val="single" w:sz="4" w:space="0" w:color="auto"/>
              <w:bottom w:val="single" w:sz="4" w:space="0" w:color="auto"/>
              <w:right w:val="single" w:sz="4" w:space="0" w:color="auto"/>
            </w:tcBorders>
            <w:vAlign w:val="center"/>
          </w:tcPr>
          <w:p>
            <w:pPr>
              <w:spacing w:after="0" w:line="240" w:lineRule="auto"/>
              <w:jc w:val="center"/>
            </w:pPr>
            <w:r>
              <w:rPr>
                <w:rFonts w:ascii="宋体" w:hAnsi="宋体"/>
                <w:color w:val="000000"/>
                <w:kern w:val="0"/>
                <w:sz w:val="25"/>
                <w:szCs w:val="24"/>
              </w:rPr>
              <w:t>0.78%</w:t>
            </w:r>
          </w:p>
        </w:tc>
        <w:tc>
          <w:tcPr>
            <w:tcW w:w="7" w:type="dxa"/>
            <w:tcBorders>
              <w:top w:val="single" w:sz="4" w:space="0" w:color="auto"/>
              <w:left w:val="single" w:sz="4" w:space="0" w:color="auto"/>
              <w:bottom w:val="single" w:sz="4" w:space="0" w:color="auto"/>
              <w:right w:val="single" w:sz="4" w:space="0" w:color="auto"/>
            </w:tcBorders>
            <w:vAlign w:val="center"/>
          </w:tcPr>
          <w:p>
            <w:pPr>
              <w:spacing w:after="0" w:line="240" w:lineRule="auto"/>
              <w:jc w:val="center"/>
            </w:pPr>
            <w:r>
              <w:rPr>
                <w:rFonts w:ascii="宋体" w:hAnsi="宋体"/>
                <w:color w:val="000000"/>
                <w:kern w:val="0"/>
                <w:sz w:val="25"/>
                <w:szCs w:val="24"/>
              </w:rPr>
              <w:t>-27.81%</w:t>
            </w:r>
          </w:p>
        </w:tc>
        <w:tc>
          <w:tcPr>
            <w:tcW w:w="7" w:type="dxa"/>
            <w:tcBorders>
              <w:top w:val="single" w:sz="4" w:space="0" w:color="auto"/>
              <w:left w:val="single" w:sz="4" w:space="0" w:color="auto"/>
              <w:bottom w:val="single" w:sz="4" w:space="0" w:color="auto"/>
              <w:right w:val="single" w:sz="4" w:space="0" w:color="auto"/>
            </w:tcBorders>
            <w:vAlign w:val="center"/>
          </w:tcPr>
          <w:p>
            <w:pPr>
              <w:spacing w:after="0" w:line="240" w:lineRule="auto"/>
              <w:jc w:val="center"/>
            </w:pPr>
            <w:r>
              <w:rPr>
                <w:rFonts w:ascii="宋体" w:hAnsi="宋体"/>
                <w:color w:val="000000"/>
                <w:kern w:val="0"/>
                <w:sz w:val="25"/>
                <w:szCs w:val="24"/>
              </w:rPr>
              <w:t>0.69%</w:t>
            </w:r>
          </w:p>
        </w:tc>
      </w:tr>
      <w:tr>
        <w:tblPrEx>
          <w:tblW w:w="5000" w:type="pct"/>
          <w:tblInd w:w="0" w:type="dxa"/>
          <w:tblLayout w:type="fixed"/>
          <w:tblCellMar>
            <w:top w:w="0" w:type="dxa"/>
            <w:left w:w="0" w:type="dxa"/>
            <w:bottom w:w="0" w:type="dxa"/>
            <w:right w:w="0" w:type="dxa"/>
          </w:tblCellMar>
          <w:tblLook w:val="0000"/>
        </w:tblPrEx>
        <w:trPr>
          <w:cantSplit/>
          <w:trHeight w:val="375"/>
        </w:trPr>
        <w:tc>
          <w:tcPr>
            <w:tcW w:w="7" w:type="dxa"/>
            <w:tcBorders>
              <w:top w:val="single" w:sz="4" w:space="0" w:color="auto"/>
              <w:left w:val="single" w:sz="4" w:space="0" w:color="auto"/>
              <w:bottom w:val="single" w:sz="4" w:space="0" w:color="auto"/>
              <w:right w:val="single" w:sz="4" w:space="0" w:color="auto"/>
            </w:tcBorders>
            <w:vAlign w:val="center"/>
          </w:tcPr>
          <w:p>
            <w:pPr>
              <w:spacing w:after="0" w:line="240" w:lineRule="auto"/>
              <w:jc w:val="center"/>
            </w:pPr>
            <w:r>
              <w:rPr>
                <w:rFonts w:ascii="宋体" w:hAnsi="宋体"/>
                <w:color w:val="000000"/>
                <w:kern w:val="0"/>
                <w:sz w:val="25"/>
                <w:szCs w:val="24"/>
              </w:rPr>
              <w:t>2025年度</w:t>
            </w:r>
          </w:p>
        </w:tc>
        <w:tc>
          <w:tcPr>
            <w:tcW w:w="7" w:type="dxa"/>
            <w:tcBorders>
              <w:top w:val="single" w:sz="4" w:space="0" w:color="auto"/>
              <w:left w:val="single" w:sz="4" w:space="0" w:color="auto"/>
              <w:bottom w:val="single" w:sz="4" w:space="0" w:color="auto"/>
              <w:right w:val="single" w:sz="4" w:space="0" w:color="auto"/>
            </w:tcBorders>
            <w:vAlign w:val="center"/>
          </w:tcPr>
          <w:p>
            <w:pPr>
              <w:spacing w:after="0" w:line="240" w:lineRule="auto"/>
              <w:jc w:val="center"/>
            </w:pPr>
            <w:r>
              <w:rPr>
                <w:rFonts w:ascii="宋体" w:hAnsi="宋体"/>
                <w:color w:val="000000"/>
                <w:kern w:val="0"/>
                <w:sz w:val="25"/>
                <w:szCs w:val="24"/>
              </w:rPr>
              <w:t>29.33%</w:t>
            </w:r>
          </w:p>
        </w:tc>
        <w:tc>
          <w:tcPr>
            <w:tcW w:w="7" w:type="dxa"/>
            <w:tcBorders>
              <w:top w:val="single" w:sz="4" w:space="0" w:color="auto"/>
              <w:left w:val="single" w:sz="4" w:space="0" w:color="auto"/>
              <w:bottom w:val="single" w:sz="4" w:space="0" w:color="auto"/>
              <w:right w:val="single" w:sz="4" w:space="0" w:color="auto"/>
            </w:tcBorders>
            <w:vAlign w:val="center"/>
          </w:tcPr>
          <w:p>
            <w:pPr>
              <w:spacing w:after="0" w:line="240" w:lineRule="auto"/>
              <w:jc w:val="center"/>
            </w:pPr>
            <w:r>
              <w:rPr>
                <w:rFonts w:ascii="宋体" w:hAnsi="宋体"/>
                <w:color w:val="000000"/>
                <w:kern w:val="0"/>
                <w:sz w:val="25"/>
                <w:szCs w:val="24"/>
              </w:rPr>
              <w:t>2.03%</w:t>
            </w:r>
          </w:p>
        </w:tc>
        <w:tc>
          <w:tcPr>
            <w:tcW w:w="7" w:type="dxa"/>
            <w:tcBorders>
              <w:top w:val="single" w:sz="4" w:space="0" w:color="auto"/>
              <w:left w:val="single" w:sz="4" w:space="0" w:color="auto"/>
              <w:bottom w:val="single" w:sz="4" w:space="0" w:color="auto"/>
              <w:right w:val="single" w:sz="4" w:space="0" w:color="auto"/>
            </w:tcBorders>
            <w:vAlign w:val="center"/>
          </w:tcPr>
          <w:p>
            <w:pPr>
              <w:spacing w:after="0" w:line="240" w:lineRule="auto"/>
              <w:jc w:val="center"/>
            </w:pPr>
            <w:r>
              <w:rPr>
                <w:rFonts w:ascii="宋体" w:hAnsi="宋体"/>
                <w:color w:val="000000"/>
                <w:kern w:val="0"/>
                <w:sz w:val="25"/>
                <w:szCs w:val="24"/>
              </w:rPr>
              <w:t>13.13%</w:t>
            </w:r>
          </w:p>
        </w:tc>
        <w:tc>
          <w:tcPr>
            <w:tcW w:w="7" w:type="dxa"/>
            <w:tcBorders>
              <w:top w:val="single" w:sz="4" w:space="0" w:color="auto"/>
              <w:left w:val="single" w:sz="4" w:space="0" w:color="auto"/>
              <w:bottom w:val="single" w:sz="4" w:space="0" w:color="auto"/>
              <w:right w:val="single" w:sz="4" w:space="0" w:color="auto"/>
            </w:tcBorders>
            <w:vAlign w:val="center"/>
          </w:tcPr>
          <w:p>
            <w:pPr>
              <w:spacing w:after="0" w:line="240" w:lineRule="auto"/>
              <w:jc w:val="center"/>
            </w:pPr>
            <w:r>
              <w:rPr>
                <w:rFonts w:ascii="宋体" w:hAnsi="宋体"/>
                <w:color w:val="000000"/>
                <w:kern w:val="0"/>
                <w:sz w:val="25"/>
                <w:szCs w:val="24"/>
              </w:rPr>
              <w:t>0.67%</w:t>
            </w:r>
          </w:p>
        </w:tc>
        <w:tc>
          <w:tcPr>
            <w:tcW w:w="7" w:type="dxa"/>
            <w:tcBorders>
              <w:top w:val="single" w:sz="4" w:space="0" w:color="auto"/>
              <w:left w:val="single" w:sz="4" w:space="0" w:color="auto"/>
              <w:bottom w:val="single" w:sz="4" w:space="0" w:color="auto"/>
              <w:right w:val="single" w:sz="4" w:space="0" w:color="auto"/>
            </w:tcBorders>
            <w:vAlign w:val="center"/>
          </w:tcPr>
          <w:p>
            <w:pPr>
              <w:spacing w:after="0" w:line="240" w:lineRule="auto"/>
              <w:jc w:val="center"/>
            </w:pPr>
            <w:r>
              <w:rPr>
                <w:rFonts w:ascii="宋体" w:hAnsi="宋体"/>
                <w:color w:val="000000"/>
                <w:kern w:val="0"/>
                <w:sz w:val="25"/>
                <w:szCs w:val="24"/>
              </w:rPr>
              <w:t>16.20%</w:t>
            </w:r>
          </w:p>
        </w:tc>
        <w:tc>
          <w:tcPr>
            <w:tcW w:w="7" w:type="dxa"/>
            <w:tcBorders>
              <w:top w:val="single" w:sz="4" w:space="0" w:color="auto"/>
              <w:left w:val="single" w:sz="4" w:space="0" w:color="auto"/>
              <w:bottom w:val="single" w:sz="4" w:space="0" w:color="auto"/>
              <w:right w:val="single" w:sz="4" w:space="0" w:color="auto"/>
            </w:tcBorders>
            <w:vAlign w:val="center"/>
          </w:tcPr>
          <w:p>
            <w:pPr>
              <w:spacing w:after="0" w:line="240" w:lineRule="auto"/>
              <w:jc w:val="center"/>
            </w:pPr>
            <w:r>
              <w:rPr>
                <w:rFonts w:ascii="宋体" w:hAnsi="宋体"/>
                <w:color w:val="000000"/>
                <w:kern w:val="0"/>
                <w:sz w:val="25"/>
                <w:szCs w:val="24"/>
              </w:rPr>
              <w:t>1.36%</w:t>
            </w:r>
          </w:p>
        </w:tc>
      </w:tr>
      <w:tr>
        <w:tblPrEx>
          <w:tblW w:w="5000" w:type="pct"/>
          <w:tblInd w:w="0" w:type="dxa"/>
          <w:tblLayout w:type="fixed"/>
          <w:tblCellMar>
            <w:top w:w="0" w:type="dxa"/>
            <w:left w:w="0" w:type="dxa"/>
            <w:bottom w:w="0" w:type="dxa"/>
            <w:right w:w="0" w:type="dxa"/>
          </w:tblCellMar>
          <w:tblLook w:val="0000"/>
        </w:tblPrEx>
        <w:trPr>
          <w:cantSplit/>
          <w:trHeight w:val="375"/>
        </w:trPr>
        <w:tc>
          <w:tcPr>
            <w:tcW w:w="7" w:type="dxa"/>
            <w:tcBorders>
              <w:top w:val="single" w:sz="4" w:space="0" w:color="auto"/>
              <w:left w:val="single" w:sz="4" w:space="0" w:color="auto"/>
              <w:bottom w:val="single" w:sz="4" w:space="0" w:color="auto"/>
              <w:right w:val="single" w:sz="4" w:space="0" w:color="auto"/>
            </w:tcBorders>
            <w:vAlign w:val="center"/>
          </w:tcPr>
          <w:p>
            <w:pPr>
              <w:spacing w:after="0" w:line="240" w:lineRule="auto"/>
              <w:jc w:val="center"/>
            </w:pPr>
            <w:r>
              <w:rPr>
                <w:rFonts w:ascii="宋体" w:hAnsi="宋体"/>
                <w:color w:val="000000"/>
                <w:kern w:val="0"/>
                <w:sz w:val="25"/>
                <w:szCs w:val="24"/>
              </w:rPr>
              <w:t>2024年度</w:t>
            </w:r>
          </w:p>
        </w:tc>
        <w:tc>
          <w:tcPr>
            <w:tcW w:w="7" w:type="dxa"/>
            <w:tcBorders>
              <w:top w:val="single" w:sz="4" w:space="0" w:color="auto"/>
              <w:left w:val="single" w:sz="4" w:space="0" w:color="auto"/>
              <w:bottom w:val="single" w:sz="4" w:space="0" w:color="auto"/>
              <w:right w:val="single" w:sz="4" w:space="0" w:color="auto"/>
            </w:tcBorders>
            <w:vAlign w:val="center"/>
          </w:tcPr>
          <w:p>
            <w:pPr>
              <w:spacing w:after="0" w:line="240" w:lineRule="auto"/>
              <w:jc w:val="center"/>
            </w:pPr>
            <w:r>
              <w:rPr>
                <w:rFonts w:ascii="宋体" w:hAnsi="宋体"/>
                <w:color w:val="000000"/>
                <w:kern w:val="0"/>
                <w:sz w:val="25"/>
                <w:szCs w:val="24"/>
              </w:rPr>
              <w:t>7.14%</w:t>
            </w:r>
          </w:p>
        </w:tc>
        <w:tc>
          <w:tcPr>
            <w:tcW w:w="7" w:type="dxa"/>
            <w:tcBorders>
              <w:top w:val="single" w:sz="4" w:space="0" w:color="auto"/>
              <w:left w:val="single" w:sz="4" w:space="0" w:color="auto"/>
              <w:bottom w:val="single" w:sz="4" w:space="0" w:color="auto"/>
              <w:right w:val="single" w:sz="4" w:space="0" w:color="auto"/>
            </w:tcBorders>
            <w:vAlign w:val="center"/>
          </w:tcPr>
          <w:p>
            <w:pPr>
              <w:spacing w:after="0" w:line="240" w:lineRule="auto"/>
              <w:jc w:val="center"/>
            </w:pPr>
            <w:r>
              <w:rPr>
                <w:rFonts w:ascii="宋体" w:hAnsi="宋体"/>
                <w:color w:val="000000"/>
                <w:kern w:val="0"/>
                <w:sz w:val="25"/>
                <w:szCs w:val="24"/>
              </w:rPr>
              <w:t>2.02%</w:t>
            </w:r>
          </w:p>
        </w:tc>
        <w:tc>
          <w:tcPr>
            <w:tcW w:w="7" w:type="dxa"/>
            <w:tcBorders>
              <w:top w:val="single" w:sz="4" w:space="0" w:color="auto"/>
              <w:left w:val="single" w:sz="4" w:space="0" w:color="auto"/>
              <w:bottom w:val="single" w:sz="4" w:space="0" w:color="auto"/>
              <w:right w:val="single" w:sz="4" w:space="0" w:color="auto"/>
            </w:tcBorders>
            <w:vAlign w:val="center"/>
          </w:tcPr>
          <w:p>
            <w:pPr>
              <w:spacing w:after="0" w:line="240" w:lineRule="auto"/>
              <w:jc w:val="center"/>
            </w:pPr>
            <w:r>
              <w:rPr>
                <w:rFonts w:ascii="宋体" w:hAnsi="宋体"/>
                <w:color w:val="000000"/>
                <w:kern w:val="0"/>
                <w:sz w:val="25"/>
                <w:szCs w:val="24"/>
              </w:rPr>
              <w:t>13.36%</w:t>
            </w:r>
          </w:p>
        </w:tc>
        <w:tc>
          <w:tcPr>
            <w:tcW w:w="7" w:type="dxa"/>
            <w:tcBorders>
              <w:top w:val="single" w:sz="4" w:space="0" w:color="auto"/>
              <w:left w:val="single" w:sz="4" w:space="0" w:color="auto"/>
              <w:bottom w:val="single" w:sz="4" w:space="0" w:color="auto"/>
              <w:right w:val="single" w:sz="4" w:space="0" w:color="auto"/>
            </w:tcBorders>
            <w:vAlign w:val="center"/>
          </w:tcPr>
          <w:p>
            <w:pPr>
              <w:spacing w:after="0" w:line="240" w:lineRule="auto"/>
              <w:jc w:val="center"/>
            </w:pPr>
            <w:r>
              <w:rPr>
                <w:rFonts w:ascii="宋体" w:hAnsi="宋体"/>
                <w:color w:val="000000"/>
                <w:kern w:val="0"/>
                <w:sz w:val="25"/>
                <w:szCs w:val="24"/>
              </w:rPr>
              <w:t>0.91%</w:t>
            </w:r>
          </w:p>
        </w:tc>
        <w:tc>
          <w:tcPr>
            <w:tcW w:w="7" w:type="dxa"/>
            <w:tcBorders>
              <w:top w:val="single" w:sz="4" w:space="0" w:color="auto"/>
              <w:left w:val="single" w:sz="4" w:space="0" w:color="auto"/>
              <w:bottom w:val="single" w:sz="4" w:space="0" w:color="auto"/>
              <w:right w:val="single" w:sz="4" w:space="0" w:color="auto"/>
            </w:tcBorders>
            <w:vAlign w:val="center"/>
          </w:tcPr>
          <w:p>
            <w:pPr>
              <w:spacing w:after="0" w:line="240" w:lineRule="auto"/>
              <w:jc w:val="center"/>
            </w:pPr>
            <w:r>
              <w:rPr>
                <w:rFonts w:ascii="宋体" w:hAnsi="宋体"/>
                <w:color w:val="000000"/>
                <w:kern w:val="0"/>
                <w:sz w:val="25"/>
                <w:szCs w:val="24"/>
              </w:rPr>
              <w:t>-6.22%</w:t>
            </w:r>
          </w:p>
        </w:tc>
        <w:tc>
          <w:tcPr>
            <w:tcW w:w="7" w:type="dxa"/>
            <w:tcBorders>
              <w:top w:val="single" w:sz="4" w:space="0" w:color="auto"/>
              <w:left w:val="single" w:sz="4" w:space="0" w:color="auto"/>
              <w:bottom w:val="single" w:sz="4" w:space="0" w:color="auto"/>
              <w:right w:val="single" w:sz="4" w:space="0" w:color="auto"/>
            </w:tcBorders>
            <w:vAlign w:val="center"/>
          </w:tcPr>
          <w:p>
            <w:pPr>
              <w:spacing w:after="0" w:line="240" w:lineRule="auto"/>
              <w:jc w:val="center"/>
            </w:pPr>
            <w:r>
              <w:rPr>
                <w:rFonts w:ascii="宋体" w:hAnsi="宋体"/>
                <w:color w:val="000000"/>
                <w:kern w:val="0"/>
                <w:sz w:val="25"/>
                <w:szCs w:val="24"/>
              </w:rPr>
              <w:t>1.11%</w:t>
            </w:r>
          </w:p>
        </w:tc>
      </w:tr>
      <w:tr>
        <w:tblPrEx>
          <w:tblW w:w="5000" w:type="pct"/>
          <w:tblInd w:w="0" w:type="dxa"/>
          <w:tblLayout w:type="fixed"/>
          <w:tblCellMar>
            <w:top w:w="0" w:type="dxa"/>
            <w:left w:w="0" w:type="dxa"/>
            <w:bottom w:w="0" w:type="dxa"/>
            <w:right w:w="0" w:type="dxa"/>
          </w:tblCellMar>
          <w:tblLook w:val="0000"/>
        </w:tblPrEx>
        <w:trPr>
          <w:cantSplit/>
          <w:trHeight w:val="375"/>
        </w:trPr>
        <w:tc>
          <w:tcPr>
            <w:tcW w:w="7" w:type="dxa"/>
            <w:tcBorders>
              <w:top w:val="single" w:sz="4" w:space="0" w:color="auto"/>
              <w:left w:val="single" w:sz="4" w:space="0" w:color="auto"/>
              <w:bottom w:val="single" w:sz="4" w:space="0" w:color="auto"/>
              <w:right w:val="single" w:sz="4" w:space="0" w:color="auto"/>
            </w:tcBorders>
            <w:vAlign w:val="center"/>
          </w:tcPr>
          <w:p>
            <w:pPr>
              <w:spacing w:after="0" w:line="240" w:lineRule="auto"/>
              <w:jc w:val="center"/>
            </w:pPr>
            <w:r>
              <w:rPr>
                <w:rFonts w:ascii="宋体" w:hAnsi="宋体"/>
                <w:color w:val="000000"/>
                <w:kern w:val="0"/>
                <w:sz w:val="25"/>
                <w:szCs w:val="24"/>
              </w:rPr>
              <w:t>2023年度</w:t>
            </w:r>
          </w:p>
        </w:tc>
        <w:tc>
          <w:tcPr>
            <w:tcW w:w="7" w:type="dxa"/>
            <w:tcBorders>
              <w:top w:val="single" w:sz="4" w:space="0" w:color="auto"/>
              <w:left w:val="single" w:sz="4" w:space="0" w:color="auto"/>
              <w:bottom w:val="single" w:sz="4" w:space="0" w:color="auto"/>
              <w:right w:val="single" w:sz="4" w:space="0" w:color="auto"/>
            </w:tcBorders>
            <w:vAlign w:val="center"/>
          </w:tcPr>
          <w:p>
            <w:pPr>
              <w:spacing w:after="0" w:line="240" w:lineRule="auto"/>
              <w:jc w:val="center"/>
            </w:pPr>
            <w:r>
              <w:rPr>
                <w:rFonts w:ascii="宋体" w:hAnsi="宋体"/>
                <w:color w:val="000000"/>
                <w:kern w:val="0"/>
                <w:sz w:val="25"/>
                <w:szCs w:val="24"/>
              </w:rPr>
              <w:t>-15.95%</w:t>
            </w:r>
          </w:p>
        </w:tc>
        <w:tc>
          <w:tcPr>
            <w:tcW w:w="7" w:type="dxa"/>
            <w:tcBorders>
              <w:top w:val="single" w:sz="4" w:space="0" w:color="auto"/>
              <w:left w:val="single" w:sz="4" w:space="0" w:color="auto"/>
              <w:bottom w:val="single" w:sz="4" w:space="0" w:color="auto"/>
              <w:right w:val="single" w:sz="4" w:space="0" w:color="auto"/>
            </w:tcBorders>
            <w:vAlign w:val="center"/>
          </w:tcPr>
          <w:p>
            <w:pPr>
              <w:spacing w:after="0" w:line="240" w:lineRule="auto"/>
              <w:jc w:val="center"/>
            </w:pPr>
            <w:r>
              <w:rPr>
                <w:rFonts w:ascii="宋体" w:hAnsi="宋体"/>
                <w:color w:val="000000"/>
                <w:kern w:val="0"/>
                <w:sz w:val="25"/>
                <w:szCs w:val="24"/>
              </w:rPr>
              <w:t>0.89%</w:t>
            </w:r>
          </w:p>
        </w:tc>
        <w:tc>
          <w:tcPr>
            <w:tcW w:w="7" w:type="dxa"/>
            <w:tcBorders>
              <w:top w:val="single" w:sz="4" w:space="0" w:color="auto"/>
              <w:left w:val="single" w:sz="4" w:space="0" w:color="auto"/>
              <w:bottom w:val="single" w:sz="4" w:space="0" w:color="auto"/>
              <w:right w:val="single" w:sz="4" w:space="0" w:color="auto"/>
            </w:tcBorders>
            <w:vAlign w:val="center"/>
          </w:tcPr>
          <w:p>
            <w:pPr>
              <w:spacing w:after="0" w:line="240" w:lineRule="auto"/>
              <w:jc w:val="center"/>
            </w:pPr>
            <w:r>
              <w:rPr>
                <w:rFonts w:ascii="宋体" w:hAnsi="宋体"/>
                <w:color w:val="000000"/>
                <w:kern w:val="0"/>
                <w:sz w:val="25"/>
                <w:szCs w:val="24"/>
              </w:rPr>
              <w:t>-6.70%</w:t>
            </w:r>
          </w:p>
        </w:tc>
        <w:tc>
          <w:tcPr>
            <w:tcW w:w="7" w:type="dxa"/>
            <w:tcBorders>
              <w:top w:val="single" w:sz="4" w:space="0" w:color="auto"/>
              <w:left w:val="single" w:sz="4" w:space="0" w:color="auto"/>
              <w:bottom w:val="single" w:sz="4" w:space="0" w:color="auto"/>
              <w:right w:val="single" w:sz="4" w:space="0" w:color="auto"/>
            </w:tcBorders>
            <w:vAlign w:val="center"/>
          </w:tcPr>
          <w:p>
            <w:pPr>
              <w:spacing w:after="0" w:line="240" w:lineRule="auto"/>
              <w:jc w:val="center"/>
            </w:pPr>
            <w:r>
              <w:rPr>
                <w:rFonts w:ascii="宋体" w:hAnsi="宋体"/>
                <w:color w:val="000000"/>
                <w:kern w:val="0"/>
                <w:sz w:val="25"/>
                <w:szCs w:val="24"/>
              </w:rPr>
              <w:t>0.60%</w:t>
            </w:r>
          </w:p>
        </w:tc>
        <w:tc>
          <w:tcPr>
            <w:tcW w:w="7" w:type="dxa"/>
            <w:tcBorders>
              <w:top w:val="single" w:sz="4" w:space="0" w:color="auto"/>
              <w:left w:val="single" w:sz="4" w:space="0" w:color="auto"/>
              <w:bottom w:val="single" w:sz="4" w:space="0" w:color="auto"/>
              <w:right w:val="single" w:sz="4" w:space="0" w:color="auto"/>
            </w:tcBorders>
            <w:vAlign w:val="center"/>
          </w:tcPr>
          <w:p>
            <w:pPr>
              <w:spacing w:after="0" w:line="240" w:lineRule="auto"/>
              <w:jc w:val="center"/>
            </w:pPr>
            <w:r>
              <w:rPr>
                <w:rFonts w:ascii="宋体" w:hAnsi="宋体"/>
                <w:color w:val="000000"/>
                <w:kern w:val="0"/>
                <w:sz w:val="25"/>
                <w:szCs w:val="24"/>
              </w:rPr>
              <w:t>-9.25%</w:t>
            </w:r>
          </w:p>
        </w:tc>
        <w:tc>
          <w:tcPr>
            <w:tcW w:w="7" w:type="dxa"/>
            <w:tcBorders>
              <w:top w:val="single" w:sz="4" w:space="0" w:color="auto"/>
              <w:left w:val="single" w:sz="4" w:space="0" w:color="auto"/>
              <w:bottom w:val="single" w:sz="4" w:space="0" w:color="auto"/>
              <w:right w:val="single" w:sz="4" w:space="0" w:color="auto"/>
            </w:tcBorders>
            <w:vAlign w:val="center"/>
          </w:tcPr>
          <w:p>
            <w:pPr>
              <w:spacing w:after="0" w:line="240" w:lineRule="auto"/>
              <w:jc w:val="center"/>
            </w:pPr>
            <w:r>
              <w:rPr>
                <w:rFonts w:ascii="宋体" w:hAnsi="宋体"/>
                <w:color w:val="000000"/>
                <w:kern w:val="0"/>
                <w:sz w:val="25"/>
                <w:szCs w:val="24"/>
              </w:rPr>
              <w:t>0.29%</w:t>
            </w:r>
          </w:p>
        </w:tc>
      </w:tr>
      <w:tr>
        <w:tblPrEx>
          <w:tblW w:w="5000" w:type="pct"/>
          <w:tblInd w:w="0" w:type="dxa"/>
          <w:tblLayout w:type="fixed"/>
          <w:tblCellMar>
            <w:top w:w="0" w:type="dxa"/>
            <w:left w:w="0" w:type="dxa"/>
            <w:bottom w:w="0" w:type="dxa"/>
            <w:right w:w="0" w:type="dxa"/>
          </w:tblCellMar>
          <w:tblLook w:val="0000"/>
        </w:tblPrEx>
        <w:trPr>
          <w:cantSplit/>
          <w:trHeight w:val="375"/>
        </w:trPr>
        <w:tc>
          <w:tcPr>
            <w:tcW w:w="7" w:type="dxa"/>
            <w:tcBorders>
              <w:top w:val="single" w:sz="4" w:space="0" w:color="auto"/>
              <w:left w:val="single" w:sz="4" w:space="0" w:color="auto"/>
              <w:bottom w:val="single" w:sz="4" w:space="0" w:color="auto"/>
              <w:right w:val="single" w:sz="4" w:space="0" w:color="auto"/>
            </w:tcBorders>
            <w:vAlign w:val="center"/>
          </w:tcPr>
          <w:p>
            <w:pPr>
              <w:spacing w:after="0" w:line="240" w:lineRule="auto"/>
              <w:jc w:val="center"/>
            </w:pPr>
            <w:r>
              <w:rPr>
                <w:rFonts w:ascii="宋体" w:hAnsi="宋体"/>
                <w:color w:val="000000"/>
                <w:kern w:val="0"/>
                <w:sz w:val="25"/>
                <w:szCs w:val="24"/>
              </w:rPr>
              <w:t>2022年度（自基金合同生效起至2022年12月31日）</w:t>
            </w:r>
          </w:p>
        </w:tc>
        <w:tc>
          <w:tcPr>
            <w:tcW w:w="7" w:type="dxa"/>
            <w:tcBorders>
              <w:top w:val="single" w:sz="4" w:space="0" w:color="auto"/>
              <w:left w:val="single" w:sz="4" w:space="0" w:color="auto"/>
              <w:bottom w:val="single" w:sz="4" w:space="0" w:color="auto"/>
              <w:right w:val="single" w:sz="4" w:space="0" w:color="auto"/>
            </w:tcBorders>
            <w:vAlign w:val="center"/>
          </w:tcPr>
          <w:p>
            <w:pPr>
              <w:spacing w:after="0" w:line="240" w:lineRule="auto"/>
              <w:jc w:val="center"/>
            </w:pPr>
            <w:r>
              <w:rPr>
                <w:rFonts w:ascii="宋体" w:hAnsi="宋体"/>
                <w:color w:val="000000"/>
                <w:kern w:val="0"/>
                <w:sz w:val="25"/>
                <w:szCs w:val="24"/>
              </w:rPr>
              <w:t>-0.70%</w:t>
            </w:r>
          </w:p>
        </w:tc>
        <w:tc>
          <w:tcPr>
            <w:tcW w:w="7" w:type="dxa"/>
            <w:tcBorders>
              <w:top w:val="single" w:sz="4" w:space="0" w:color="auto"/>
              <w:left w:val="single" w:sz="4" w:space="0" w:color="auto"/>
              <w:bottom w:val="single" w:sz="4" w:space="0" w:color="auto"/>
              <w:right w:val="single" w:sz="4" w:space="0" w:color="auto"/>
            </w:tcBorders>
            <w:vAlign w:val="center"/>
          </w:tcPr>
          <w:p>
            <w:pPr>
              <w:spacing w:after="0" w:line="240" w:lineRule="auto"/>
              <w:jc w:val="center"/>
            </w:pPr>
            <w:r>
              <w:rPr>
                <w:rFonts w:ascii="宋体" w:hAnsi="宋体"/>
                <w:color w:val="000000"/>
                <w:kern w:val="0"/>
                <w:sz w:val="25"/>
                <w:szCs w:val="24"/>
              </w:rPr>
              <w:t>0.19%</w:t>
            </w:r>
          </w:p>
        </w:tc>
        <w:tc>
          <w:tcPr>
            <w:tcW w:w="7" w:type="dxa"/>
            <w:tcBorders>
              <w:top w:val="single" w:sz="4" w:space="0" w:color="auto"/>
              <w:left w:val="single" w:sz="4" w:space="0" w:color="auto"/>
              <w:bottom w:val="single" w:sz="4" w:space="0" w:color="auto"/>
              <w:right w:val="single" w:sz="4" w:space="0" w:color="auto"/>
            </w:tcBorders>
            <w:vAlign w:val="center"/>
          </w:tcPr>
          <w:p>
            <w:pPr>
              <w:spacing w:after="0" w:line="240" w:lineRule="auto"/>
              <w:jc w:val="center"/>
            </w:pPr>
            <w:r>
              <w:rPr>
                <w:rFonts w:ascii="宋体" w:hAnsi="宋体"/>
                <w:color w:val="000000"/>
                <w:kern w:val="0"/>
                <w:sz w:val="25"/>
                <w:szCs w:val="24"/>
              </w:rPr>
              <w:t>0.89%</w:t>
            </w:r>
          </w:p>
        </w:tc>
        <w:tc>
          <w:tcPr>
            <w:tcW w:w="7" w:type="dxa"/>
            <w:tcBorders>
              <w:top w:val="single" w:sz="4" w:space="0" w:color="auto"/>
              <w:left w:val="single" w:sz="4" w:space="0" w:color="auto"/>
              <w:bottom w:val="single" w:sz="4" w:space="0" w:color="auto"/>
              <w:right w:val="single" w:sz="4" w:space="0" w:color="auto"/>
            </w:tcBorders>
            <w:vAlign w:val="center"/>
          </w:tcPr>
          <w:p>
            <w:pPr>
              <w:spacing w:after="0" w:line="240" w:lineRule="auto"/>
              <w:jc w:val="center"/>
            </w:pPr>
            <w:r>
              <w:rPr>
                <w:rFonts w:ascii="宋体" w:hAnsi="宋体"/>
                <w:color w:val="000000"/>
                <w:kern w:val="0"/>
                <w:sz w:val="25"/>
                <w:szCs w:val="24"/>
              </w:rPr>
              <w:t>0.58%</w:t>
            </w:r>
          </w:p>
        </w:tc>
        <w:tc>
          <w:tcPr>
            <w:tcW w:w="7" w:type="dxa"/>
            <w:tcBorders>
              <w:top w:val="single" w:sz="4" w:space="0" w:color="auto"/>
              <w:left w:val="single" w:sz="4" w:space="0" w:color="auto"/>
              <w:bottom w:val="single" w:sz="4" w:space="0" w:color="auto"/>
              <w:right w:val="single" w:sz="4" w:space="0" w:color="auto"/>
            </w:tcBorders>
            <w:vAlign w:val="center"/>
          </w:tcPr>
          <w:p>
            <w:pPr>
              <w:spacing w:after="0" w:line="240" w:lineRule="auto"/>
              <w:jc w:val="center"/>
            </w:pPr>
            <w:r>
              <w:rPr>
                <w:rFonts w:ascii="宋体" w:hAnsi="宋体"/>
                <w:color w:val="000000"/>
                <w:kern w:val="0"/>
                <w:sz w:val="25"/>
                <w:szCs w:val="24"/>
              </w:rPr>
              <w:t>-1.59%</w:t>
            </w:r>
          </w:p>
        </w:tc>
        <w:tc>
          <w:tcPr>
            <w:tcW w:w="7" w:type="dxa"/>
            <w:tcBorders>
              <w:top w:val="single" w:sz="4" w:space="0" w:color="auto"/>
              <w:left w:val="single" w:sz="4" w:space="0" w:color="auto"/>
              <w:bottom w:val="single" w:sz="4" w:space="0" w:color="auto"/>
              <w:right w:val="single" w:sz="4" w:space="0" w:color="auto"/>
            </w:tcBorders>
            <w:vAlign w:val="center"/>
          </w:tcPr>
          <w:p>
            <w:pPr>
              <w:spacing w:after="0" w:line="240" w:lineRule="auto"/>
              <w:jc w:val="center"/>
            </w:pPr>
            <w:r>
              <w:rPr>
                <w:rFonts w:ascii="宋体" w:hAnsi="宋体"/>
                <w:color w:val="000000"/>
                <w:kern w:val="0"/>
                <w:sz w:val="25"/>
                <w:szCs w:val="24"/>
              </w:rPr>
              <w:t>-0.39%</w:t>
            </w:r>
          </w:p>
        </w:tc>
      </w:tr>
    </w:tbl>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注：本基金的业绩比较基准为</w:t>
      </w:r>
      <w:r w:rsidRPr="00BB248E">
        <w:rPr>
          <w:rFonts w:ascii="宋体" w:hAnsi="宋体" w:hint="eastAsia"/>
          <w:kern w:val="0"/>
          <w:sz w:val="24"/>
        </w:rPr>
        <w:t>沪深300指数收益率×75%+中债-国债总财富（1-3年）指数收益率×10%+中证港股通综合指数（人民币）收益率×15%</w:t>
      </w:r>
      <w:r w:rsidRPr="00BB248E">
        <w:rPr>
          <w:rFonts w:ascii="宋体" w:hAnsi="宋体" w:hint="eastAsia"/>
          <w:kern w:val="0"/>
          <w:sz w:val="24"/>
        </w:rPr>
        <w:t>，每日进行再平衡过程。</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2、自基金合同生效以来基金份额累计净值增长率变动及其与同期业绩比较基准收益率变动的比较</w:t>
      </w:r>
    </w:p>
    <w:p>
      <w:pPr>
        <w:autoSpaceDE w:val="0"/>
        <w:autoSpaceDN w:val="0"/>
        <w:adjustRightInd w:val="0"/>
        <w:snapToGrid w:val="0"/>
        <w:spacing w:after="0" w:line="360" w:lineRule="auto"/>
        <w:ind w:firstLine="420" w:firstLineChars="200"/>
        <w:jc w:val="center"/>
        <w:rPr>
          <w:rFonts w:ascii="宋体" w:hAnsi="宋体"/>
          <w:szCs w:val="24"/>
        </w:rPr>
      </w:pPr>
      <w:r w:rsidRPr="00BB248E">
        <w:rPr>
          <w:rFonts w:ascii="宋体" w:hAnsi="宋体" w:hint="eastAsia"/>
          <w:kern w:val="0"/>
          <w:sz w:val="24"/>
        </w:rPr>
        <w:t>交银施罗德启衡混合型证券投资基金</w:t>
      </w:r>
    </w:p>
    <w:p>
      <w:pPr>
        <w:autoSpaceDE w:val="0"/>
        <w:autoSpaceDN w:val="0"/>
        <w:adjustRightInd w:val="0"/>
        <w:snapToGrid w:val="0"/>
        <w:spacing w:after="0" w:line="360" w:lineRule="auto"/>
        <w:ind w:firstLine="420" w:firstLineChars="200"/>
        <w:jc w:val="center"/>
        <w:rPr>
          <w:rFonts w:ascii="宋体" w:hAnsi="宋体"/>
          <w:szCs w:val="24"/>
        </w:rPr>
      </w:pPr>
      <w:r w:rsidRPr="00BB248E">
        <w:rPr>
          <w:rFonts w:ascii="宋体" w:hAnsi="宋体" w:hint="eastAsia"/>
          <w:kern w:val="0"/>
          <w:sz w:val="24"/>
        </w:rPr>
        <w:t>份额累计净值增长率与业绩比较基准收益率的历史走势对比图</w:t>
      </w:r>
    </w:p>
    <w:p>
      <w:pPr>
        <w:autoSpaceDE w:val="0"/>
        <w:autoSpaceDN w:val="0"/>
        <w:adjustRightInd w:val="0"/>
        <w:snapToGrid w:val="0"/>
        <w:spacing w:after="0" w:line="360" w:lineRule="auto"/>
        <w:ind w:firstLine="420" w:firstLineChars="200"/>
        <w:jc w:val="center"/>
        <w:rPr>
          <w:rFonts w:ascii="宋体" w:hAnsi="宋体"/>
          <w:szCs w:val="24"/>
        </w:rPr>
      </w:pPr>
      <w:r w:rsidRPr="00BB248E">
        <w:rPr>
          <w:rFonts w:ascii="宋体" w:hAnsi="宋体" w:hint="eastAsia"/>
          <w:kern w:val="0"/>
          <w:sz w:val="24"/>
        </w:rPr>
        <w:t>(2022年11月30日至2026年06月30日)</w:t>
      </w:r>
    </w:p>
    <w:p>
      <w:pPr>
        <w:autoSpaceDE w:val="0"/>
        <w:autoSpaceDN w:val="0"/>
        <w:adjustRightInd w:val="0"/>
        <w:snapToGrid w:val="0"/>
        <w:spacing w:after="0" w:line="360" w:lineRule="auto"/>
        <w:ind w:firstLine="420" w:firstLineChars="200"/>
        <w:jc w:val="center"/>
        <w:rPr>
          <w:rFonts w:ascii="宋体" w:hAnsi="宋体"/>
          <w:szCs w:val="24"/>
        </w:rPr>
      </w:pPr>
      <w:r w:rsidRPr="00BB248E">
        <w:rPr>
          <w:rFonts w:ascii="宋体" w:hAnsi="宋体" w:hint="eastAsia"/>
          <w:kern w:val="0"/>
          <w:sz w:val="24"/>
        </w:rPr>
        <w:t>（1）交银启衡混合A</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 </w:t>
      </w:r>
    </w:p>
    <w:p>
      <w:pPr>
        <w:autoSpaceDE w:val="0"/>
        <w:autoSpaceDN w:val="0"/>
        <w:adjustRightInd w:val="0"/>
        <w:snapToGrid w:val="0"/>
        <w:spacing w:after="0" w:line="360" w:lineRule="auto"/>
        <w:jc w:val="left"/>
        <w:rPr>
          <w:rFonts w:ascii="宋体" w:hAnsi="宋体"/>
          <w:szCs w:val="24"/>
        </w:rPr>
      </w:pPr>
      <w:r>
        <w:rPr>
          <w:rFonts w:ascii="宋体" w:hAnsi="宋体"/>
          <w:kern w:val="0"/>
          <w:sz w:val="24"/>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height:268.27pt;width:439.5pt">
            <v:imagedata r:id="rId13" o:title=""/>
          </v:shape>
        </w:pict>
      </w:r>
    </w:p>
    <w:p>
      <w:pPr>
        <w:autoSpaceDE w:val="0"/>
        <w:autoSpaceDN w:val="0"/>
        <w:adjustRightInd w:val="0"/>
        <w:snapToGrid w:val="0"/>
        <w:spacing w:after="0" w:line="360" w:lineRule="auto"/>
        <w:ind w:firstLine="420" w:firstLineChars="200"/>
        <w:jc w:val="center"/>
        <w:rPr>
          <w:rFonts w:ascii="宋体" w:hAnsi="宋体"/>
          <w:szCs w:val="24"/>
        </w:rPr>
      </w:pPr>
      <w:r w:rsidRPr="00BB248E">
        <w:rPr>
          <w:rFonts w:ascii="宋体" w:hAnsi="宋体" w:hint="eastAsia"/>
          <w:kern w:val="0"/>
          <w:sz w:val="24"/>
        </w:rPr>
        <w:t>（2）交银启衡混合C</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 </w:t>
      </w:r>
    </w:p>
    <w:p>
      <w:pPr>
        <w:autoSpaceDE w:val="0"/>
        <w:autoSpaceDN w:val="0"/>
        <w:adjustRightInd w:val="0"/>
        <w:snapToGrid w:val="0"/>
        <w:spacing w:after="0" w:line="360" w:lineRule="auto"/>
        <w:jc w:val="left"/>
        <w:rPr>
          <w:rFonts w:ascii="宋体" w:hAnsi="宋体"/>
          <w:szCs w:val="24"/>
        </w:rPr>
      </w:pPr>
      <w:r>
        <w:rPr>
          <w:rFonts w:ascii="宋体" w:hAnsi="宋体"/>
          <w:kern w:val="0"/>
          <w:sz w:val="24"/>
        </w:rPr>
        <w:pict>
          <v:shape id="_x0000_i1026" type="#_x0000_t75" style="height:268.27pt;width:439.5pt">
            <v:imagedata r:id="rId14" o:title=""/>
          </v:shape>
        </w:pic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注：本基金建仓期为自基金合同生效日起的6个月。截至建仓期结束，本基金各项资产配置比例符合基金合同及招募说明书有关投资比例的约定。</w:t>
      </w:r>
    </w:p>
    <w:p>
      <w:pPr>
        <w:pStyle w:val="Heading1"/>
        <w:snapToGrid w:val="0"/>
        <w:spacing w:before="240" w:beforeLines="0" w:after="0"/>
        <w:rPr>
          <w:rFonts w:ascii="宋体" w:hAnsi="宋体"/>
          <w:szCs w:val="30"/>
        </w:rPr>
      </w:pPr>
      <w:r>
        <w:br w:type="page"/>
      </w:r>
      <w:bookmarkStart w:id="26" w:name="_Toc256000012"/>
      <w:bookmarkStart w:id="27" w:name="_Toc256000039"/>
      <w:r>
        <w:rPr>
          <w:rFonts w:ascii="宋体" w:hAnsi="宋体"/>
          <w:sz w:val="30"/>
        </w:rPr>
        <w:t>十二、基金的财产</w:t>
      </w:r>
      <w:bookmarkEnd w:id="27"/>
      <w:bookmarkEnd w:id="26"/>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b/>
          <w:kern w:val="0"/>
          <w:sz w:val="24"/>
        </w:rPr>
        <w:t>（一）基金资产总值</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基金资产总值是指基金拥有的各类有价证券、股指期货合约、银行存款本息、基金应收款项及其他资产的价值总和。</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b/>
          <w:kern w:val="0"/>
          <w:sz w:val="24"/>
        </w:rPr>
        <w:t>（二）基金资产净值</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基金资产净值是指基金资产总值减去基金负债后的价值。</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b/>
          <w:kern w:val="0"/>
          <w:sz w:val="24"/>
        </w:rPr>
        <w:t>（三）基金财产的账户</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基金托管人根据相关法律法规、规范性文件为本基金开立资金账户、证券账户、期货结算账户以及投资所需的其他专用账户。开立的基金专用账户与基金管理人、基金托管人、基金销售机构和基金登记机构自有的财产账户以及其他基金财产账户相独立。</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b/>
          <w:kern w:val="0"/>
          <w:sz w:val="24"/>
        </w:rPr>
        <w:t>（四）基金财产的保管和处分</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本基金财产独立于基金管理人、基金托管人和基金销售机构的财产，并由基金托管人保管。基金管理人、基金托管人、基金登记机构和基金销售机构以其自有的财产承担其自身的法律责任，其债权人不得对本基金财产行使请求冻结、扣押或其他权利。除依法律法规和《基金合同》的规定处分外，基金财产不得被处分。</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基金管理人、基金托管人因依法解散、被依法撤销或者被依法宣告破产等原因进行清算的，基金财产不属于其清算财产。基金管理人管理运作基金财产所产生的债权，不得与其固有资产产生的债务相互抵销；基金管理人管理运作不同基金的基金财产所产生的债权债务不得相互抵销。非因基金财产本身承担的债务，不得对基金财产强制执行。</w:t>
      </w:r>
    </w:p>
    <w:p>
      <w:pPr>
        <w:pStyle w:val="Heading1"/>
        <w:snapToGrid w:val="0"/>
        <w:spacing w:before="240" w:beforeLines="0" w:after="0"/>
        <w:rPr>
          <w:rFonts w:ascii="宋体" w:hAnsi="宋体"/>
          <w:szCs w:val="30"/>
        </w:rPr>
      </w:pPr>
      <w:r>
        <w:br w:type="page"/>
      </w:r>
      <w:bookmarkStart w:id="28" w:name="_Toc256000013"/>
      <w:bookmarkStart w:id="29" w:name="_Toc256000040"/>
      <w:r>
        <w:rPr>
          <w:rFonts w:ascii="宋体" w:hAnsi="宋体"/>
          <w:sz w:val="30"/>
        </w:rPr>
        <w:t>十三、基金资产的估值</w:t>
      </w:r>
      <w:bookmarkEnd w:id="29"/>
      <w:bookmarkEnd w:id="28"/>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b/>
          <w:kern w:val="0"/>
          <w:sz w:val="24"/>
        </w:rPr>
        <w:t>（一）估值日</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本基金的估值日为本基金相关的证券交易场所的交易日以及国家法律法规规定需要对外披露基金净值的非交易日。</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b/>
          <w:kern w:val="0"/>
          <w:sz w:val="24"/>
        </w:rPr>
        <w:t>（二）估值对象</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基金所拥有的股票、债券、资产支持证券、衍生工具和其他投资等持续以公允价值计量的金融资产及负债。</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b/>
          <w:kern w:val="0"/>
          <w:sz w:val="24"/>
        </w:rPr>
        <w:t>（三）估值原则</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基金管理人在确定相关金融资产和金融负债的公允价值时，应符合《企业会计准则》、监管部门有关规定。</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1、对存在活跃市场且能够获取相同资产或负债报价的投资品种，在估值日有报价的，除会计准则规定的例外情况外，应将该报价不加调整地应用于该资产或负债的公允价值计量。估值日无报价且最近交易日后未发生影响公允价值计量的重大事件的，应采用最近交易日的报价确定公允价值。有充足证据表明估值日或最近交易日的报价不能真实反映公允价值的，应对报价进行调整，确定公允价值。</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与上述投资品种相同，但具有不同特征的，应以相同资产或负债的公允价值为基础，并在估值技术中考虑不同特征因素的影响。特征是指对资产出售或使用的限制等，如果该限制是针对资产持有者的，那么在估值技术中不应将该限制作为特征考虑。此外，基金管理人不应考虑因其大量持有相关资产或负债所产生的溢价或折价。</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2、对不存在活跃市场的投资品种，应采用在当前情况下适用并且有足够可利用数据和其他信息支持的估值技术确定公允价值。采用估值技术确定公允价值时，应优先使用可观察输入值，只有在无法取得相关资产或负债可观察输入值或取得不切实可行的情况下，才可以使用不可观察输入值。</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3、如经济环境发生重大变化或证券发行人发生影响证券价格的重大事件，使潜在估值调整对前一估值日的基金资产净值的影响在0.25%以上的，应对估值进行调整并确定公允价值。</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b/>
          <w:kern w:val="0"/>
          <w:sz w:val="24"/>
        </w:rPr>
        <w:t>（四）估值方法</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1、证券交易所上市的有价证券的估值</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1）交易所上市的有价证券，以其估值日在证券交易所挂牌的市价（收盘价）估值；估值日无交易的，且最近交易日后经济环境未发生重大变化或证券发行机构未发生影响证券价格的重大事件的，以最近交易日的市价（收盘价）估值；如最近交易日后经济环境发生了重大变化或证券发行机构发生影响证券价格的重大事件的，可参考类似投资品种的现行市价及重大变化因素，调整最近交易市价，确定公允价格；</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（2）交易所上市交易或挂牌转让的固定收益品种（另有规定的除外），选取估值日第三方估值机构提供的相应品种当日的估值净价进行估值；</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3）交易所上市交易的可转换债券，按估值日收盘价减去可转换债券收盘价中所含债券（税后）应收利息后得到的净价进行估值；估值日没有交易的，且最近交易日后经济环境未发生重大变化，按最近交易日债券收盘价减去可转换债券收盘价中所含债券（税后）应收利息后得到的净价进行估值。如最近交易日后经济环境发生了重大变化的，可参考类似投资品种现行市价及重大变化因素，调整最近交易市价，确定公允价格；</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（4）交易所上市实行全价交易的债券（可转债除外），选取第三方估值机构提供的估值全价减去估值全价中所含的债券（税后）应收利息得到的净价进行估值；</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（5）交易所上市不存在活跃市场的有价证券，采用估值技术确定公允价值。交易所市场挂牌转让的资产支持证券，采用估值技术确定公允价值；</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6）对在交易所市场发行未上市或未挂牌转让的债券，对存在活跃市场的情况下，应以活跃市场上未经调整的报价作为估值日的公允价值；对于活跃市场报价未能代表估值日公允价值的情况下，应对市场报价进行调整以确认估值日的公允价值；对于不存在市场活动或市场活动很少的情况下，应采用估值技术确定其公允价值。</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2、处于未上市期间的有价证券应区分如下情况处理：</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（1）送股、转增股、配股和公开增发的新股，按估值日在证券交易所挂牌的同一股票的估值方法估值；该日无交易的，以最近一日的市价（收盘价）估值；</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（2）首次公开发行未上市的股票和债券，采用估值技术确定公允价值，在估值技术难以可靠计量公允价值的情况下，按成本估值；</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3）在发行时明确一定期限限售期的股票，包括但不限于非公开发行股票、首次公开发行股票时公司股东公开发售股份、通过大宗交易取得的带限售期的股票等，不包括停牌、新发行未上市、回购交易中的质押券等流通受限股票，按监管机构或行业协会有关规定确定公允价值。</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3、对全国银行间市场上不含权的固定收益品种，按照第三方估值机构提供的相应品种当日的估值净价估值。对银行间市场上含权的固定收益品种，按照第三方估值机构提供的相应品种当日的唯一估值净价或推荐估值净价估值。对于含投资人回售权的固定收益品种，回售登记期截止日（含当日）后未行使回售权的按照长待偿期所对应的价格进行估值。对银行间市场未上市，且第三方估值机构未提供估值价格的债券，在发行利率与二级市场利率不存在明显差异，未上市期间市场利率没有发生大的变动的情况下，按成本估值。</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4、本基金投资股指期货合约，一般以估值当日结算价进行估值，估值当日无结算价的，且最近交易日后经济环境未发生重大变化的，采用最近交易日结算价估值。</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5、估值计算中涉及港币对人民币汇率的，将依据下列信息提供机构所提供的汇率为基准：当日中国人民银行或其授权机构当日公布的人民币与港币的中间价。</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6、对于因税收规定调整或其他原因导致产品实际交纳税金与估算的应交税金有差异的，产品将在相关税金调整日或实际支付日进行相应的会计处理。</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7、本基金投资存托凭证的估值核算依照境内上市交易的股票执行。</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8、如有确凿证据表明按上述方法进行估值不能客观反映其公允价值的，基金管理人可根据具体情况与基金托管人商定后，按最能反映公允价值的价格估值。</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9、当发生大额申购或赎回情形时，基金管理人可以采用摆动定价机制，以确保基金估值的公平性。</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10、相关法律法规以及监管部门有强制规定的，从其规定。如有新增事项，按国家最新规定估值。</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如基金管理人或基金托管人发现基金估值违反基金合同订明的估值方法、程序及相关法律法规的规定或者未能充分维护基金份额持有人利益时，应立即通知对方，共同查明原因，双方协商解决。</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根据有关法律法规，基金资产净值计算和基金会计核算的义务由基金管理人承担。本基金的基金会计责任方由基金管理人担任，因此，就与本基金有关的会计问题，如经相关各方在平等基础上充分讨论后，仍无法达成一致的意见，按照基金管理人对基金净值信息的计算结果对外予以公布。</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b/>
          <w:kern w:val="0"/>
          <w:sz w:val="24"/>
        </w:rPr>
        <w:t>（五）估值程序</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1、各类基金份额的基金份额净值是按照每个工作日闭市后，该类基金份额的基金资产净值除以当日该类基金份额的余额数量计算，精确到0.0001元，小数点后第5位四舍五入。基金管理人可以设立大额赎回情形下的净值精度应急调整机制，具体可参见相关公告。国家另有规定的，从其规定。</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基金管理人于每个工作日计算各类基金份额的基金资产净值及基金份额净值，并按规定公告。如遇特殊情况，经履行适当程序，可以适当延迟计算或公告。</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2、基金管理人应每个工作日对基金资产估值。但基金管理人根据法律法规或基金合同的规定暂停估值时除外。基金管理人每个工作日对基金资产估值后，将各类基金份额净值结果发送基金托管人，经基金托管人复核无误后，由基金管理人依据基金合同和相关法律法规的规定对外公布。</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b/>
          <w:kern w:val="0"/>
          <w:sz w:val="24"/>
        </w:rPr>
        <w:t>（六）估值错误的处理</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基金管理人和基金托管人将采取必要、适当、合理的措施确保基金资产估值的准确性、及时性。当基金份额净值小数点后4位以内（含第4位）发生估值错误时，视为基金份额净值错误。</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基金合同的当事人应按照以下约定处理：</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1、估值错误类型</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本基金运作过程中，如果由于基金管理人或基金托管人、或登记机构、或销售机构、或投资人自身的过错造成估值错误，导致其他当事人遭受损失的，过错的责任人应当对由于该估值错误遭受损失当事人（“受损方”）的直接损失按下述“估值错误处理原则”给予赔偿，承担赔偿责任。</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上述估值错误的主要类型包括但不限于：资料申报差错、数据传输差错、数据计算差错、系统故障差错、下达指令差错等。</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对于因技术原因引起的差错，若系同行业现有技术水平无法预见、无法避免、无法抗拒，则属不可抗力，按照下述规定执行。</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由于不可抗力原因造成投资人的交易资料灭失或被错误处理或造成其他错误等，因不可抗力原因出现估值错误的当事人不对其他当事人承担赔偿责任，但因该估值错误取得不当得利的当事人仍应负有返还不当得利的义务。</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2、估值错误处理原则</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1）估值错误已发生，但尚未给当事人造成损失时，估值错误责任方应及时协调各方，及时进行更正，因更正估值错误发生的费用由估值错误责任方承担；由于估值错误责任方未及时更正已产生的估值错误，给当事人造成损失的，由估值错误责任方对直接损失承担赔偿责任；若估值错误责任方已经积极协调，并且有协助义务的当事人有足够的时间进行更正而未更正，则其应当承担相应赔偿责任。估值错误责任方应对更正的情况向有关当事人进行确认，确保估值错误已得到更正。</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（2）估值错误的责任方对有关当事人的直接损失负责，不对间接损失负责，并且仅对估值错误的有关直接当事人负责，不对第三方负责。</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3）因估值错误而获得不当得利的当事人负有及时返还不当得利的义务。但估值错误责任方仍应对估值错误负责。如果由于获得不当得利的当事人不返还或不全部返还不当得利造成其他当事人的利益损失（“受损方”），则估值错误责任方应赔偿受损方的损失，并在其支付的赔偿金额的范围内对获得不当得利的当事人享有要求交付不当得利的权利；如果获得不当得利的当事人已经将此部分不当得利返还给受损方，则受损方应当将其已经获得的赔偿额加上已经获得的不当得利返还的总和超过其实际损失的差额部分支付给估值错误责任方。</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（4）估值错误调整采用尽量恢复至假设未发生估值错误的正确情形的方式。</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（5）按法律法规规定的其他原则处理估值错误。</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3、估值错误处理程序</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估值错误被发现后，有关的当事人应当及时进行处理，处理的程序如下：</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（1）查明估值错误发生的原因，列明所有的当事人，并根据估值错误发生的原因确定估值错误的责任方；</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（2）根据估值错误处理原则或当事人协商的方法对因估值错误造成的损失进行评估；</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（3）根据估值错误处理原则或当事人协商的方法由估值错误的责任方进行更正和赔偿损失；</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（4）根据估值错误处理的方法，需要修改基金登记机构交易数据的，由基金登记机构进行更正，并就估值错误的更正向有关当事人进行确认。</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4、基金份额净值估值错误处理的方法如下：</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（1）基金份额净值计算出现错误时，基金管理人应当立即予以纠正，通报基金托管人，并采取合理的措施防止损失进一步扩大。</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（2）错误偏差达到基金份额净值的0.25%时，基金管理人应当通报基金托管人并报中国证监会备案；错误偏差达到基金份额净值的0.5%时，基金管理人应当公告，并报中国证监会备案。</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（3）当基金份额净值计算差错给基金和基金份额持有人造成损失需要进行赔偿时，基金管理人和基金托管人应根据实际情况界定双方承担的责任，经确认后按以下条款进行赔偿：</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①本基金的基金会计责任方由基金管理人担任，与本基金有关的会计问题，如经双方在平等基础上充分讨论后，尚不能达成一致时，按基金管理人的建议执行，由此给基金份额持有人和基金财产造成的损失，由基金管理人负责赔付。</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②若基金管理人计算的基金份额净值已由基金托管人复核确认后公告，由此给基金份额持有人造成损失的，应根据法律法规的规定对投资者或基金支付赔偿金，就实际向投资者或基金支付的赔偿金额，基金管理人与基金托管人按照过错程度各自承担相应的责任。</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③如基金管理人和基金托管人对基金份额净值的计算结果，虽然多次重新计算和核对，尚不能达成一致时，为避免不能按时公布基金份额净值的情形，以基金管理人的计算结果对外公布，由此给基金份额持有人和基金造成的损失，由基金管理人负责赔付。</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④由于基金管理人提供的信息错误（包括但不限于基金申购或赎回金额等），进而导致基金份额净值计算错误而引起的基金份额持有人和基金财产的损失，由基金管理人负责赔付。</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（4）前述内容如法律法规或监管机关另有规定的，从其规定处理。</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b/>
          <w:kern w:val="0"/>
          <w:sz w:val="24"/>
        </w:rPr>
        <w:t>（七）暂停估值的情形</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1、基金投资所涉及的证券、期货交易市场遇法定节假日或因其他原因暂停营业时；</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2、因不可抗力致使基金管理人、基金托管人无法准确评估基金资产价值时；</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3、当特定资产占前一估值日基金资产净值50%以上的，经与基金托管人协商确认后，基金管理人应当暂停估值；</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4、法律法规、中国证监会和基金合同认定的其它情形。</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b/>
          <w:kern w:val="0"/>
          <w:sz w:val="24"/>
        </w:rPr>
        <w:t>（八）基金净值的确认</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各类基金份额的基金资产净值和基金份额净值由基金管理人负责计算，基金托管人负责进行复核。基金管理人应于每个开放日交易结束后计算当日各类基金份额的基金资产净值和基金份额净值并发送给基金托管人。基金托管人对净值计算结果复核确认后发送给基金管理人，由基金管理人依据基金合同和相关法律法规的规定对基金净值予以公布。</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b/>
          <w:kern w:val="0"/>
          <w:sz w:val="24"/>
        </w:rPr>
        <w:t>（九）特殊情形的处理</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1、基金管理人或基金托管人按估值方法的第8项进行估值时，所造成的误差不作为基金资产估值错误处理。</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2、由于不可抗力原因，或由于证券、期货交易所、证券经纪机构、期货公司及登记结算公司发送的数据错误，或国家会计政策变更、市场规则变更等，基金管理人和基金托管人虽然已经采取必要、适当、合理的措施进行检查，但是未能发现该错误而造成的基金资产估值错误，基金管理人、基金托管人免除赔偿责任。但基金管理人、基金托管人应积极采取必要的措施减轻或消除由此造成的影响。</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b/>
          <w:kern w:val="0"/>
          <w:sz w:val="24"/>
        </w:rPr>
        <w:t>（十）实施侧袋机制期间的基金资产估值</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本基金实施侧袋机制的，应根据本部分的约定对主袋账户资产进行估值并披露主袋账户的基金净值信息，暂停披露侧袋账户份额净值。</w:t>
      </w:r>
    </w:p>
    <w:p>
      <w:pPr>
        <w:pStyle w:val="Heading1"/>
        <w:snapToGrid w:val="0"/>
        <w:spacing w:before="240" w:beforeLines="0" w:after="0"/>
        <w:rPr>
          <w:rFonts w:ascii="宋体" w:hAnsi="宋体"/>
          <w:szCs w:val="30"/>
        </w:rPr>
      </w:pPr>
      <w:r>
        <w:br w:type="page"/>
      </w:r>
      <w:bookmarkStart w:id="30" w:name="_Toc256000014"/>
      <w:bookmarkStart w:id="31" w:name="_Toc256000041"/>
      <w:r>
        <w:rPr>
          <w:rFonts w:ascii="宋体" w:hAnsi="宋体"/>
          <w:sz w:val="30"/>
        </w:rPr>
        <w:t>十四、基金收益与分配</w:t>
      </w:r>
      <w:bookmarkEnd w:id="31"/>
      <w:bookmarkEnd w:id="30"/>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b/>
          <w:kern w:val="0"/>
          <w:sz w:val="24"/>
        </w:rPr>
        <w:t>（一）基金利润的构成</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基金利润指基金利息收入、投资收益、公允价值变动收益和其他收入扣除相关费用后的余额，基金已实现收益指基金利润减去公允价值变动收益后的余额。</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b/>
          <w:kern w:val="0"/>
          <w:sz w:val="24"/>
        </w:rPr>
        <w:t>（二）基金可供分配利润</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基金可供分配利润指截至收益分配基准日基金未分配利润与未分配利润中已实现收益的孰低数。</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b/>
          <w:kern w:val="0"/>
          <w:sz w:val="24"/>
        </w:rPr>
        <w:t>（三）基金收益分配原则</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1、由于本基金A类基金份额不收取销售服务费，C类基金份额收取销售服务费，各基金份额类别对应的可供分配利润将有所不同；</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2、在符合有关基金分红条件的前提下，本基金管理人可以根据实际情况进行收益分配，具体分配方案以公告为准，若《基金合同》生效不满3个月可不进行收益分配；</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3、本基金收益分配方式分两种：现金分红与红利再投资，投资者可选择现金红利或将现金红利自动转为相应类别的基金份额进行再投资；若投资者不选择，本基金默认的收益分配方式是现金分红；基金份额持有人可对其持有的A类基金份额和C类基金份额分别选择不同的收益分配方式；</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4、基金收益分配后任一类基金份额净值不能低于面值；即基金收益分配基准日的任一类基金份额净值减去该类每单位基金份额收益分配金额后不能低于面值；</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5、本基金同一基金份额类别的每一基金份额享有同等分配权；</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6、法律法规或监管机关另有规定的，从其规定。</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b/>
          <w:kern w:val="0"/>
          <w:sz w:val="24"/>
        </w:rPr>
        <w:t>（四）收益分配方案</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基金收益分配方案中应载明截止收益分配基准日的可供分配利润、基金收益分配对象、分配时间、分配数额及比例、分配方式等内容。</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b/>
          <w:kern w:val="0"/>
          <w:sz w:val="24"/>
        </w:rPr>
        <w:t>（五）收益分配方案的确定、公告与实施</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本基金收益分配方案由基金管理人拟定，并由基金托管人复核，依照《信息披露办法》的规定在规定媒介公告。</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法律法规或监管机关另有规定的，从其规定。</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b/>
          <w:kern w:val="0"/>
          <w:sz w:val="24"/>
        </w:rPr>
        <w:t>（六）基金收益分配中发生的费用</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基金收益分配时所发生的银行转账或其他手续费用由投资者自行承担。当投资者的现金红利小于一定金额，不足以支付银行转账或其他手续费用时，基金登记机构可将基金份额持有人的现金红利自动转为相应类别的基金份额。红利再投资的计算方法，依照《业务规则》执行。</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b/>
          <w:kern w:val="0"/>
          <w:sz w:val="24"/>
        </w:rPr>
        <w:t>（七）收益分配方式的修改</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投资人可至销售机构办理收益分配方式的修改，投资人对本基金不同的交易账户可设置不同的收益分配方式。</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投资人同一日多次申报收益分配方式变更的，按照《业务规则》执行，最终确认的收益分配方式以登记机构记录为准。</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b/>
          <w:kern w:val="0"/>
          <w:sz w:val="24"/>
        </w:rPr>
        <w:t>（八）实施侧袋机制期间的收益分配</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本基金实施侧袋机制的，侧袋账户不进行收益分配。</w:t>
      </w:r>
    </w:p>
    <w:p>
      <w:pPr>
        <w:pStyle w:val="Heading1"/>
        <w:snapToGrid w:val="0"/>
        <w:spacing w:before="240" w:beforeLines="0" w:after="0"/>
        <w:rPr>
          <w:rFonts w:ascii="宋体" w:hAnsi="宋体"/>
          <w:szCs w:val="30"/>
        </w:rPr>
      </w:pPr>
      <w:r>
        <w:br w:type="page"/>
      </w:r>
      <w:bookmarkStart w:id="32" w:name="_Toc256000015"/>
      <w:bookmarkStart w:id="33" w:name="_Toc256000042"/>
      <w:r>
        <w:rPr>
          <w:rFonts w:ascii="宋体" w:hAnsi="宋体"/>
          <w:sz w:val="30"/>
        </w:rPr>
        <w:t>十五、基金的费用与税收</w:t>
      </w:r>
      <w:bookmarkEnd w:id="33"/>
      <w:bookmarkEnd w:id="32"/>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b/>
          <w:kern w:val="0"/>
          <w:sz w:val="24"/>
        </w:rPr>
        <w:t>（一）基金费用的种类</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1、基金管理人的管理费；</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2、基金托管人的托管费；</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3、《基金合同》生效后与基金相关的信息披露费用；</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4、《基金合同》生效后与基金相关的会计师费、律师费、仲裁费和诉讼费；</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5、基金份额持有人大会费用；</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6、基金的证券、期货交易费用；</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7、基金的银行汇划费用；</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8、基金的开户费用、账户维护费用；</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9、因投资港股通标的股票而产生的各项合理费用；</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10、本基金从C类基金份额的基金财产中计提的销售服务费；</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11、按照国家有关规定和《基金合同》约定，可以在基金财产中列支的其他费用。</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b/>
          <w:kern w:val="0"/>
          <w:sz w:val="24"/>
        </w:rPr>
        <w:t>（二）基金费用计提方法、计提标准和支付方式</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1、与基金运作有关的费用</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（1）基金管理人的管理费</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本基金的管理费按前一日基金资产净值的1.2%年费率计提。管理费的计算方法如下：</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H＝E×年管理费率÷当年天数</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H为每日应计提的基金管理费</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E为前一日的基金资产净值</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基金管理费每日计提，逐日累计至每月月末，按月支付。由基金管理人与基金托管人核对一致后，由基金托管人按照与基金管理人协商一致的方式于次月首日起5个工作日内从基金财产中一次性支付给基金管理人，若遇法定节假日、休息日或不可抗力致使无法按时支付的，支付日期顺延。</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（2）基金托管人的托管费</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本基金的托管费按前一日基金资产净值的0.2%年费率计提。托管费的计算方法如下：</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H＝E×年托管费率÷当年天数</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H为每日应计提的基金托管费</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E为前一日的基金资产净值</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基金托管费每日计提，逐日累计至每月月末，按月支付。由基金管理人与基金托管人核对一致后，由基金托管人按照与基金管理人协商一致的方式于次月首日起5个工作日内从基金财产中一次性支付给基金托管人，若遇法定节假日、休息日或不可抗力致使无法按时支付的，支付日期顺延。</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（3）C类基金份额的销售服务费</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本基金A类基金份额不收取销售服务费，C类基金份额的销售服务费按前一日C类基金资产净值的0.8%年费率计提。计算方法如下：</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H＝E×0.8%÷当年天数</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H为C类基金份额每日应计提的销售服务费</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E为C类基金份额前一日基金资产净值</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C类基金份额销售服务费每日计提，逐日累计至每月月末，按月支付。由基金管理人与基金托管人核对一致后，由基金托管人按照与基金管理人协商一致的方式自动于次月首日起5个工作日内从基金财产中一次性支付给基金管理人，由基金管理人代付给销售机构，若遇法定节假日、休息日或不可抗力致使无法按时支付的，支付日期顺延。</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C类基金份额的销售服务费将专门用于本基金的市场推广、销售与基金份额持有人服务。</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（4）上述“（一）基金费用的种类”中第3－9项、第11项费用，根据有关法规及相应协议规定，按费用实际支出金额列入当期费用，由基金托管人从基金财产中支付。</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2、与基金销售有关的费用</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（1）申购费</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本基金申购费的费率水平、计算公式和收取方式详见“基金份额的申购与赎回”一章。</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（2）赎回费</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本基金赎回费的费率水平、计算公式和收取方式详见“基金份额的申购与赎回”一章。</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b/>
          <w:kern w:val="0"/>
          <w:sz w:val="24"/>
        </w:rPr>
        <w:t>（三）不列入基金费用的项目</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下列费用不列入基金费用：</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1、基金管理人和基金托管人因未履行或未完全履行义务导致的费用支出或基金财产的损失；</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2、基金管理人和基金托管人处理与基金运作无关的事项发生的费用；</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3、《基金合同》生效前的相关费用；</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4、其他根据相关法律法规及中国证监会的有关规定不得列入基金费用的项目。</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b/>
          <w:kern w:val="0"/>
          <w:sz w:val="24"/>
        </w:rPr>
        <w:t>（四）实施侧袋机制期间的基金费用</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本基金实施侧袋机制的，与侧袋账户有关的费用可以从侧袋账户中列支，但应待侧袋账户资产变现后方可列支，有关费用可酌情收取或减免，但不得收取管理费，详见本招募说明书“侧袋机制”部分的规定。</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b/>
          <w:kern w:val="0"/>
          <w:sz w:val="24"/>
        </w:rPr>
        <w:t>（五）基金税收</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本基金运作过程中涉及的各纳税主体，其纳税义务按国家税收法律、法规执行。基金财产投资的相关税收，由基金份额持有人承担，基金管理人或者其他扣缴义务人按照国家有关税收征收的规定代扣代缴。</w:t>
      </w:r>
    </w:p>
    <w:p>
      <w:pPr>
        <w:pStyle w:val="Heading1"/>
        <w:snapToGrid w:val="0"/>
        <w:spacing w:before="240" w:beforeLines="0" w:after="0"/>
        <w:rPr>
          <w:rFonts w:ascii="宋体" w:hAnsi="宋体"/>
          <w:szCs w:val="30"/>
        </w:rPr>
      </w:pPr>
      <w:r>
        <w:br w:type="page"/>
      </w:r>
      <w:bookmarkStart w:id="34" w:name="_Toc256000016"/>
      <w:bookmarkStart w:id="35" w:name="_Toc256000043"/>
      <w:r>
        <w:rPr>
          <w:rFonts w:ascii="宋体" w:hAnsi="宋体"/>
          <w:sz w:val="30"/>
        </w:rPr>
        <w:t>十六、基金的会计与审计</w:t>
      </w:r>
      <w:bookmarkEnd w:id="35"/>
      <w:bookmarkEnd w:id="34"/>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b/>
          <w:kern w:val="0"/>
          <w:sz w:val="24"/>
        </w:rPr>
        <w:t>（一）基金会计政策</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1、基金管理人为本基金的基金会计责任方；</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2、基金的会计年度为公历年度的1月1日至12月31日；基金首次募集的会计年度按如下原则：如果《基金合同》生效少于2个月，可以并入下一个会计年度披露；</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3、基金核算以人民币为记账本位币，以人民币元为记账单位；</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4、会计制度执行国家有关会计制度；</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5、本基金独立建账、独立核算；</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6、基金管理人及基金托管人各自保留完整的会计账目、凭证并进行日常的会计核算，按照有关规定编制基金会计报表；</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7、基金托管人每月与基金管理人就基金的会计核算、报表编制等进行核对确认。</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b/>
          <w:kern w:val="0"/>
          <w:sz w:val="24"/>
        </w:rPr>
        <w:t>（二）基金的年度审计</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1、基金管理人聘请与基金管理人、基金托管人相互独立的符合《中华人民共和国证券法》规定的会计师事务所及其注册会计师对本基金的年度财务报表进行审计。</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2、会计师事务所更换经办注册会计师，应事先征得基金管理人同意。</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3、基金管理人认为有充足理由更换会计师事务所，须通报基金托管人。更换会计师事务所需依照《信息披露办法》的规定在规定媒介公告。</w:t>
      </w:r>
    </w:p>
    <w:p>
      <w:pPr>
        <w:pStyle w:val="Heading1"/>
        <w:snapToGrid w:val="0"/>
        <w:spacing w:before="240" w:beforeLines="0" w:after="0"/>
        <w:rPr>
          <w:rFonts w:ascii="宋体" w:hAnsi="宋体"/>
          <w:szCs w:val="30"/>
        </w:rPr>
      </w:pPr>
      <w:r>
        <w:br w:type="page"/>
      </w:r>
      <w:bookmarkStart w:id="36" w:name="_Toc256000017"/>
      <w:bookmarkStart w:id="37" w:name="_Toc256000044"/>
      <w:r>
        <w:rPr>
          <w:rFonts w:ascii="宋体" w:hAnsi="宋体"/>
          <w:sz w:val="30"/>
        </w:rPr>
        <w:t>十七、基金的信息披露</w:t>
      </w:r>
      <w:bookmarkEnd w:id="37"/>
      <w:bookmarkEnd w:id="36"/>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b/>
          <w:kern w:val="0"/>
          <w:sz w:val="24"/>
        </w:rPr>
        <w:t>（一）</w:t>
      </w:r>
      <w:r w:rsidRPr="00BB248E">
        <w:rPr>
          <w:rFonts w:ascii="宋体" w:hAnsi="宋体" w:hint="eastAsia"/>
          <w:b/>
          <w:kern w:val="0"/>
          <w:sz w:val="24"/>
        </w:rPr>
        <w:t>本基金的信息披露应符合《基金法》、《运作办法》、《信息披露办法》、《流动性风险管理规定》、《基金合同》及其他有关规定。</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b/>
          <w:kern w:val="0"/>
          <w:sz w:val="24"/>
        </w:rPr>
        <w:t>（二）信息披露义务人</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本基金信息披露义务人包括基金管理人、基金托管人、召集基金份额持有人大会的基金份额持有人等法律、行政法规和中国证监会规定的自然人、法人和非法人组织。</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本基金信息披露义务人以保护基金份额持有人利益为根本出发点，按照法律法规和中国证监会的规定披露基金信息，并保证所披露信息的真实性、准确性、完整性、及时性、简明性和易得性。</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本基金信息披露义务人应当在中国证监会规定时间内，将应予披露的基金信息通过符合中国证监会规定条件的全国性报刊（以下简称“规定报刊”）及《信息披露办法》规定的互联网网站（以下简称“规定网站”）等媒介披露，并保证基金投资者能够按照《基金合同》约定的时间和方式查阅或者复制公开披露的信息资料。</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b/>
          <w:kern w:val="0"/>
          <w:sz w:val="24"/>
        </w:rPr>
        <w:t>（三）本基金信息披露义务人承诺公开披露的基金信息，不得有下列行为：</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1、虚假记载、误导性陈述或者重大遗漏；</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2、对证券投资业绩进行预测；</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3、违规承诺收益或者承担损失；</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4、诋毁其他基金管理人、基金托管人或者基金销售机构；</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5、登载任何自然人、法人和非法人组织的祝贺性、恭维性或推荐性的文字；</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6、中国证监会禁止的其他行为。</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b/>
          <w:kern w:val="0"/>
          <w:sz w:val="24"/>
        </w:rPr>
        <w:t>（四）</w:t>
      </w:r>
      <w:r w:rsidRPr="00BB248E">
        <w:rPr>
          <w:rFonts w:ascii="宋体" w:hAnsi="宋体" w:hint="eastAsia"/>
          <w:b/>
          <w:kern w:val="0"/>
          <w:sz w:val="24"/>
        </w:rPr>
        <w:t>本基金公开披露的信息应采用中文文本。如同时采用外文文本的，基金信息披露义务人应保证不同文本的内容一致。不同文本之间发生歧义的，以中文文本为准。</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本基金公开披露的信息采用阿拉伯数字；除特别说明外，货币单位为人民币元。</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b/>
          <w:kern w:val="0"/>
          <w:sz w:val="24"/>
        </w:rPr>
        <w:t>（五）公开披露的基金信息</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公开披露的基金信息包括：</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1、基金招募说明书、《基金合同》、基金托管协议、基金产品资料概要</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（1）《基金合同》是界定《基金合同》当事人的各项权利、义务关系，明确基金份额持有人大会召开的规则及具体程序，说明基金产品的特性等涉及基金投资者重大利益的事项的法律文件。</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2）基金招募说明书应当最大限度地披露影响基金投资者决策的全部事项，说明基金认购、申购和赎回安排、基金投资、基金产品特性、风险揭示、信息披露及基金份额持有人服务等内容。《基金合同》生效后，基金招募说明书的信息发生重大变更的，基金管理人应当在三个工作日内，更新基金招募说明书并登载在规定网站上；基金招募说明书其他信息发生变更的，基金管理人至少每年更新一次。基金终止运作的，基金管理人不再更新基金招募说明书。</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（3）基金托管协议是界定基金托管人和基金管理人在基金财产保管及基金运作监督等活动中的权利、义务关系的法律文件。</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4）基金产品资料概要是基金招募说明书的摘要文件，用于向投资者提供简明的基金概要信息。《基金合同》生效后，基金产品资料概要的信息发生重大变更的，基金管理人应当在三个工作日内，更新基金产品资料概要，并登载在规定网站及基金销售机构网站或营业网点；基金产品资料概要其他信息发生变更的，基金管理人至少每年更新一次。基金终止运作的，基金管理人不再更新基金产品资料概要。</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基金募集申请经中国证监会注册后，基金管理人在基金份额发售的三日前，将基金份额发售公告、基金招募说明书提示性公告和《基金合同》提示性公告登载在规定报刊上，将基金份额发售公告、基金招募说明书、基金产品资料概要、《基金合同》和基金托管协议登载在规定网站上，并将基金产品资料概要登载在基金销售机构网站或营业网点；基金托管人应当同时将《基金合同》、基金托管协议登载在网站上。</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2、基金份额发售公告</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基金管理人应当就基金份额发售的具体事宜编制基金份额发售公告，并在披露招募说明书的当日登载于规定媒介上。</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3、《基金合同》生效公告</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基金管理人应当在收到中国证监会确认文件的次日在规定媒介上登载《基金合同》生效公告。</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4、基金净值信息</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《基金合同》生效后，在开始办理基金份额申购或者赎回前，基金管理人应当至少每周在规定网站分别披露一次A类基金份额和C类基金份额所对应的基金份额净值和基金份额累计净值。</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在开始办理基金份额申购或者赎回后，基金管理人应当在不晚于每个开放日的次日，通过规定网站、基金销售机构网站或者营业网点分别披露开放日的A类基金份额和C类基金份额所对应的基金份额净值和基金份额累计净值。</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基金管理人应当在不晚于半年度和年度最后一日的次日，在规定网站披露半年度和年度最后一日A类基金份额和C类基金份额所对应的基金份额净值和基金份额累计净值。</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5、基金份额申购、赎回价格</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基金管理人应当在《基金合同》、招募说明书等信息披露文件上载明基金份额申购、赎回价格的计算方式及有关申购、赎回费率，并保证投资者能够在基金销售机构网站或营业网点查阅或者复制前述信息资料。</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6、基金定期报告，包括基金年度报告、基金中期报告和基金季度报告</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基金管理人应当在每年结束之日起三个月内，编制完成基金年度报告，将年度报告登载在规定网站上，并将年度报告提示性公告登载在规定报刊上。基金年度报告中的财务会计报告应当经过符合《中华人民共和国证券法》规定的会计师事务所审计。</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基金管理人应当在上半年结束之日起两个月内，编制完成基金中期报告，将中期报告登载在规定网站上，并将中期报告提示性公告登载在规定报刊上。</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基金管理人应当在季度结束之日起15个工作日内，编制完成基金季度报告，将季度报告登载在规定网站上，并将季度报告提示性公告登载在规定报刊上。</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《基金合同》生效不足2个月的，基金管理人可以不编制当期季度报告、中期报告或者年度报告。</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如报告期内出现单一投资者持有基金份额达到或超过基金总份额20%的情形，为保障其他投资者的权益，基金管理人至少应当在定期报告“影响投资者决策的其他重要信息”项下披露该投资者的类别、报告期末持有份额及占比、报告期内持有份额变化情况及本基金的特有风险，中国证监会认定的特殊情形除外。</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基金管理人应当在基金年度报告和中期报告中披露基金组合资产情况及其流动性风险分析等。</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7、临时报告</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本基金发生重大事件，有关信息披露义务人应当依照《信息披露办法》的规定编制临时报告书，并登载在规定报刊和规定网站上。</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前款所称重大事件，是指可能对基金份额持有人权益或者基金份额的价格产生重大影响的下列事件：</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（1）基金份额持有人大会的召开及决定的事项；</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（2）《基金合同》终止、基金清算；</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（3）转换基金运作方式、基金合并；</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（4）更换基金管理人、基金托管人、基金份额登记机构，基金改聘会计师事务所；</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（5）基金管理人委托基金服务机构代为办理基金的份额登记、核算、估值等事项，基金托管人委托基金服务机构代为办理基金的核算、估值、复核等事项；</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（6）基金管理人、基金托管人的法定名称、住所发生变更；</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（7）基金管理人变更持有百分之五以上股权的股东、基金管理人的实际控制人变更；</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（8）基金募集期延长或提前结束募集；</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（9）基金管理人的高级管理人员、基金经理和基金托管人专门基金托管部门负责人发生变动；</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（10）基金管理人的董事在最近12个月内变更超过百分之五十，基金管理人、基金托管人专门基金托管部门的主要业务人员在最近12个月内变动超过百分之三十；</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（11）涉及基金财产、基金管理业务、基金托管业务的诉讼或仲裁；</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（12）基金管理人或其高级管理人员、基金经理因基金管理业务相关行为受到重大行政处罚、刑事处罚，基金托管人或其专门基金托管部门负责人因基金托管业务相关行为受到重大行政处罚、刑事处罚；</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13）基金管理人运用基金财产买卖基金管理人、基金托管人及其控股股东、实际控制人或者与其有重大利害关系的公司发行的证券或者承销期内承销的证券，或者从事其他重大关联交易事项，但中国证监会另有规定的除外；</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（14）基金收益分配事项；</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（15）管理费、托管费、销售服务费、申购费、赎回费等费用计提标准、计提方式和费率发生变更；</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（16）任一类基金份额净值计价错误达该类基金份额净值百分之零点五；</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（17）本基金开始办理申购、赎回；</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（18）本基金发生巨额赎回并延期办理；</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（19）本基金连续发生巨额赎回并暂停接受赎回申请或延缓支付赎回款项；</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（20）本基金暂停接受申购、赎回申请或重新接受申购、赎回申请；</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（21）发生涉及基金申购、赎回事项调整或潜在影响投资者赎回等重大事项时；</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（22）基金管理人采用摆动定价机制进行估值；</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（23）本基金增加或调整基金份额类别；</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（24）本基金推出新业务或服务；</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（25）本基金连续30个工作日、40个工作日、45个工作日出现基金份额持有人数量不满200人或者基金资产净值低于5000万元情形的；</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（26）基金信息披露义务人认为可能对基金份额持有人权益或者基金份额的价格产生重大影响的其他事项或中国证监会规定和基金合同约定的其他事项。</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8、澄清公告</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在《基金合同》存续期限内，任何公共媒介中出现的或者在市场上流传的消息可能对基金份额价格产生误导性影响或者引起较大波动，以及可能损害基金份额持有人权益的，相关信息披露义务人知悉后应当立即对该消息进行公开澄清，并将有关情况立即报告中国证监会。</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9、基金份额持有人大会决议</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基金份额持有人大会决定的事项，应当依法报中国证监会备案，并予以公告。</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基金份额持有人依法自行召集基金份额持有人大会，基金管理人、基金托管人对基金份额持有人大会决定的事项不依法履行信息披露义务的，召集人应当履行相关信息披露义务。</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10、实施侧袋机制期间的信息披露</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本基金实施侧袋机制的，相关信息披露义务人应当根据法律法规、基金合同和招募说明书的规定进行信息披露，详见本招募说明书“侧袋机制”部分的规定。</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11、清算报告</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基金合同终止的，基金管理人应当依法组织清算小组对基金财产进行清算并作出清算报告。清算报告应当经过符合《中华人民共和国证券法》规定的会计师事务所审计，并由律师事务所出具法律意见书。清算小组应当将清算报告登载在规定网站上，并将清算报告提示性公告登载在规定报刊上。</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12、基金投资资产支持证券情况</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本基金可投资资产支持证券，基金管理人应在基金年度报告及中期报告中披露其持有的资产支持证券总额、资产支持证券市值占基金净资产的比例和报告期末所有的资产支持证券明细。基金管理人应在基金季度报告中披露其持有的资产支持证券总额、资产支持证券市值占基金净资产的比例和报告期末按市值占基金净资产比例大小排序的前10名资产支持证券明细。</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13、基金投资股指期货情况</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本基金可投资股指期货，基金管理人需按照法规要求在季度报告、中期报告、年度报告等定期报告和招募说明书（更新）等文件中披露股指期货交易情况，包括投资政策、持仓情况、损益情况、风险指标等，并充分揭示股指期货交易对基金总体风险的影响以及是否符合既定的投资政策和投资目标等。</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14、基金投资港股通标的股票情况</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基金应当在季度报告、中期报告、年度报告等定期报告和招募说明书（更新）等文件中披露港股通标的股票的投资情况。法律法规或中国证监会另有规定的，从其规定。</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15、中国证监会规定的其他信息。</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b/>
          <w:kern w:val="0"/>
          <w:sz w:val="24"/>
        </w:rPr>
        <w:t>（六）信息披露事务管理</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基金管理人、基金托管人应当建立健全信息披露管理制度，指定专门部门及高级管理人员负责管理信息披露事务。</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基金信息披露义务人公开披露基金信息，应当符合中国证监会相关基金信息披露内容与格式准则等法规的规定。</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基金托管人应当按照相关法律法规、中国证监会的规定和《基金合同》的约定，对基金管理人编制的基金资产净值、各类基金份额的基金份额净值、基金份额申购赎回价格、基金定期报告、更新的招募说明书、基金产品资料概要、基金清算报告等相关基金信息进行复核、审查，并向基金管理人进行书面或电子确认。</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基金管理人、基金托管人应当在规定报刊中选择一家披露信息的报刊。基金管理人、基金托管人应当向中国证监会基金电子披露网站报送拟披露的基金信息，并保证相关报送信息的真实、准确、完整、及时。</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基金管理人、基金托管人除依法在规定媒介上披露信息外，还可以根据需要在其他公共媒介披露信息，但是其他公共媒介不得早于规定媒介披露信息，并且在不同媒介上披露同一信息的内容应当一致。</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为基金信息披露义务人公开披露的基金信息出具审计报告、法律意见书的专业机构，应当制作工作底稿，并将相关档案至少保存到《基金合同》终止后10年。</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基金管理人、基金托管人除按法律法规要求披露信息外，也可着眼于为投资者决策提供有用信息的角度，在保证公平对待投资者、不误导投资者、不影响基金正常投资操作的前提下，自主提升信息披露服务的质量。具体要求应当符合中国证监会及自律规则的相关规定。前述自主披露如产生信息披露费用，该费用不得从基金财产中列支。</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b/>
          <w:kern w:val="0"/>
          <w:sz w:val="24"/>
        </w:rPr>
        <w:t>（七）信息披露文件的存放与查阅</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依法必须披露的信息发布后，基金管理人、基金托管人应当按照相关法律法规规定将信息置备于各自办公场所，供社会公众查阅、复制。</w:t>
      </w:r>
    </w:p>
    <w:p>
      <w:pPr>
        <w:pStyle w:val="Heading1"/>
        <w:snapToGrid w:val="0"/>
        <w:spacing w:before="240" w:beforeLines="0" w:after="0"/>
        <w:rPr>
          <w:rFonts w:ascii="宋体" w:hAnsi="宋体"/>
          <w:szCs w:val="30"/>
        </w:rPr>
      </w:pPr>
      <w:r>
        <w:br w:type="page"/>
      </w:r>
      <w:bookmarkStart w:id="38" w:name="_Toc256000018"/>
      <w:bookmarkStart w:id="39" w:name="_Toc256000045"/>
      <w:r>
        <w:rPr>
          <w:rFonts w:ascii="宋体" w:hAnsi="宋体"/>
          <w:sz w:val="30"/>
        </w:rPr>
        <w:t>十八、侧袋机制</w:t>
      </w:r>
      <w:bookmarkEnd w:id="39"/>
      <w:bookmarkEnd w:id="38"/>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b/>
          <w:kern w:val="0"/>
          <w:sz w:val="24"/>
        </w:rPr>
        <w:t>（一）侧袋机制的实施条件</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当基金持有特定资产且存在或潜在大额赎回申请时，根据最大限度保护基金份额持有人利益的原则，基金管理人经与基金托管人协商一致，并咨询会计师事务所意见后，可以依照法律法规及基金合同的约定启用侧袋机制。</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基金管理人应当在启用侧袋机制后及时发布临时公告，并在五个工作日内聘请侧袋机制启用日发表意见且符合《中华人民共和国证券法》规定的会计师事务所进行审计并披露专项审计意见。</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b/>
          <w:kern w:val="0"/>
          <w:sz w:val="24"/>
        </w:rPr>
        <w:t>（二）实施侧袋机制期间基金份额的申购与赎回</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1、启用侧袋机制当日，基金登记机构以基金份额持有人的原有账户份额为基础，确认相应侧袋账户基金份额持有人名册和份额；当日收到的申购申请，按照启用侧袋机制后的主袋账户份额办理；当日收到的赎回申请，仅办理主袋账户的赎回申请并支付赎回款项。</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2、实施侧袋机制期间，基金管理人不办理侧袋账户份额的申购、赎回和转换；同时，基金管理人按照基金合同和招募说明书的约定办理主袋账户份额的赎回，并根据主袋账户运作情况确定是否暂停申购。</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3、除基金管理人应按照主袋账户的份额净值办理主袋账户份额的申购和赎回外，本招募说明书“基金份额的申购与赎回”部分的申购、赎回规定适用于主袋账户份额。巨额赎回按照单个开放日内主袋账户份额净赎回申请超过前一开放日主袋账户总份额的10%认定。</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b/>
          <w:kern w:val="0"/>
          <w:sz w:val="24"/>
        </w:rPr>
        <w:t>（三）实施侧袋机制期间的基金投资</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侧袋机制实施期间，招募说明书“基金的投资”部分约定的投资组合比例、投资策略、组合限制、业绩比较基准、风险收益特征等约定仅适用于主袋账户。基金管理人计算各项投资运作指标和基金业绩指标时仅需考虑主袋账户资产。</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基金管理人原则上应当在侧袋机制启用后20个交易日内完成对主袋账户投资组合的调整，因资产流动性受限等中国证监会规定的情形除外。</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基金管理人不得在侧袋账户中进行除特定资产处置变现以外的其他投资操作。</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b/>
          <w:kern w:val="0"/>
          <w:sz w:val="24"/>
        </w:rPr>
        <w:t>（四）实施侧袋机制期间的基金估值</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本基金实施侧袋机制的，基金管理人和基金托管人应对主袋账户资产进行估值并披露主袋账户的基金净值信息，暂停披露侧袋账户份额净值。侧袋账户的会计核算应符合《企业会计准则》的相关要求。</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b/>
          <w:kern w:val="0"/>
          <w:sz w:val="24"/>
        </w:rPr>
        <w:t>（五）实施侧袋账户期间的基金费用</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1、本基金实施侧袋机制的，管理费和托管费等按主袋账户基金资产净值作为基数计提。</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2、与侧袋账户有关的费用可从侧袋账户中列支，但应待侧袋账户资产变现后方可列支，有关费用可酌情收取或减免，但不得收取管理费。</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b/>
          <w:kern w:val="0"/>
          <w:sz w:val="24"/>
        </w:rPr>
        <w:t>（六）侧袋账户中特定资产的处置变现和支付</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特定资产以可出售、可转让、恢复交易等方式恢复流动性后，基金管理人应当按照基金份额持有人利益最大化原则，采取将特定资产予以处置变现等方式，及时向侧袋账户份额持有人支付对应变现款项。</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侧袋机制实施期间，无论侧袋账户资产是否全部完成变现，基金管理人都应当及时向侧袋账户全部份额持有人支付已变现部分对应的款项。若侧袋账户资产无法一次性完成处置变现，基金管理人在每次处置变现后均应按照相关法律法规要求及时发布临时公告。</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侧袋账户资产全部完成变现并终止侧袋机制后，基金管理人应及时聘请符合《中华人民共和国证券法》规定的会计师事务所进行审计并披露专项审计意见。</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b/>
          <w:kern w:val="0"/>
          <w:sz w:val="24"/>
        </w:rPr>
        <w:t>（七）侧袋机制的信息披露</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1、临时公告</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在启用侧袋机制、处置特定资产、终止侧袋机制以及发生其他可能对投资者利益产生重大影响的事项后基金管理人应及时发布临时公告。</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2、基金净值信息</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基金管理人应按照招募说明书“基金的信息披露”部分规定的基金净值信息披露方式和频率披露主袋账户份额的基金净值信息。实施侧袋机制期间本基金暂停披露侧袋账户份额净值和累计净值。</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3、定期报告</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侧袋机制实施期间，基金管理人应当在基金定期报告中披露报告期内侧袋账户相关信息，基金定期报告中的基金会计报表仅需针对主袋账户进行编制。会计师事务所对基金年度报告进行审计时，应对报告期内基金侧袋机制运行相关的会计核算和年度报告披露等发表审计意见。</w:t>
      </w:r>
    </w:p>
    <w:p>
      <w:pPr>
        <w:pStyle w:val="Heading1"/>
        <w:snapToGrid w:val="0"/>
        <w:spacing w:before="240" w:beforeLines="0" w:after="0"/>
        <w:rPr>
          <w:rFonts w:ascii="宋体" w:hAnsi="宋体"/>
          <w:szCs w:val="30"/>
        </w:rPr>
      </w:pPr>
      <w:r>
        <w:br w:type="page"/>
      </w:r>
      <w:bookmarkStart w:id="40" w:name="_Toc256000019"/>
      <w:bookmarkStart w:id="41" w:name="_Toc256000046"/>
      <w:r>
        <w:rPr>
          <w:rFonts w:ascii="宋体" w:hAnsi="宋体"/>
          <w:sz w:val="30"/>
        </w:rPr>
        <w:t>十九、风险揭示</w:t>
      </w:r>
      <w:bookmarkEnd w:id="41"/>
      <w:bookmarkEnd w:id="40"/>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证券投资基金（以下简称“基金”）是一种长期投资工具，其主要功能是分散投资，降低投资单一证券所带来的个别风险。基金不同于银行储蓄和债券等能够提供固定收益预期的金融工具，投资人购买基金，既可能按其持有份额分享基金投资所产生的收益，也可能承担基金投资所带来的损失。</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基金在投资运作过程中可能面临各种风险，既包括市场风险，也包括基金自身的管理风险、技术风险和合规风险等。巨额赎回风险是开放式基金所特有的一种风险，即当单个开放日基金的净赎回申请（赎回申请份额总数加上基金转换中转出申请份额总数后扣除申购申请份额总数及基金转换中转入申请份额总数后的余额）超过上一开放日基金总份额的百分之十时，投资人将可能无法及时赎回持有的全部基金份额。基金分为股票型基金、混合型基金、债券型基金、货币市场基金等不同类型，投资人投资不同类型的基金将获得不同的收益预期，也将承担不同程度的风险。一般来说，基金的收益预期越高，投资人承担的风险也越大。</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投资人应当认真阅读《基金合同》、《招募说明书》、基金产品资料概要等基金法律文件，了解基金的风险收益特征，并根据自身的投资目的、投资期限、投资经验、资产状况等判断基金是否和投资人的风险承受能力相适应。</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投资人应当充分了解基金定期定额投资和零存整取等储蓄方式的区别。定期定额投资是引导投资人进行长期投资、平均投资成本的一种简单易行的投资方式。但是定期定额投资并不能规避基金投资所固有的风险，不能保证投资人获得收益，也不是替代储蓄的等效理财方式。</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因拆分、分红等行为导致基金份额净值变化，不会改变基金的风险收益特征，不会降低基金投资风险或提高基金投资收益。以1元初始面值开展基金募集或因拆分、分红等行为导致基金份额净值调整至1元初始面值或1元附近，在市场波动等因素的影响下，基金投资仍有可能出现亏损或基金净值仍有可能低于初始面值。</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基金管理人承诺以诚实信用、谨慎勤勉的原则管理和运用基金资产，但不保证投资于本基金一定盈利，也不保证最低收益。基金管理人管理的其他基金的业绩不构成对本基金业绩表现的保证。基金管理人提醒投资人基金投资的“买者自负”原则，在做出投资决策后，基金运营状况与基金净值变化引致的投资风险，由投资人自行负担。</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基金份额持有人须了解并承受以下风险：</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b/>
          <w:kern w:val="0"/>
          <w:sz w:val="24"/>
        </w:rPr>
        <w:t>（一）市场风险</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证券市场价格因受到经济因素、政治因素、投资心理和交易制度等各种因素的影响而引起的波动，将对基金收益水平产生潜在风险，主要包括：</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1、政策风险。因国家宏观政策（如货币政策、财政政策、行业政策、地区发展政策等）和证券市场监管政策发生变化，导致市场价格波动而产生风险。</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2、经济周期风险。证券市场受宏观经济运行的影响，而经济运行具有周期性的特点，宏观经济运行状况将对证券市场的收益水平产生影响，从而对基金收益造成影响。</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3、利率风险。金融市场利率的波动会导致证券市场价格和收益率的变动。利率直接影响着债券的价格和收益率，影响着企业的融资成本和利润。基金投资于债券和债券回购，其收益水平会受到利率变化和货币市场供求状况的影响。</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4、上市公司经营风险。上市公司的经营状况受多种因素影响，如管理能力、财务状况、市场前景、行业竞争、人员素质等，这些都会导致企业的盈利发生变化。如果基金所投资的上市公司经营不善，其股票价格可能下跌，或者能够用于分配的利润减少，使基金投资收益下降。虽然基金可以通过投资多样化来分散这种非系统风险，但不能完全规避。</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5、购买力风险。基金投资的目的是基金资产的保值增值，如果发生通货膨胀，基金投资于证券所获得的收益可能会被通货膨胀抵消，从而使基金的实际收益下降，影响基金资产的保值增值。</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b/>
          <w:kern w:val="0"/>
          <w:sz w:val="24"/>
        </w:rPr>
        <w:t>（二）管理风险</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在基金管理运作过程中基金管理人的知识、经验、判断、决策、技能等，会影响其对信息的占有和对经济形势、证券价格走势的判断，从而影响基金收益水平。因此，本基金的收益水平与基金管理人的管理水平、管理手段和管理技术等相关性较大，本基金可能因为基金管理人的因素而影响基金收益水平。</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b/>
          <w:kern w:val="0"/>
          <w:sz w:val="24"/>
        </w:rPr>
        <w:t>（三）流动性风险</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本基金属于开放式基金，在基金的所有开放日，基金管理人都有义务接受投资人的赎回。如果基金资产不能迅速转变成现金，或者变现为现金时使资金净值产生不利的影响，都会影响基金运作和收益水平。尤其是在发生巨额赎回时，如果基金资产变现能力差，可能会产生基金仓位调整的困难，导致流动性风险，可能影响基金份额净值。</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1、本基金的申购、赎回安排</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本基金采用开放方式运作，基金管理人在开放日办理基金份额的申购和赎回，具体办理时间为上海证券交易所、深圳证券交易所的正常交易日的交易时间（若该工作日为非港股通交易日，则本基金可不开放），但基金管理人根据法律法规、中国证监会的要求或基金合同的规定公告暂停申购、赎回时除外。基金管理人可根据实际情况依法决定本基金开始办理申购的具体日期，具体业务办理时间在申购开始公告中规定。基金管理人自基金合同生效之日起不超过3个月开始办理赎回，具体业务办理时间在赎回开始公告中规定。</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2、投资市场、行业及资产的流动性风险评估</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本基金的投资市场主要为证券交易所、全国银行间债券市场等流动性较好的规范型交易场所，主要投资对象为具有良好流动性的金融工具，同时本基金基于分散投资的原则在行业和个券方面未有高集中度的特征，综合评估在正常市场环境下本基金的流动性风险适中。</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3、巨额赎回情形下的流动性风险管理措施</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若本基金单个开放日内的基金份额净赎回申请（赎回申请份额总数加上基金转换中转出申请份额总数后扣除申购申请份额总数及基金转换中转入申请份额总数后的余额）超过前一开放日的基金总份额的10%，即认为是发生了巨额赎回。</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当基金出现巨额赎回时，基金管理人可以根据基金当时的资产组合状况决定全额赎回或部分延期赎回。</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（1）全额赎回：当基金管理人认为有能力支付投资人的全部赎回申请时，按正常赎回程序执行。</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2）部分延期赎回：当基金管理人认为支付投资人的赎回申请有困难或认为因支付投资人的赎回申请而进行的财产变现可能会对基金资产净值造成较大波动时，基金管理人在当日接受赎回比例不低于上一开放日基金总份额的10%的前提下，可对其余赎回申请延期办理。对于当日的赎回申请，应当按单个账户赎回申请量占赎回申请总量的比例，确定当日受理的赎回份额；对于未能赎回部分，投资人在提交赎回申请时可以选择延期赎回或取消赎回。选择延期赎回的，将自动转入下一个开放日继续赎回，直到全部赎回为止；选择取消赎回的，当日未获受理的部分赎回申请将被撤销。延期的赎回申请与下一开放日赎回申请一并处理，无优先权并以下一开放日该类基金份额的基金份额净值为基础计算赎回金额，以此类推，直到全部赎回为止。如投资人在提交赎回申请时未作明确选择，投资人未能赎回部分作自动延期赎回处理。</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（3）本基金如发生巨额赎回且单个开放日内单个基金份额持有人申请赎回的基金份额超过前一开放日的基金总份额的20%时，本基金管理人有权采取如下措施：</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对于基金份额持有人当日超过20%的赎回申请，可以对其赎回申请延期办理。对于未能赎回部分，投资人在提交赎回申请时可以选择延期赎回或取消赎回。选择延期赎回的，将自动转入下一个开放日继续赎回，直到全部赎回为止；选择取消赎回的，当日未获受理的部分赎回申请将被撤销。延期的赎回申请与下一开放日赎回申请一并处理，无优先权并以下一开放日该类基金份额的基金份额净值为基础计算赎回金额，以此类推，直到全部赎回为止。</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对于基金份额持有人未超过上述比例的部分，基金管理人可以根据前段“（1）全额赎回”或“（2）部分延期赎回”的约定方式与其他基金份额持有人的赎回申请一并办理。但是，如基金份额持有人在当日选择取消赎回，则其当日未获受理的部分赎回申请将被撤销。</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4）暂停赎回：连续2个开放日以上（含本数）发生巨额赎回，如基金管理人认为有必要，可暂停接受基金的赎回申请；已经接受的赎回申请可以延缓支付赎回款项，但不得超过20个工作日，并应当在规定媒介上进行公告。</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4、实施备用的流动性风险管理工具的情形、程序及对投资者的潜在影响</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本基金在面临大规模赎回的情况下有可能因为无法变现造成流动性风险。</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如果出现流动性风险，基金管理人经与基金托管人协商，在确保投资者得到公平对待的前提下，可实施备用的流动性风险管理工具，包括但不限于延期办理巨额赎回申请、暂停接受赎回申请、延缓支付赎回款项、收取短期赎回费、摆动定价、暂停基金估值、实施侧袋机制等，作为特定情形下基金管理人流动性风险管理的辅助措施，同时基金管理人应时刻防范可能产生的流动性风险，对流动性风险进行日常监控，保护持有人的利益。当实施备用的流动性风险管理工具时，有可能无法按合同约定的时限支付赎回款项。</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侧袋机制是一种流动性风险管理工具，是将特定资产分离至专门的侧袋账户进行处置清算，并以处置变现后的款项向基金份额持有人进行支付，目的在于有效隔离并化解风险。但基金启用侧袋机制后，侧袋账户份额将停止披露基金份额净值，并不得办理申购、赎回和转换，因此启用侧袋机制时持有基金份额的持有人将在启用侧袋机制后同时持有主袋账户份额和侧袋账户份额，侧袋账户份额不能赎回，其对应特定资产的变现时间具有不确定性，最终变现价格也具有不确定性并且有可能大幅低于启用侧袋机制时的特定资产的估值，基金份额持有人可能因此面临损失。</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实施侧袋机制期间，因本基金不披露侧袋账户份额的净值，即便基金管理人在基金定期报告中披露报告期末特定资产可变现净值或净值区间的，也不作为特定资产最终变现价格的承诺，因此对于特定资产的公允价值和最终变现价格，基金管理人不承担任何保证和承诺的责任。</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基金管理人将根据主袋账户运作情况合理确定申购政策，因此实施侧袋机制后主袋账户份额存在暂停申购的可能。</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启用侧袋机制后，基金管理人计算各项投资运作指标和基金业绩指标时仅需考虑主袋账户资产，基金业绩指标应当以主袋账户资产为基准，因此本基金披露的业绩指标不能反映特定资产的真实价值及变化情况。</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b/>
          <w:kern w:val="0"/>
          <w:sz w:val="24"/>
        </w:rPr>
        <w:t>（四）信用风险</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基金在交易过程中发生交收违约，或者基金所投资债券之发行人出现违约、拒绝支付到期本息，都可能导致基金资产损失和收益变化，从而产生风险。</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b/>
          <w:kern w:val="0"/>
          <w:sz w:val="24"/>
        </w:rPr>
        <w:t>（五）本基金的特有风险</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1、本基金属于混合型基金，通过在股票、债券等各类资产之间进行配置来降低风险，提高收益。如果股票市场和债券市场同时出现下跌，本基金将不能完全抵御两个市场同时下跌的风险，基金净值将出现下降。此外，本基金在调整资产配置比例时，可能由于基金经理的预判与市场的实际表现存在较大差异，出现资产配置不合理的风险，从而对基金收益造成不利影响。</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2、对宏观经济趋势、政策以及上市公司基本面研究是否准确、深入，以及对股票的优选和判断是否科学、准确将影响本基金的收益。基本面研究及上市公司分析的错误均可能导致所选择的证券不能完全符合本基金的预期目标。</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3、基金合同提前终止风险。连续50个工作日出现基金份额持有人数量不满200人或者基金资产净值低于5000万元情形的，基金合同终止，不需召开基金份额持有人大会。</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4、本基金可投资创业板股票，创业板个股上市后的前五个交易日不设价格涨跌幅限制，第六个交易日开始涨跌幅限制比例为20%。</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b/>
          <w:kern w:val="0"/>
          <w:sz w:val="24"/>
        </w:rPr>
        <w:t>（六）投资股指期货的特定风险</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本基金可投资于股指期货，股指期货作为一种金融衍生品，其价值取决于一种或多种基础资产或指数，其评价主要源自于对挂钩资产的价格与价格波动的预期。投资股指期货所面临的风险主要是市场风险、流动性风险、基差风险、保证金风险、信用风险和操作风险。具体为：</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（1）市场风险是指由于股指期货价格变动而给投资者带来的风险。市场风险是股指期货投资中最主要的风险。</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（2）流动性风险是指由于股指期货合约无法及时变现所带来的风险。</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（3）基差风险是指股指期货合约价格和指数价格之间的价格差的波动所造成的风险，以及不同股指期货合约价格之间价格差的波动所造成的期现价差风险。</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（4）保证金风险是指由于无法及时筹措资金满足建立或者维持股指期货合约头寸所要求的保证金而带来的风险。</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（5）信用风险是指期货经纪公司违约而产生损失的风险。</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（6）操作风险是指由于内部流程的不完善，业务人员出现差错或者疏漏，或者系统出现故障等原因造成损失的风险。</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此外，由于衍生品通常具有杠杆效应，价格波动比标的工具更为剧烈，并且其定价相当复杂，不适当的估值也有可能使基金资产面临损失风险。</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b/>
          <w:kern w:val="0"/>
          <w:sz w:val="24"/>
        </w:rPr>
        <w:t>（七）投资资产支持证券的特定风险</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本基金可投资资产支持证券，资产支持证券具有一定的价格波动风险、流动性风险、信用风险等风险，基金管理人将本着谨慎和控制风险的原则进行资产支持证券投资，请基金份额持有人关注包括投资资产支持证券可能导致的基金净值波动在内的各项风险。</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b/>
          <w:kern w:val="0"/>
          <w:sz w:val="24"/>
        </w:rPr>
        <w:t>（八）投资流通受限证券的特定风险</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基金投资流动受限证券将面临证券市场流动性风险，主要表现在几个方面：基金建仓困难，或建仓成本很高；基金资产不能迅速转变成现金，或变现成本很高；不能应付可能出现的投资者大额赎回的风险；证券投资中个券和个股的流动性风险等。</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b/>
          <w:kern w:val="0"/>
          <w:sz w:val="24"/>
        </w:rPr>
        <w:t>（九）投资港股通标的股票的特定风险</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本基金可投资港股通标的股票，会面临港股通机制下因投资环境、投资标的、市场制度以及交易规则等差异带来的特有风险，具体如下：</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（1）港股交易失败风险</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港股通业务目前存在每日额度。在香港联合交易所开市前阶段，当日额度使用完毕的，新增的买单申报将面临失败的风险；在香港联合交易所持续交易时段，当日额度使用完毕的，当日本基金将面临不能通过港股通进行买入交易的风险。</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（2）汇率风险</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本基金将投资港股通标的股票，在交易时间内提交订单依据的港币买入参考汇率和卖出参考汇率，并不等于最终结算汇率。港股通交易日日终，中国证券登记结算有限责任公司进行净额换汇，将换汇成本按成交金额分摊至每笔交易，确定交易实际适用的结算汇率。</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本基金以人民币募集和计价，港币相对于人民币的汇率变化将会影响本基金以人民币计价的基金资产价值，从而导致基金资产面临潜在风险。人民币对港币的汇率的波动也可能加大基金净值的波动，从而对基金业绩产生影响。故本基金投资面临汇率风险，汇率波动可能对基金的投资收益造成损失。</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（3）境外市场的风险</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1）本基金将通过港股通投资于香港市场，在市场进入、投资额度、可投资对象、税务政策等方面都有一定的限制，而且此类限制可能会不断调整，这些限制因素的变化可能对本基金进入或退出当地市场造成障碍，从而对投资收益以及正常的申购赎回产生直接或间接的影响。</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2）香港市场交易规则有别于内地A股市场规则，此外，在“内地与香港股票市场交易互联互通机制”下参与香港股票投资还将面临包括但不限于如下特殊风险：</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a）香港市场实行T+0回转交易机制（即当日买入的股票，在交收前可以于当日卖出），且证券交易价格并无涨跌幅上下限的规定，因此每日涨跌幅空间相对较大，可能表现出比A股更为剧烈的股价波动；</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b）只有沪港深三地均为交易日且能够满足结算安排的交易日才为港股通交易日，存在港股通交易日不连贯的情形（如内地市场因放假等原因休市而香港市场照常交易或内地市场开市香港市场休市但港股通不能如常进行交易），而导致港股不能及时卖出带来一定的流动性风险；以及基金所持的港股组合在后续港股通交易日开市交易中集中体现市场反应而造成其价格波动骤然增大，进而导致本基金所持港股组合在资产估值上出现波动增大的风险；</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c）香港出现香港联合交易所规定的相关情形时，香港联合交易所将可能停市，本基金将面临在停市期间无法进行港股通交易的风险；出现内地证券交易服务公司认定的交易异常情况时，内地证券交易服务公司将可能暂停提供部分或者全部港股通服务，将面临在暂停服务期间无法进行港股通交易的风险；</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d）投资者因港股通股票权益分派、转换、上市公司被收购等情形或者异常情况，所取得的港股通股票以外的香港联合交易所上市证券，只能通过港股通卖出，但不得买入，内地证券交易服务公司另有规定的除外；因港股通股票发行人供股、港股通股票权益分派或者转换等情形取得的香港联合交易所上市股票的认购权利凭证在香港联合交易所上市的，可以通过港股通卖出，但不得买入，其行权等事宜按照中国证监会、中国证券登记结算有限责任公司的相关规定处理；因港股通股票权益分派、转换或者上市公司被收购等所取得的非香港联合交易所上市证券，不得通过港股通买入或卖出；</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e）代理投票。由于中国证券登记结算有限责任公司是在汇总投资者意愿后再向香港中央结算有限公司提交投票意愿，中国证券登记结算有限责任公司对投资者设定的意愿征集期比香港中央结算有限公司的征集期稍早结束；投票没有权益登记日的，以投票截止日的持有作为计算基准；投票数量超出持有数量的，按照比例分配持有基数。</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（4）本基金可根据投资策略需要或不同配置地市场环境的变化，选择将部分基金资产投资于港股通标的股票或选择不将基金资产投资于港股通标的股票，基金资产并非必然投资港股通标的股票。</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以上所述因素可能会给本基金投资带来特殊交易风险。</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b/>
          <w:kern w:val="0"/>
          <w:sz w:val="24"/>
        </w:rPr>
        <w:t>（十）投资科创板股票的特定风险</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本基金可根据投资策略需要或市场环境的变化，选择将部分基金资产投资于科创板股票或选择不将基金资产投资于科创板股票，基金资产并非必然投资于科创板股票。基金资产投资于科创板股票，会面临科创板机制下因投资标的、市场制度以及交易规则等差异带来的特有风险，包括但不限于市场风险、流动性风险、退市风险、系统性风险、政策风险等。</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（1）市场风险</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科创板个股集中来自新一代信息技术、高端装备、新材料、新能源、节能环保及生物医药等高新技术和战略新兴产业领域。大多数企业为初创型公司，企业未来盈利、现金流、估值均存在不确定性，与传统二级市场投资存在差异，整体投资难度加大，个股市场风险加大。</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科创板个股上市后的前五个交易日无涨跌停限制，其后涨跌幅限制为20%，科创板股票上市首日即可作为融资融券标的，可能导致较大的股票价格波动。</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（2）流动性风险</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科创板整体投资门槛较高，二级市场上个人投资者参与度相对较低，机构持有个股大量流通盘导致个股流动性较差，基金组合存在无法及时变现及其他相关流动性风险。</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（3）退市风险</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科创板退市制度较主板更为严格，且不再设置暂停上市、恢复上市和重新上市环节，上市公司退市风险更大。</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（4）系统性风险</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科创板企业均为市场认可度较高的科技创新企业，在企业经营及盈利模式上存在趋同，所以科创板个股相关性较高，市场表现不佳时，系统性风险将更为显著。</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（5）政策风险</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国家对高新技术产业扶持力度及重视程度的变化会对科创板企业带来较大影响，国际经济形势变化对战略新兴产业及科创板个股也会带来政策影响。</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b/>
          <w:kern w:val="0"/>
          <w:sz w:val="24"/>
        </w:rPr>
        <w:t>（十一）投资存托凭证的特定风险</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本基金可投资国内依法发行上市的存托凭证，基金净值可能受到存托凭证的境外基础证券价格波动影响，与存托凭证的境外基础证券、境外基础证券的发行人及境内外交易机制相关的风险可能直接或间接成为本基金风险。</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具体风险包括：存托凭证持有人与境外基础证券发行人的股东在法律地位、享有权利等方面存在差异可能引发的风险；存托凭证持有人在分红派息、行使表决权等方面的特殊安排可能引发的风险；存托协议自动约束存托凭证持有人的风险；因多地上市造成存托凭证价格差异以及波动的风险；存托凭证持有人权益被摊薄的风险；存托凭证退市的风险；已在境外上市的基础证券发行人，在持续信息披露监管方面与境内可能存在差异的风险；境内外法律制度、监管环境差异可能导致的其他风险。</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本基金可根据投资策略需要或市场环境的变化，选择将部分基金资产投资于存托凭证或选择不将基金资产投资于存托凭证，基金资产并非必然投资存托凭证。</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b/>
          <w:kern w:val="0"/>
          <w:sz w:val="24"/>
        </w:rPr>
        <w:t>（十二）本基金法律文件风险收益特征表述与销售机构基金风险评价可能不一致的风险</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本基金法律文件投资章节有关风险收益特征的表述是基于投资范围、投资比例、证券市场普遍规律等做出的概述性描述，代表了一般市场情况下本基金的长期风险收益特征。销售机构（包括基金管理人直销机构和其他销售机构）根据相关法律法规对本基金进行风险评价，不同的销售机构采用的评价方法不同，因此销售机构的风险等级评价与基金法律文件中风险收益特征的表述可能存在不同，投资者在购买本基金时需按照销售机构的要求完成风险承受能力与产品风险之间的匹配检验。</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b/>
          <w:kern w:val="0"/>
          <w:sz w:val="24"/>
        </w:rPr>
        <w:t>（十三）其他风险</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1、因技术因素而产生的风险，如电脑系统不可靠产生的风险；</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2、因基金业务快速发展，在制度建设、人员配备、内控制度建立等方面的不完善产生的风险；</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3、因人为因素而产生的风险、如内幕交易、欺诈行为等产生的风险；</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4、对主要业务人员如基金经理的依赖而可能产生的风险；</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5、因业务竞争压力可能产生的风险；</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6、战争、自然灾害等不可抗力可能导致基金财产的损失，影响基金收益水平，从而带来风险；</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7、其他意外导致的风险。</w:t>
      </w:r>
    </w:p>
    <w:p>
      <w:pPr>
        <w:pStyle w:val="Heading1"/>
        <w:snapToGrid w:val="0"/>
        <w:spacing w:before="240" w:beforeLines="0" w:after="0"/>
        <w:rPr>
          <w:rFonts w:ascii="宋体" w:hAnsi="宋体"/>
          <w:szCs w:val="30"/>
        </w:rPr>
      </w:pPr>
      <w:r>
        <w:br w:type="page"/>
      </w:r>
      <w:bookmarkStart w:id="42" w:name="_Toc256000020"/>
      <w:bookmarkStart w:id="43" w:name="_Toc256000047"/>
      <w:r>
        <w:rPr>
          <w:rFonts w:ascii="宋体" w:hAnsi="宋体"/>
          <w:sz w:val="30"/>
        </w:rPr>
        <w:t>二十、基金合同的变更、终止与基金财产的清算</w:t>
      </w:r>
      <w:bookmarkEnd w:id="43"/>
      <w:bookmarkEnd w:id="42"/>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b/>
          <w:kern w:val="0"/>
          <w:sz w:val="24"/>
        </w:rPr>
        <w:t>（一）《基金合同》的变更</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1、变更基金合同涉及法律法规规定或基金合同约定应经基金份额持有人大会决议通过的事项的，应召开基金份额持有人大会决议通过。对于法律法规规定和基金合同约定可不经基金份额持有人大会决议通过的事项，由基金管理人和基金托管人同意后变更并公告，并报中国证监会备案。</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2、关于《基金合同》变更的基金份额持有人大会决议自生效后方可执行，自决议生效后依照《信息披露办法》的规定在规定媒介公告。</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b/>
          <w:kern w:val="0"/>
          <w:sz w:val="24"/>
        </w:rPr>
        <w:t>（二）《基金合同》的终止事由</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有下列情形之一的，经履行相关程序后，《基金合同》应当终止：</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1、基金份额持有人大会决定终止的；</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2、基金管理人、基金托管人职责终止，在6个月内没有新基金管理人、新基金托管人承接的；</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3、连续50个工作日出现基金份额持有人数量不满200人或者基金资产净值低于5000万元情形的，基金合同终止，不需召开基金份额持有人大会；</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4、《基金合同》约定的其他情形；</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5、相关法律法规和中国证监会规定的其他情况。</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b/>
          <w:kern w:val="0"/>
          <w:sz w:val="24"/>
        </w:rPr>
        <w:t>（三）基金财产的清算</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1、基金财产清算小组：自出现《基金合同》终止事由之日起30个工作日内成立清算小组，基金管理人组织基金财产清算小组并在中国证监会的监督下进行基金清算。</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2、基金财产清算小组组成：基金财产清算小组成员由基金管理人、基金托管人、符合《中华人民共和国证券法》规定的注册会计师、律师以及中国证监会指定的人员组成。基金财产清算小组可以聘用必要的工作人员。</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3、基金财产清算小组职责：基金财产清算小组负责基金财产的保管、清理、估价、变现和分配。基金财产清算小组可以依法进行必要的民事活动。</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4、基金财产清算程序：</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（1）《基金合同》终止情形出现时，由基金财产清算小组统一接管基金；</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（2）对基金财产和债权债务进行清理和确认；</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（3）对基金财产进行估值和变现；</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（4）制作清算报告；</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（5）聘请会计师事务所对清算报告进行外部审计，聘请律师事务所对清算报告出具法律意见书；</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（6）将清算报告报中国证监会备案并公告；</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（7）对基金剩余财产进行分配。</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5、基金财产清算的期限为6个月，但因本基金所持证券的流动性受到限制而不能及时变现的，清算期限相应顺延。</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b/>
          <w:kern w:val="0"/>
          <w:sz w:val="24"/>
        </w:rPr>
        <w:t>（四）清算费用</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清算费用是指基金财产清算小组在进行基金清算过程中发生的所有合理费用，清算费用由基金财产清算小组优先从基金财产中支付。</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b/>
          <w:kern w:val="0"/>
          <w:sz w:val="24"/>
        </w:rPr>
        <w:t>（五）基金财产清算剩余资产的分配</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依据基金财产清算的分配方案，将基金财产清算后的全部剩余资产扣除基金财产清算费用、交纳所欠税款并清偿基金债务后，按基金份额持有人持有的基金份额比例进行分配。</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b/>
          <w:kern w:val="0"/>
          <w:sz w:val="24"/>
        </w:rPr>
        <w:t>（六）基金财产清算的公告</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清算过程中的有关重大事项须及时公告；基金财产清算报告经符合《中华人民共和国证券法》规定的会计师事务所审计并由律师事务所出具法律意见书后报中国证监会备案并公告。基金财产清算公告于基金财产清算报告报中国证监会备案后5个工作日内由基金财产清算小组进行公告，基金财产清算小组应当将清算报告登载在规定网站上，并将清算报告提示性公告登载在规定报刊上。</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b/>
          <w:kern w:val="0"/>
          <w:sz w:val="24"/>
        </w:rPr>
        <w:t>（七）基金财产清算账册及文件的保存</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基金财产清算账册及有关文件由基金托管人保存不低于法律法规规定的最低期限。</w:t>
      </w:r>
    </w:p>
    <w:p>
      <w:pPr>
        <w:pStyle w:val="Heading1"/>
        <w:snapToGrid w:val="0"/>
        <w:spacing w:before="240" w:beforeLines="0" w:after="0"/>
        <w:rPr>
          <w:rFonts w:ascii="宋体" w:hAnsi="宋体"/>
          <w:szCs w:val="30"/>
        </w:rPr>
      </w:pPr>
      <w:r>
        <w:br w:type="page"/>
      </w:r>
      <w:bookmarkStart w:id="44" w:name="_Toc256000021"/>
      <w:bookmarkStart w:id="45" w:name="_Toc256000048"/>
      <w:r>
        <w:rPr>
          <w:rFonts w:ascii="宋体" w:hAnsi="宋体"/>
          <w:sz w:val="30"/>
        </w:rPr>
        <w:t>二十一、基金合同内容摘要</w:t>
      </w:r>
      <w:bookmarkEnd w:id="45"/>
      <w:bookmarkEnd w:id="44"/>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b/>
          <w:kern w:val="0"/>
          <w:sz w:val="24"/>
        </w:rPr>
        <w:t>（一）基金份额持有人、基金管理人和基金托管人的权利与义务</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1、基金管理人的权利与义务</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根据《基金法》、《运作办法》及其他有关规定，基金管理人的权利包括但不限于：</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（1）依法募集资金；</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（2）自《基金合同》生效之日起，根据法律法规和《基金合同》独立运用并管理基金财产；</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（3）依照《基金合同》收取基金管理费以及法律法规规定或中国证监会批准的其他费用；</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（4）销售基金份额；</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（5）按照规定召集基金份额持有人大会；</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（6）依据《基金合同》及有关法律规定监督基金托管人，如认为基金托管人违反了《基金合同》及国家有关法律规定，应呈报中国证监会和其他监管部门，并采取必要措施保护基金投资者的利益；</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（7）在基金托管人更换时，提名新的基金托管人；</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（8）选择、更换基金销售机构，对基金销售机构的相关行为进行监督和处理；</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（9）担任或委托其他符合条件的机构担任基金登记机构办理基金登记业务并获得《基金合同》规定的费用；</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（10）依据《基金合同》及有关法律规定决定基金收益的分配方案；</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（11）在《基金合同》约定的范围内，拒绝或暂停受理申购与赎回申请；</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（12）依照法律法规为基金的利益对被投资公司行使股东权利，为基金的利益行使因基金财产投资于证券所产生的权利；</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（13）在法律法规允许的前提下，为基金的利益依法为基金进行融资；</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（14）以基金管理人的名义，代表基金份额持有人的利益行使诉讼权利或者实施其他法律行为；</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（15）选择、更换律师事务所、会计师事务所、证券经纪商、期货经纪机构或其他为基金提供服务的外部机构；</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（16）在符合有关法律、法规的前提下，制定和调整有关基金认购、申购、赎回、转换等的业务规则；</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（17）法律法规及中国证监会规定的和《基金合同》约定的其他权利。</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根据《基金法》、《运作办法》及其他有关规定，基金管理人的义务包括但不限于：</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（1）依法募集资金，办理或者委托经中国证监会认定的其他机构办理基金份额的发售、申购、赎回和登记事宜；</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（2）办理基金备案手续；</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（3）自《基金合同》生效之日起，以诚实信用、谨慎勤勉的原则管理和运用基金财产；</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（4）配备足够的具有专业资格的人员进行基金投资分析、决策，以专业化的经营方式管理和运作基金财产；</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（5）建立健全内部风险控制、监察与稽核、财务管理及人事管理等制度，保证所管理的基金财产和基金管理人的财产相互独立，对所管理的不同基金分别管理，分别记账，进行证券投资；</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（6）除依据《基金法》、《基金合同》及其他有关规定外，不得利用基金财产为自己及任何第三人谋取利益，不得委托第三人运作基金财产；</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（7）依法接受基金托管人的监督；</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（8）采取适当合理的措施使计算基金份额认购、申购、赎回和注销价格的方法符合《基金合同》等法律文件的规定，按有关规定计算并公告基金净值信息，确定基金份额申购、赎回的价格；</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（9）进行基金会计核算并编制基金财务会计报告；</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（10）编制季度报告、中期报告和年度报告；</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（11）严格按照《基金法》、《基金合同》及其他有关规定，履行信息披露及报告义务；</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（12）保守基金商业秘密，不泄露基金投资计划、投资意向等。除《基金法》、《基金合同》及其他有关规定另有规定外，在基金信息公开披露前应予保密，不向他人泄露；</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（13）按《基金合同》的约定确定基金收益分配方案，及时向基金份额持有人分配基金收益；</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（14）按规定受理申购与赎回申请，及时、足额支付赎回款项；</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（15）依据《基金法》、《基金合同》及其他有关规定召集基金份额持有人大会或配合基金托管人、基金份额持有人依法召集基金份额持有人大会；</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（16）按规定保存基金财产管理业务活动的会计账册、报表、记录和其他相关资料不低于法律法规规定的最低期限；</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17）确保需要向基金投资者提供的各项文件或资料在规定时间发出，并且保证投资者能够按照《基金合同》规定的时间和方式，随时查阅到与基金有关的公开资料，并在支付合理成本的条件下得到有关资料的复印件；</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（18）组织并参加基金财产清算小组，参与基金财产的保管、清理、估价、变现和分配；</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（19）面临解散、依法被撤销或者被依法宣告破产时，及时报告中国证监会并通知基金托管人；</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（20）因违反《基金合同》导致基金财产的损失或损害基金份额持有人合法权益时，应当承担赔偿责任，其赔偿责任不因其退任而免除；</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（21）监督基金托管人按法律法规和《基金合同》规定履行自己的义务，基金托管人违反《基金合同》造成基金财产损失时，基金管理人应为基金份额持有人利益向基金托管人追偿；</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（22）当基金管理人将其义务委托第三方处理时，应当对第三方处理有关基金事务的行为承担责任；</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（23）以基金管理人名义，代表基金份额持有人利益行使诉讼权利或实施其他法律行为；</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24）基金管理人在募集期间未能达到基金的备案条件，《基金合同》不能生效，基金管理人承担因募集行为而产生的债务和费用，将已募集资金并加计银行同期活期存款利息在基金募集期结束后30日内退还基金认购人；</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（25）执行生效的基金份额持有人大会的决议；</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（26）建立并保存基金份额持有人名册；</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（27）法律法规及中国证监会规定的和《基金合同》约定的其他义务。</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2、基金托管人的权利与义务</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根据《基金法》、《运作办法》及其他有关规定，基金托管人的权利包括但不限于：</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（1）自《基金合同》生效之日起，依法律法规和《基金合同》的规定安全保管基金财产；</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（2）依《基金合同》约定获得基金托管费以及法律法规规定或监管部门批准的其他费用；</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3）监督基金管理人对本基金的投资运作，如发现基金管理人有违反《基金合同》及国家法律法规行为，对基金财产、其他当事人的利益造成重大损失的情形，应呈报中国证监会，并采取必要措施保护基金投资者的利益；</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（4）根据相关市场规则，为基金开设资金账户、证券账户、期货结算账户等投资所需账户，为基金办理证券交易资金清算；</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（5）提议召开或召集基金份额持有人大会；</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（6）在基金管理人更换时，提名新的基金管理人；</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（7）法律法规及中国证监会规定的和《基金合同》约定的其他权利。</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根据《基金法》、《运作办法》及其他有关规定，基金托管人的义务包括但不限于：</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（1）以诚实信用、勤勉尽责的原则持有并安全保管基金财产；</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（2）设立专门的基金托管部门，具有符合要求的营业场所，配备足够的、合格的熟悉基金托管业务的专职人员，负责基金财产托管事宜；</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3）建立健全内部风险控制、监察与稽核、财务管理及人事管理等制度，确保基金财产的安全，保证其托管的基金财产与基金托管人自有财产以及不同的基金财产相互独立；对所托管的不同的基金分别设置账户，独立核算，分账管理，保证不同基金之间在账户设置、资金划拨、账册记录等方面相互独立；</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（4）除依据《基金法》、《基金合同》及其他有关规定外，不得利用基金财产为自己及任何第三人谋取利益，不得委托第三人托管基金财产；</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（5）保管由基金管理人代表基金签订的与基金有关的重大合同及有关凭证；</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（6）按规定开设基金财产的资金账户、证券账户和期货结算账户等投资所需账户，按照《基金合同》的约定，根据基金管理人的投资指令，及时办理清算、交割事宜；</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（7）保守基金商业秘密，除《基金法》、《基金合同》及其他有关规定另有规定外，在基金信息公开披露前予以保密，不得向他人泄露；</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（8）复核、审查基金管理人计算的基金资产净值、基金份额净值、基金份额申购、赎回价格；</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（9）办理与基金托管业务活动有关的信息披露事项；</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10）对基金财务会计报告、季度报告、中期报告和年度报告出具意见，说明基金管理人在各重要方面的运作是否严格按照《基金合同》的规定进行；如果基金管理人有未执行《基金合同》规定的行为，还应当说明基金托管人是否采取了适当的措施；</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（11）保存基金托管业务活动的记录、账册、报表和其他相关资料不低于法律法规规定的最低期限；</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（12）保存基金份额持有人名册；</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（13）按规定制作相关账册并与基金管理人核对；</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（14）依据基金管理人的指令或有关规定向基金份额持有人支付基金收益和赎回款项；</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（15）依据《基金法》、《基金合同》及其他有关规定，召集基金份额持有人大会或配合基金管理人、基金份额持有人依法召集基金份额持有人大会；</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（16）按照法律法规和《基金合同》的规定监督基金管理人的投资运作；</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（17）参加基金财产清算小组，参与基金财产的保管、清理、估价、变现和分配；</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（18）面临解散、依法被撤销或者被依法宣告破产时，及时报告中国证监会和银行业监督管理机构，并通知基金管理人；</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（19）因违反《基金合同》导致基金财产损失时，应承担赔偿责任，其赔偿责任不因其退任而免除；</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（20）按规定监督基金管理人按法律法规和《基金合同》规定履行自己的义务，基金管理人因违反《基金合同》造成基金财产损失时，应为基金份额持有人利益向基金管理人追偿；</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（21）执行生效的基金份额持有人大会的决议；</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（22）法律法规及中国证监会规定的和《基金合同》约定的其他义务。</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3、基金份额持有人的权利与义务</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基金投资者持有本基金基金份额的行为即视为对《基金合同》的承认和接受，基金投资者自依据《基金合同》取得本基金基金份额，即成为本基金份额持有人和《基金合同》的当事人，直至其不再持有本基金的基金份额。基金份额持有人作为《基金合同》当事人并不以在《基金合同》上书面签章或签字为必要条件。</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同一类别每份基金份额具有同等的合法权益。</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根据《基金法》、《运作办法》及其他有关规定，基金份额持有人的权利包括但不限于：</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（1）分享基金财产收益；</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（2）参与分配清算后的剩余基金财产；</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（3）依法并按照基金合同和招募说明书的规定转让或者申请赎回其持有的基金份额；</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（4）按照规定要求召开基金份额持有人大会或者召集基金份额持有人大会；</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（5）出席或者委派代表出席基金份额持有人大会，对基金份额持有人大会审议事项行使表决权；</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（6）查阅或者复制公开披露的基金信息资料；</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（7）监督基金管理人的投资运作；</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（8）对基金管理人、基金托管人、基金服务机构损害其合法权益的行为依法提起诉讼或仲裁；</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（9）法律法规及中国证监会规定的和《基金合同》约定的其他权利。</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根据《基金法》、《运作办法》及其他有关规定，基金份额持有人的义务包括但不限于：</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（1）认真阅读并遵守《基金合同》、招募说明书等信息披露文件；</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（2）了解所投资基金产品，了解自身风险承受能力，自主判断基金的投资价值，自主做出投资决策，自行承担投资风险；</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（3）关注基金信息披露，及时行使权利和履行义务；</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（4）交纳基金认购、申购款项及法律法规和《基金合同》所规定的费用；</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（5）在其持有的基金份额范围内，承担基金亏损或者《基金合同》终止的有限责任；</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（6）不从事任何有损基金及其他《基金合同》当事人合法权益的活动；</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（7）执行生效的基金份额持有人大会的决议；</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（8）返还在基金交易过程中因任何原因获得的不当得利；</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（9）遵守基金管理人、基金托管人、销售机构和登记机构的相关交易及业务规则；</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（10）提供基金管理人和监管机构依法要求提供的信息，以及不时的更新和补充，并保证其真实性；</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（11）法律法规及中国证监会规定的和《基金合同》约定的其他义务。</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b/>
          <w:kern w:val="0"/>
          <w:sz w:val="24"/>
        </w:rPr>
        <w:t>（二）基金份额持有人大会召集、议事及表决的程序和规则</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基金份额持有人大会由基金份额持有人组成，基金份额持有人的合法授权代表有权代表基金份额持有人出席会议并表决。基金份额持有人持有的每一基金份额拥有平等的投票权。</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本基金份额持有人大会不设日常机构。</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1、召开事由</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（1）当出现或需要决定下列事由之一的，应当召开基金份额持有人大会，法律法规、基金合同和中国证监会另有规定的除外：</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1）终止《基金合同》；</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2）更换基金管理人；</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3）更换基金托管人；</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4）转换基金运作方式；</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5）调整基金管理人、基金托管人的报酬标准和提高销售服务费；</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6）变更基金类别；</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7）本基金与其他基金的合并；</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8）变更基金投资目标、范围或策略；</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9）变更基金份额持有人大会程序；</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10）基金管理人或基金托管人要求召开基金份额持有人大会；</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11）单独或合计持有本基金总份额10%以上（含10%）基金份额的基金份额持有人（以基金管理人收到提议当日的基金份额计算，下同）就同一事项书面要求召开基金份额持有人大会；</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12）对基金合同当事人权利和义务产生重大影响的其他事项；</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13）法律法规、《基金合同》或中国证监会规定的其他应当召开基金份额持有人大会的事项。</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（2）在法律法规规定和《基金合同》约定的范围内且对基金份额持有人利益无实质性不利影响的前提下，以下情况可由基金管理人和基金托管人协商后修改，不需召开基金份额持有人大会：</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1）调低基金销售服务费；</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2）法律法规要求增加的基金费用的收取；</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3）在法律法规和《基金合同》规定的范围内调整本基金的申购费率、调低赎回费率、在对现有基金份额持有人利益无实质性不利影响的前提下变更收费方式；</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4）因相应的法律法规、登记机构的相关业务规则发生变动而应当对《基金合同》进行修改；</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5）对《基金合同》的修改对基金份额持有人利益无实质性不利影响或修改不涉及《基金合同》当事人权利义务关系发生重大变化；</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6）在法律法规允许的情况下，且在对现有基金份额持有人利益无实质性不利影响的前提下，基金推出新业务或服务；</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7）在符合法律法规及本基金合同规定、并且对基金份额持有人利益无实质不利影响的前提下，调整本基金份额类别的设置；</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8）在不违反法律法规及对基金份额持有人利益无实质性不利影响的前提下，基金管理人、登记机构、销售机构调整有关基金认购、申购、赎回、转换、收益分配、非交易过户、转托管等业务的规则；</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9）按照法律法规和《基金合同》规定不需召开基金份额持有人大会的其他情形。</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2、会议召集人及召集方式</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（1）除法律法规规定或《基金合同》另有约定外，基金份额持有人大会由基金管理人召集；</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（2）基金管理人未按规定召集或不能召集时，由基金托管人召集；</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3）基金托管人认为有必要召开基金份额持有人大会的，应当向基金管理人提出书面提议。基金管理人应当自收到书面提议之日起10日内决定是否召集，并书面告知基金托管人。基金管理人决定召集的，应当自出具书面决定之日起60日内召开；基金管理人决定不召集，基金托管人仍认为有必要召开的，应当由基金托管人自行召集，并自出具书面决定之日起60日内召开并告知基金管理人，基金管理人应当配合；</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4）代表基金份额10%以上（含10%）的基金份额持有人就同一事项书面要求召开基金份额持有人大会，应当向基金管理人提出书面提议。基金管理人应当自收到书面提议之日起10日内决定是否召集，并书面告知提出提议的基金份额持有人代表和基金托管人。基金管理人决定召集的，应当自出具书面决定之日起60日内召开；基金管理人决定不召集，代表基金份额10%以上（含10%）的基金份额持有人仍认为有必要召开的，应当向基金托管人提出书面提议。基金托管人应当自收到书面提议之日起10日内决定是否召集，并书面告知提出提议的基金份额持有人代表和基金管理人；基金托管人决定召集的，应当自出具书面决定之日起60日内召开并告知基金管理人，基金管理人应当配合；</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5）代表基金份额10%以上（含10%）的基金份额持有人就同一事项要求召开基金份额持有人大会，而基金管理人、基金托管人都不召集的，单独或合计代表基金份额10%以上（含10%）的基金份额持有人有权自行召集，并至少提前30日报中国证监会备案。基金份额持有人依法自行召集基金份额持有人大会的，基金管理人、基金托管人应当配合，不得阻碍、干扰；</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（6）基金份额持有人会议的召集人负责选择确定开会时间、地点、方式和权益登记日。</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3、召开基金份额持有人大会的通知时间、通知内容、通知方式</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（1）召开基金份额持有人大会，召集人应于会议召开前30日，在规定媒介公告。基金份额持有人大会通知应至少载明以下内容：</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1）会议召开的时间、地点和会议形式；</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2）会议拟审议的事项、议事程序和表决方式；</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3）有权出席基金份额持有人大会的基金份额持有人的权益登记日；</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4）授权委托证明的内容要求（包括但不限于代理人身份，代理权限和代理有效期限等）、送达时间和地点；</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5）会务常设联系人姓名及联系电话；</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6）出席会议者必须准备的文件和必须履行的手续；</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7）召集人需要通知的其他事项。</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2）采取通讯开会方式并进行表决的情况下，由会议召集人决定在会议通知中说明本次基金份额持有人大会所采取的具体通讯方式、委托的公证机关及其联系方式和联系人、表决意见寄交的截止时间和收取方式。</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3）如召集人为基金管理人，还应另行书面通知基金托管人到指定地点对表决意见的计票进行监督；如召集人为基金托管人，则应另行书面通知基金管理人到指定地点对表决意见的计票进行监督；如召集人为基金份额持有人，则应另行书面通知基金管理人和基金托管人到指定地点对表决意见的计票进行监督。基金管理人或基金托管人拒不派代表对表决意见的计票进行监督的，不影响表决意见的计票效力。</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4、基金份额持有人出席会议的方式</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基金份额持有人大会可通过现场开会方式、通讯开会方式或法律法规、监管机构允许的其他方式召开，会议的召开方式由会议召集人确定。</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1）现场开会。由基金份额持有人本人出席或以代理投票授权委托证明委派代表出席，现场开会时基金管理人和基金托管人的授权代表应当列席基金份额持有人大会，基金管理人或基金托管人不派代表列席的，不影响表决效力。现场开会同时符合以下条件时，可以进行基金份额持有人大会议程：</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1）亲自出席会议者持有基金份额的凭证、受托出席会议者出具的委托人持有基金份额的凭证及委托人的代理投票授权委托证明符合法律法规、《基金合同》和会议通知的规定，并且持有基金份额的凭证与基金管理人持有的登记资料相符；</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2）经核对，汇总到会者出示的在权益登记日持有基金份额的凭证显示，有效的基金份额不少于本基金在权益登记日基金总份额的二分之一（含二分之一）。若到会者在权益登记日代表的有效的基金份额少于本基金在权益登记日基金总份额的二分之一，召集人可以在原公告的基金份额持有人大会召开时间的3个月以后、6个月以内，就原定审议事项重新召集基金份额持有人大会。重新召集的基金份额持有人大会到会者在权益登记日代表的有效的基金份额应不少于本基金在权益登记日基金总份额的三分之一（含三分之一）。</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（2）通讯开会。通讯开会系指基金份额持有人将其对表决事项的投票以会议通知载明的形式或基金合同约定的其他方式在表决截止日以前送达至召集人指定的地址或系统。</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在同时符合以下条件时，通讯开会的方式视为有效：</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1）会议召集人按《基金合同》约定公布会议通知后，在2个工作日内连续公布相关提示性公告；</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2）召集人按基金合同约定通知基金托管人（如果基金托管人为召集人，则为基金管理人）到指定地点对表决意见的计票进行监督。会议召集人在基金托管人（如果基金托管人为召集人，则为基金管理人）和公证机关的监督下按照会议通知规定的方式收取基金份额持有人的表决意见；基金托管人或基金管理人经通知不参加收取表决意见的，不影响表决效力；</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3）本人直接出具表决意见或授权他人代表出具表决意见的，基金份额持有人所持有的基金份额不小于在权益登记日基金总份额的二分之一（含二分之一）；若本人直接出具表决意见或授权他人代表出具表决意见基金份额持有人所持有的基金份额小于在权益登记日基金总份额的二分之一，召集人可以在原公告的基金份额持有人大会召开时间的3个月以后、6个月以内，就原定审议事项重新召集基金份额持有人大会。重新召集的基金份额持有人大会应当有代表基金总份额三分之一以上（含三分之一）基金份额的持有人直接出具表决意见或授权他人代表出具表决意见；</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4）上述第3）项中直接出具表决意见的基金份额持有人或受托代表他人出具表决意见的代理人，同时提交的持有基金份额的凭证、受托出具表决意见的代理人出具的委托人持有基金份额的凭证及委托人的代理投票授权委托证明符合法律法规、《基金合同》和会议通知的规定，并与基金登记机构记录相符。</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3）在法律法规和监管机关允许的情况下，经会议通知载明，本基金可采用网络、电话、短信等其他非书面方式由基金份额持有人向其授权代表进行授权；本基金亦可采用网络、电话、短信等其他非现场方式或者以非现场方式与现场方式结合的方式召开基金份额持有人大会并表决，具体方式由会议召集人确定并在会议通知中列明，会议程序比照现场开会和通讯方式开会的程序进行。</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5、议事内容与程序</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（1）议事内容及提案权</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议事内容为关系基金份额持有人利益的重大事项，如《基金合同》的重大修改、决定终止《基金合同》、更换基金管理人、更换基金托管人、与其他基金合并（法律法规、基金合同和中国证监会另有规定的除外）、法律法规及《基金合同》规定的其他事项以及会议召集人认为需提交基金份额持有人大会讨论的其他事项。</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基金份额持有人大会的召集人发出召集会议的通知后，对原有提案的修改应当在基金份额持有人大会召开前及时公告。</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基金份额持有人大会不得对未事先公告的议事内容进行表决。</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（2）议事程序</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1）现场开会</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在现场开会的方式下，首先由大会主持人按照下列第7条规定程序确定和公布监票人，然后由大会主持人宣读提案，经讨论后进行表决，并形成大会决议。大会主持人为基金管理人授权出席会议的代表，在基金管理人授权代表未能主持大会的情况下，由基金托管人授权其出席会议的代表主持；如果基金管理人授权代表和基金托管人授权代表均未能主持大会，则由出席大会的基金份额持有人和代理人所持表决权的50%以上（含50%）选举产生一名基金份额持有人或代理人作为该次基金份额持有人大会的主持人。基金管理人和基金托管人拒不出席或主持基金份额持有人大会，不影响基金份额持有人大会作出的决议的效力。</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会议召集人应当制作出席会议人员的签名册。签名册载明参加会议人员姓名（或单位名称）、身份证明文件号码、持有或代表有表决权的基金份额、委托人姓名（或单位名称）和联系方式等事项。</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2）通讯开会</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在通讯开会的情况下，首先由召集人提前30日公布提案，在所通知的表决截止日期后2个工作日内在公证机关监督下由召集人统计全部有效表决，在公证机关监督下形成决议。</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6、表决</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基金份额持有人所持每份基金份额有一票表决权。</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基金份额持有人大会决议分为一般决议和特别决议：</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1）一般决议，一般决议须经参加大会的基金份额持有人或其代理人所持表决权的二分之一以上（含二分之一）通过方为有效；除下列第（2）项所规定的须以特别决议通过事项以外的其他事项均以一般决议的方式通过。</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2）特别决议，特别决议应当经参加大会的基金份额持有人或其代理人所持表决权的三分之二以上（含三分之二）通过方可做出。转换基金运作方式、更换基金管理人或者基金托管人、终止《基金合同》、本基金与其他基金合并（法律法规、《基金合同》和中国证监会另有规定的除外）以特别决议通过方为有效。</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基金份额持有人大会采取记名方式进行投票表决。</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采取通讯方式进行表决时，除非在计票时有充分的相反证据证明，否则提交符合会议通知中规定的确认投资者身份文件的表决视为有效出席的投资者，表面符合会议通知规定的表决意见视为有效表决，表决意见模糊不清或相互矛盾的视为弃权表决，但应当计入出具表决意见的基金份额持有人所代表的基金份额总数。</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基金份额持有人大会的各项提案或同一项提案内并列的各项议题应当分开审议、逐项表决。</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7、计票</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（1）现场开会</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1）如大会由基金管理人或基金托管人召集，基金份额持有人大会的主持人应当在会议开始后宣布在出席会议的基金份额持有人和代理人中选举两名基金份额持有人代表与大会召集人授权的一名监督员共同担任监票人；如大会由基金份额持有人自行召集或大会虽然由基金管理人或基金托管人召集，但是基金管理人或基金托管人未出席大会的，基金份额持有人大会的主持人应当在会议开始后宣布在出席会议的基金份额持有人和代理人中选举三名基金份额持有人代表担任监票人。基金管理人或基金托管人不出席大会的，不影响计票的效力。</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2）监票人应当在基金份额持有人表决后立即进行清点并由大会主持人当场公布计票结果。</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3）如果会议主持人或基金份额持有人或代理人对于提交的表决结果有怀疑，可以在宣布表决结果后立即对所投票数要求进行重新清点。监票人应当进行重新清点，重新清点以一次为限。重新清点后，大会主持人应当当场公布重新清点结果。</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4）计票过程应由公证机关予以公证，基金管理人或基金托管人拒不出席大会的，不影响计票的效力。</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（2）通讯开会</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在通讯开会的情况下，计票方式为：由大会召集人授权的两名监督员在基金托管人授权代表（若由基金托管人召集，则为基金管理人授权代表）的监督下进行计票，并由公证机关对其计票过程予以公证。基金管理人或基金托管人拒派代表对表决意见的计票进行监督的，不影响计票和表决结果。</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8、生效与公告</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基金份额持有人大会的决议，召集人应当自通过之日起5日内报中国证监会备案。</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基金份额持有人大会的决议自表决通过之日起生效。法律法规另有规定的，从其规定。</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基金份额持有人大会决议自生效之日起依照《信息披露办法》的规定在规定媒介上公告。如果采用通讯方式进行表决，在公告基金份额持有人大会决议时，必须将公证书全文、公证机构、公证员姓名等一同公告。</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基金管理人、基金托管人和基金份额持有人应当执行生效的基金份额持有人大会的决议。生效的基金份额持有人大会决议对全体基金份额持有人、基金管理人、基金托管人均有约束力。</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9、实施侧袋机制期间基金份额持有人大会的特殊约定</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若本基金实施侧袋机制，则相关基金份额或表决权的比例指主袋份额持有人和侧袋份额持有人分别持有或代表的基金份额或表决权符合该等比例，但若相关基金份额持有人大会召集和审议事项不涉及侧袋账户的，则仅指主袋份额持有人持有或代表的基金份额或表决权符合该等比例：</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（1）基金份额持有人行使提议权、召集权、提名权所需单独或合计代表相关基金份额10%以上（含10%）；</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（2）现场开会的到会者在权益登记日代表的基金份额不少于本基金在权益登记日相关基金份额的二分之一（含二分之一）；</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（3）通讯开会的直接出具表决意见或授权他人代表出具表决意见的基金份额持有人所持有的基金份额不小于在权益登记日相关基金份额的二分之一（含二分之一）；</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4）在参与基金份额持有人大会投票的基金份额持有人所持有的基金份额小于在权益登记日相关基金份额的二分之一、召集人在原公告的基金份额持有人大会召开时间的3个月以后、6个月以内就原定审议事项重新召集的基金份额持有人大会应当有代表三分之一以上（含三分之一）相关基金份额的持有人参与或授权他人参与基金份额持有人大会投票；</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（5）现场开会由出席大会的基金份额持有人和代理人所持表决权的50%以上（含50%）选举产生一名基金份额持有人或代理人作为该次基金份额持有人大会的主持人；</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（6）一般决议须经参加大会的基金份额持有人或其代理人所持表决权的二分之一以上（含二分之一）通过；</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（7）特别决议应当经参加大会的基金份额持有人或其代理人所持表决权的三分之二以上（含三分之二）通过。</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同一主侧袋账户内的每份基金份额具有平等的表决权。</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十、本部分对基金份额持有人大会召开事由、召开条件、议事程序、表决条件等规定，凡是直接引用法律法规的部分，如将来法律法规修改导致相关内容被取消或变更的，基金管理人经与基金托管人协商一致并提前公告后，可直接对本部分内容进行修改和调整，无需召开基金份额持有人大会审议。</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b/>
          <w:kern w:val="0"/>
          <w:sz w:val="24"/>
        </w:rPr>
        <w:t>（三）基金合同解除和终止的事由、程序</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1、《基金合同》的变更</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1）变更基金合同涉及法律法规规定或本基金合同约定应经基金份额持有人大会决议通过的事项的，应召开基金份额持有人大会决议通过。对于法律法规规定和基金合同约定可不经基金份额持有人大会决议通过的事项，由基金管理人和基金托管人同意后变更并公告，并报中国证监会备案。</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（2）关于《基金合同》变更的基金份额持有人大会决议自生效后方可执行，自决议生效后依照《信息披露办法》的规定在规定媒介公告。</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2、《基金合同》的终止事由</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有下列情形之一的，经履行相关程序后，《基金合同》应当终止：</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（1）基金份额持有人大会决定终止的；</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（2）基金管理人、基金托管人职责终止，在6个月内没有新基金管理人、新基金托管人承接的；</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（3）连续50个工作日出现基金份额持有人数量不满200人或者基金资产净值低于5000万元情形的，基金合同终止，不需召开基金份额持有人大会；</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（4）《基金合同》约定的其他情形；</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（5）相关法律法规和中国证监会规定的其他情况。</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3、基金财产的清算</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（1）基金财产清算小组：自出现《基金合同》终止事由之日起30个工作日内成立清算小组，基金管理人组织基金财产清算小组并在中国证监会的监督下进行基金清算。</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2）基金财产清算小组组成：基金财产清算小组成员由基金管理人、基金托管人、符合《中华人民共和国证券法》规定的注册会计师、律师以及中国证监会指定的人员组成。基金财产清算小组可以聘用必要的工作人员。</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（3）基金财产清算小组职责：基金财产清算小组负责基金财产的保管、清理、估价、变现和分配。基金财产清算小组可以依法进行必要的民事活动。</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（4）基金财产清算程序：</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1）《基金合同》终止情形出现时，由基金财产清算小组统一接管基金；</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2）对基金财产和债权债务进行清理和确认；</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3）对基金财产进行估值和变现；</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4）制作清算报告；</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5）聘请会计师事务所对清算报告进行外部审计，聘请律师事务所对清算报告出具法律意见书；</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6）将清算报告报中国证监会备案并公告；</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7）对基金剩余财产进行分配。</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（5）基金财产清算的期限为6个月，但因本基金所持证券的流动性受到限制而不能及时变现的，清算期限相应顺延。</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4、清算费用</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清算费用是指基金财产清算小组在进行基金清算过程中发生的所有合理费用，清算费用由基金财产清算小组优先从基金财产中支付。</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5、基金财产清算剩余资产的分配</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依据基金财产清算的分配方案，将基金财产清算后的全部剩余资产扣除基金财产清算费用、交纳所欠税款并清偿基金债务后，按基金份额持有人持有的基金份额比例进行分配。</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6、基金财产清算的公告</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清算过程中的有关重大事项须及时公告；基金财产清算报告经符合《中华人民共和国证券法》规定的会计师事务所审计并由律师事务所出具法律意见书后报中国证监会备案并公告。基金财产清算公告于基金财产清算报告报中国证监会备案后5个工作日内由基金财产清算小组进行公告，基金财产清算小组应当将清算报告登载在规定网站上，并将清算报告提示性公告登载在规定报刊上。</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7、基金财产清算账册及文件的保存</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基金财产清算账册及有关文件由基金托管人保存不低于法律法规规定的最低期限。</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b/>
          <w:kern w:val="0"/>
          <w:sz w:val="24"/>
        </w:rPr>
        <w:t>（四）争议解决方式</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各方当事人同意，因《基金合同》而产生的或与《基金合同》有关的一切争议，如经友好协商未能解决的，任何一方均有权将争议提交深圳国际仲裁院，按照深圳国际仲裁院届时有效的仲裁规则进行仲裁。仲裁地点为深圳市。仲裁裁决是终局的，对各方当事人均有约束力，除非仲裁裁决另有规定，仲裁费用由败诉方承担。</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争议处理期间，基金合同当事人应恪守各自的职责，继续忠实、勤勉、尽责地履行基金合同规定的义务，维护基金份额持有人的合法权益。</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《基金合同》受中国法律（不含港澳台地区法律）管辖。</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b/>
          <w:kern w:val="0"/>
          <w:sz w:val="24"/>
        </w:rPr>
        <w:t>（五）基金合同存放地和投资者取得基金合同的方式</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《基金合同》正本一式三份，除上报有关监管机构一份外，基金管理人、基金托管人各持有一份，每份具有同等的法律效力。</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《基金合同》可印制成册，供投资者在基金管理人、基金托管人、销售机构的办公场所和营业场所查阅，但应以《基金合同》正本为准。</w:t>
      </w:r>
    </w:p>
    <w:p>
      <w:pPr>
        <w:pStyle w:val="Heading1"/>
        <w:snapToGrid w:val="0"/>
        <w:spacing w:before="240" w:beforeLines="0" w:after="0"/>
        <w:rPr>
          <w:rFonts w:ascii="宋体" w:hAnsi="宋体"/>
          <w:szCs w:val="30"/>
        </w:rPr>
      </w:pPr>
      <w:r>
        <w:br w:type="page"/>
      </w:r>
      <w:bookmarkStart w:id="46" w:name="_Toc256000022"/>
      <w:bookmarkStart w:id="47" w:name="_Toc256000049"/>
      <w:r>
        <w:rPr>
          <w:rFonts w:ascii="宋体" w:hAnsi="宋体"/>
          <w:sz w:val="30"/>
        </w:rPr>
        <w:t>二十二、托管协议的内容摘要</w:t>
      </w:r>
      <w:bookmarkEnd w:id="47"/>
      <w:bookmarkEnd w:id="46"/>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b/>
          <w:kern w:val="0"/>
          <w:sz w:val="24"/>
        </w:rPr>
        <w:t>（一）托管协议当事人</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1、基金管理人</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名称：交银施罗德基金管理有限公司</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住所：中国（上海）自由贸易试验区银城中路188号交通银行大楼二层（裙）</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办公地址：上海市浦东新区世纪大道8号国金中心二期21-22楼</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邮政编码：200120</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法定代表人：袁庆伟（代任）</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成立时间：2005年8月4日</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批准设立机关：中国证券监督管理委员会</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批准设立文号：中国证监会证监基金字[2005]128号</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组织形式：有限责任公司</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注册资本：2亿元人民币</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存续期间：持续经营</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经营范围：基金募集、基金销售、资产管理和中国证监会许可的其他业务。</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2、基金托管人</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名称：招商银行股份有限公司</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住所：深圳市深南大道7088号招商银行大厦</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办公地址：深圳市深南大道7088号招商银行大厦</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邮政编码：518040</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法定代表人：缪建民</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成立时间：1987年4月8日</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批准设立机关和批准设立文号：中国人民银行银复字（1986）175号文、银复（1987）86号文</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基金托管业务批准文号：证监基金字[2002]83号</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组织形式：股份有限公司</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注册资本：人民币252.20亿元</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存续期间：持续经营</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b/>
          <w:kern w:val="0"/>
          <w:sz w:val="24"/>
        </w:rPr>
        <w:t>（二）基金托管人对基金管理人的业务监督和核查</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1、基金托管人根据有关法律法规的规定以及《基金合同》的约定，对基金投资范围、投资比例、投资限制、关联方交易等进行监督。</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（1）本基金的投资范围为：</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本基金的投资范围为具有良好流动性的金融工具，包括国内依法发行上市的股票（含创业板及其他经中国证监会核准或注册上市的股票、存托凭证）、港股通标的股票、债券（含国债、央行票据、金融债券、政府支持债券、政府支持机构债券、地方政府债券、企业债券、公司债券、可转换债券（含可分离交易可转换债券的纯债部分）、可交换公司债券、公开发行的次级债券、中期票据、短期融资券、超短期融资券等）、资产支持证券、货币市场工具、债券回购、同业存单、银行存款（含协议存款、定期存款及其他银行存款）、股指期货以及法律法规或中国证监会允许基金投资的其他金融工具（但须符合中国证监会相关规定）。</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如法律法规或监管机构以后允许基金投资其他品种，基金管理人在履行适当程序后，可以将其纳入投资范围。</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（2）本基金各类品种的投资比例、投资限制为：</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基金的投资组合比例为：股票投资（含存托凭证）占基金资产的比例为60%-95%，其中投资于港股通标的股票的比例占股票资产的0%-50%；每个交易日日终在扣除股指期货合约需缴纳的交易保证金后，本基金持有的现金或者到期日在一年以内的政府债券的比例合计不低于基金资产净值的5%，其中现金不包括结算备付金、存出保证金、应收申购款等。</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如果法律法规或中国证监会变更投资品种的投资比例限制，基金管理人在履行适当程序后，可以调整上述投资品种的投资比例。</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基金的投资组合应遵循以下限制：</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1）股票投资（含存托凭证）占基金资产的比例为60%-95%，其中投资于港股通标的股票的比例占股票资产的0%-50%；</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2）每个交易日日终在扣除股指期货合约需缴纳的交易保证金后，本基金持有的现金或者到期日在一年以内的政府债券的投资比例合计不低于基金资产净值的5%，其中现金不包括结算备付金、存出保证金、应收申购款等；</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3）本基金持有一家公司发行的证券（同一家公司在内地和香港同时上市的A+H股合计计算），其市值不超过基金资产净值的10％；</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4）本基金管理人管理的全部基金持有一家公司发行的证券（同一家公司在内地和香港同时上市的A+H股合计计算），不超过该证券的10％，完全按照有关指数的构成比例进行证券投资的基金品种可以不受此条款规定的比例限制；</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5）本基金投资于同一原始权益人的各类资产支持证券的比例，不得超过基金资产净值的10％；</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6）本基金持有的全部资产支持证券，其市值不得超过基金资产净值的20％；</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7）本基金持有的同一（指同一信用级别）资产支持证券的比例，不得超过该资产支持证券规模的10％；</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8）本基金管理人管理的全部基金投资于同一原始权益人的各类资产支持证券，不得超过其各类资产支持证券合计规模的10％；</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9）本基金应投资于信用级别评级为BBB以上（含BBB）的资产支持证券。基金持有资产支持证券期间，如果其信用等级下降、不再符合投资标准，应在评级报告发布之日起3个月内予以全部卖出；</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10）基金财产参与股票发行申购，本基金所申报的金额不超过本基金的总资产，本基金所申报的股票数量不超过拟发行股票公司本次发行股票的总量；</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11）本基金进入全国银行间同业市场进行债券回购的资金余额不得超过基金资产净值的40%，进入全国银行间同业市场进行债券回购的最长期限为1年，债券回购到期后不得展期；</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12）本基金管理人管理的全部开放式基金（包括开放式基金以及处于开放期的定期开放基金）持有一家上市公司发行的可流通股票，不得超过该上市公司可流通股票的15%；本基金管理人管理的全部投资组合持有一家上市公司发行的可流通股票，不得超过该上市公司可流通股票的30%；完全按照有关指数的构成比例进行证券投资的开放式基金以及中国证监会认定的特殊投资组合可不受前述比例限制；</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13）本基金主动投资于流动性受限资产的市值合计不得超过基金资产净值的15%；因证券市场波动、上市公司股票停牌、基金规模变动等基金管理人之外的因素致使基金不符合该比例限制的，基金管理人不得主动新增流动性受限资产的投资；</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14）本基金与私募类证券资管产品及中国证监会认定的其他主体为交易对手开展逆回购交易的，可接受质押品的资质要求应当与基金合同约定的投资范围保持一致；</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15）本基金参与股指期货交易，则：</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a.本基金在任何交易日日终，持有的买入股指期货合约价值，不得超过基金资产净值的10%；</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b.本基金在任何交易日日终，持有的买入股指期货合约价值与有价证券市值之和，不得超过基金资产净值的95%。其中，有价证券指股票、债券（不含到期日在一年以内的政府债券）、资产支持证券、买入返售金融资产（不含质押式回购）等；</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c.本基金在任何交易日日终，持有的卖出股指期货合约价值不得超过基金持有的股票总市值的20%；</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d.本基金所持有的股票市值和买入、卖出股指期货合约价值，合计（轧差计算）应当符合基金合同关于股票投资比例的有关约定；</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e.本基金在任何交易日内交易（不包括平仓）的股指期货合约的成交金额不得超过上一交易日基金资产净值的20%；</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16）本基金资产总值不超过基金资产净值的140%；</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17）本基金投资存托凭证的比例限制依照境内上市交易的股票执行；</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18）法律法规及中国证监会规定的和《基金合同》约定的其他投资限制。</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除上述2）、9）、13）、14）情形之外，因证券、期货市场波动、证券发行人合并、基金规模变动等基金管理人之外的因素致使基金投资比例不符合上述规定投资比例的，基金管理人应当在10个交易日内进行调整，但中国证监会规定的特殊情形除外。法律法规另有规定的，从其规定。</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（3）本基金财产不得用于以下投资或者活动：</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1）承销证券；</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2）违反规定向他人贷款或者提供担保；</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3）从事承担无限责任的投资；</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4）买卖其他基金份额，但是中国证监会另有规定的除外；</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5）向其基金管理人、基金托管人出资；</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6）从事内幕交易、操纵证券交易价格及其他不正当的证券交易活动；</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7）法律、行政法规和中国证监会规定禁止的其他活动。</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基金管理人运用基金财产买卖基金管理人、基金托管人及其控股股东、实际控制人或者与其有重大利害关系的公司发行的证券或者承销期内承销的证券，或者从事其他重大关联交易的，应当符合基金的投资目标和投资策略，遵循基金份额持有人利益优先原则，防范利益冲突，建立健全内部审批机制和评估机制，按照市场公平合理价格执行。相关交易必须事先得到基金托管人的同意，并按法律法规予以披露。重大关联交易应提交基金管理人董事会审议，并经过三分之二以上的独立董事通过。基金管理人董事会应至少每半年对关联交易事项进行审查。</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如法律、行政法规或监管部门取消上述规定，如适用于本基金，基金管理人在履行适当程序后，本基金可不受上述规定的限制。</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4）基金管理人应当自基金合同生效日起6个月内使基金的投资组合比例符合基金合同的有关约定。在上述期间内，本基金的投资范围、投资策略应当符合基金合同的约定。基金托管人对基金的投资的监督与检查自基金合同生效之日起开始。</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（5）法律法规对上述投资组合比例限制进行变更的，以变更后的规定为准。法律法规或监管部门取消上述限制，如适用于本基金，基金管理人在履行适当程序后，则本基金投资不再受相关限制。</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2、基金托管人根据有关法律法规的规定及《基金合同》的约定，对基金管理人选择存款银行进行监督。基金投资银行定期存款的，基金管理人应根据法律法规的规定及《基金合同》的约定，确定符合条件的所有存款银行的名单，并及时提供给基金托管人，基金托管人应据以对基金投资银行存款的交易对手是否符合有关规定进行监督。对于不符合规定的银行存款，基金托管人可以拒绝执行，并通知基金管理人。</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本基金投资银行存款应符合如下规定：</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1）本基金投资于有固定期限银行存款的比例，不得超过基金资产净值的30%，但投资于有存款期限，根据协议可提前支取的银行存款不受上述比例限制;本基金投资于具有基金托管人资格的同一商业银行的银行存款、同业存单占基金资产净值的比例合计不得超过20%，投资于不具有基金托管人资格的同一商业银行的银行存款、同业存单占基金资产净值的比例合计不得超过5%。</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有关法律法规或监管部门制定或修改新的定期存款投资政策，基金管理人履行适当程序后，可相应调整投资组合限制的规定。</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2）基金管理人负责对本基金存款银行的评估与研究，建立健全银行存款的业务流程、岗位职责、风险控制措施和监察稽核制度，切实防范有关风险。基金托管人负责对本基金银行定期存款业务的监督与核查，审查、复核相关协议、账户资料、投资指令、存款证实书等有关文件，切实履行托管职责。</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1）基金管理人负责控制信用风险。信用风险主要包括存款银行的信用等级、存款银行的支付能力等涉及到存款银行选择方面的风险。因选择存款银行不当造成基金财产损失的，由基金管理人承担责任。</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2）基金管理人负责控制流动性风险，并承担因控制不力而造成的损失。流动性风险主要包括基金管理人要求全部提前支取、部分提前支取或到期支取而存款银行未能及时兑付的风险、基金投资银行存款不能满足基金正常结算业务的风险、因全部提前支取或部分提前支取而涉及的利息损失影响估值等涉及到基金流动性方面的风险。</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3）基金管理人须加强内部风险控制制度的建设。如因基金管理人员工职务行为导致基金财产受到损失的，需由基金管理人承担由此造成的损失。</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4）基金管理人与基金托管人在开展基金存款业务时，应严格遵守《基金法》、《运作办法》等有关法律法规，以及国家有关账户管理、利率管理、支付结算等的各项规定。</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3、基金投资银行存款协议的签订、账户开设与管理、投资指令与资金划付、账目核对、到期兑付、提前支取</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（1）基金投资银行存款协议的签订</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1）基金管理人应与符合资格的存款银行总行或其授权分行签订《存款协议书》。《存款协议书》的格式范本由基金托管人、基金管理人、存款银行总行或其授权分行共同商定。</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2）基金托管人依据相关法规对《存款协议书》的内容进行复核，审查存款银行资格等。</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3）基金管理人应在《存款协议书》中明确存款证实书或其他有效存款凭证的办理方式、邮寄地址、联系人和联系电话，以及存款证实书或其他有效凭证在邮寄过程中遗失后，存款余额的确认及兑付办法等。</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4）由存款银行指定的存放存款的分支机构（以下简称“存款分支机构”）寄送或上门交付存款证实书或其他有效存款凭证的，基金托管人可向存款分支机构的上级行发出存款余额询证函，存款分支机构及其上级行应予配合。</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5）基金管理人应在《存款协议书》中规定，基金存放到期或提前兑付的资金应全部划转到指定的基金托管账户，并在《存款协议书》写明账户名称和账号，未划入指定账户的，由存款银行承担一切责任。</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6）基金管理人应在《存款协议书》中规定，在存期内，如本基金银行账户、预留印鉴发生变更，基金管理人应及时书面通知存款行，书面通知应加盖基金托管人预留印鉴。存款分支机构应及时就变更事项向基金管理人、基金托管人出具正式书面确认书。变更通知的送达方式同开户手续。在存期内，存款分支机构和基金托管人的指定联系人变更，应及时加盖公章书面通知对方。</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7）基金管理人应在《存款协议书》中规定，因定期存款产生的存单不得被质押或以任何方式被抵押，不得用于转让和背书。</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（2）基金投资银行存款时的账户开设与管理</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1）基金投资于银行存款时，基金管理人应当依据基金管理人与存款银行签订的《存款协议书》等，以基金的名义在存款银行总行或授权分行指定的分支机构开立银行账户。</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2）基金投资于银行存款时的预留印鉴由基金托管人保管和使用。</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（3）存款凭证传递、账目核对及到期兑付</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1）存款证实书等存款凭证传递</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存款资金只能存放于存款银行总行或授权分行指定的分支机构。基金管理人应在《存款协议书》中规定，存款银行分支机构应为基金开具存款证实书或其他有效存款凭证（下称“存款凭证”），该存款凭证为基金存款确认或到期提款的有效凭证，且对应每笔存款仅能开具唯一存款凭证。资金到账当日，由存款银行分支机构指定的会计主管传真一份存款凭证复印件并与基金托管人电话确认收妥后，将存款凭证原件通过快递寄送或上门交付至基金托管人指定联系人；若存款银行分支机构代为保管存款凭证的，由存款银行分支机构指定会计主管传真一份存款凭证复印件并与基金托管人电话确认收妥。</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2）存款凭证的遗失补办</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存款凭证在邮寄过程中遗失的，由基金管理人向存款银行提出补办申请，基金管理人应督促存款银行尽快补办存款凭证，并按以上1）的方式快递或上门交付至托管人，原存款凭证自动作废。</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3）账目核对</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每个工作日，基金管理人应与基金托管人核对各项银行存款投资余额及应计利息。</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基金管理人应在《存款协议书》中规定，对于存期超过3个月的定期存款，存款银行应于每季末后5个工作日内向基金托管人指定人员寄送对账单。因存款银行未寄送对账单造成的资金被挪用、盗取的责任由存款银行承担。</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存款银行应配合基金托管人对存款凭证的询证，并在询证函上加盖存款银行公章寄送至基金托管人指定联系人。</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4）到期兑付</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基金管理人提前通知基金托管人通过快递将存款凭证原件寄给存款银行分支机构指定的会计主管。存款银行未收到存款凭证原件的，应向基金托管人电话询问。存款到期前基金管理人与存款银行确认存款凭证收到并于到期日兑付存款本息事宜。</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基金托管人在存款到期日未收到存款本息或存款本息金额不符时，通知基金管理人与存款银行接洽存款到账时间及利息补付事宜。基金管理人应将接洽结果告知基金托管人，基金托管人收妥存款本息的当日通知基金管理人。</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基金管理人应在《存款协议书》中规定，存款凭证在邮寄过程中遗失的，存款银行应立即通知基金托管人，基金托管人在原存款凭证复印件上加盖公章并出具相关证明文件后，与存款银行指定会计主管电话确认后，存款银行应在到期日将存款本息划至指定的基金资金账户。</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如果存款到期日为法定节假日，存款银行顺延至到期后第一个工作日支付，存款银行需按原协议约定利率和实际延期天数支付延期利息。</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（4）提前支取</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如果在存款期限内，由于基金规模发生缩减的原因或者出于流动性管理的需要等原因，基金管理人可以提前支取全部或部分资金。</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提前支取的具体事项按照基金管理人与存款银行签订的《存款协议书》执行。</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（5）基金投资银行存款的监督</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基金托管人发现基金管理人在进行存款投资时有违反有关法律法规的规定及《基金合同》的约定的行为，应及时以书面形式通知基金管理人在10个工作日内纠正。基金管理人对基金托管人通知的违规事项未能在10个工作日内纠正的，基金托管人应报告中国证监会。基金托管人发现基金管理人有重大违规行为，应立即报告中国证监会，同时通知基金管理人在10个工作日内纠正或拒绝结算，若因基金管理人拒不执行造成基金财产损失的，相关损失由基金管理人承担，基金托管人不承担任何责任。</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4、基金托管人根据有关法律法规的规定及《基金合同》的约定，对基金管理人参与银行间债券市场进行监督。基金管理人应在基金投资运作之前向基金托管人提供符合法律法规及行业标准的、经慎重选择的、本基金适用的银行间债券市场交易对手名单并约定各交易对手所适用的交易结算方式。基金管理人有责任确保及时将更新后的交易对手名单发送给基金托管人，否则由此造成的损失应由基金管理人承担。基金管理人应严格按照交易对手名单的范围在银行间债券市场选择交易对手。基金托管人监督基金管理人是否按事前提供的银行间债券市场交易对手名单进行交易。在基金存续期间基金管理人可以调整交易对手名单，但应将调整结果至少提前一个工作日书面通知基金托管人。新名单确定时已与本次剔除的交易对手所进行但尚未结算的交易，仍应按照协议进行结算，但不得再发生新的交易。如基金管理人根据市场需要临时调整银行间债券交易对手名单及结算方式的，应向基金托管人说明理由，并在与交易对手发生交易前与基金托管人协商解决。</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基金管理人负责对交易对手的资信控制，按银行间债券市场的交易规则进行交易，并负责解决因交易对手不履行合同而造成的纠纷及损失。若未履约的交易对手在基金管理人确定的时间内仍未承担违约责任及其他相关法律责任的，基金管理人可以对相应损失先行予以承担，然后再向相关交易对手追偿。基金托管人则根据银行间债券市场成交单对合同履行情况进行监督。如基金托管人事后发现基金管理人没有按照事先约定的交易对手进行交易时，基金托管人应及时提醒基金管理人，基金托管人不承担由此造成的任何损失和责任。</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5、本基金投资流通受限证券，应遵守《关于基金投资非公开发行股票等流通受限证券有关问题的通知》等有关监管规定。</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1）流通受限证券包括由《上市公司证券发行管理办法》规范的非公开发行股票、公开发行股票网下配售部分等在发行时明确一定期限锁定期的可交易证券，不包括由于发布重大消息或其他原因而临时停牌的证券、已发行未上市证券、回购交易中的质押券等流通受限证券。</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本基金可以投资经中国证监会批准的非公开发行证券，且限于由中国证券登记结算有限责任公司、中央国债登记结算有限责任公司或银行间市场清算所股份有限公司负责登记和存管的，并可在证券交易所或全国银行间债券市场交易的证券。</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本基金不得投资未经中国证监会批准的非公开发行证券。</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本基金不得投资有锁定期但锁定期不明确的证券。</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2）基金管理人应在基金首次投资流通受限证券前，向基金托管人提供经基金管理人董事会批准的有关基金投资流通受限证券的投资决策流程、风险控制制度。基金投资非公开发行股票，基金管理人还应提供基金管理人董事会批准的流动性风险处置预案。上述资料应包括但不限于基金投资流通受限证券的投资额度和投资比例控制情况。</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基金管理人应至少于首次执行投资指令之前两个工作日将上述资料书面发至基金托管人，保证基金托管人有足够的时间进行审核。基金托管人应在收到上述资料后两个工作日内，以书面或其他双方认可的方式确认收到上述资料。</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基金管理人对本基金投资流通受限证券的流动性风险负责，确保对相关风险采取积极有效的措施，在合理的时间内有效解决基金运作的流动性问题。如因基金巨额赎回或市场发生剧烈变动等原因而导致基金现金周转困难时，基金管理人应保证提供足额现金确保基金的支付结算，并承担所有损失。对本基金因投资流通受限证券导致的流动性风险，基金托管人不承担任何责任。</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3）基金投资流通受限证券前，基金管理人应向基金托管人提供符合法律法规要求的有关书面信息，包括但不限于拟发行证券主体的中国证监会批准文件、发行证券数量、发行价格、锁定期，基金拟认购的数量、价格、总成本、应划付的认购款、资金划付时间等。基金管理人应保证上述信息的真实、完整，并应至少于拟执行投资指令前两个工作日将上述信息书面发至基金托管人，保证基金托管人有足够的时间进行审核。</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由于基金管理人未及时提供有关证券的具体的必要的信息，致使基金托管人无法审核认购指令而影响认购款项划拨的，基金托管人免于承担责任。</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4）基金托管人依照法律法规、《基金合同》、《托管协议》审核基金管理人投资流通受限证券的行为。如发现基金管理人违反了《基金合同》、《托管协议》以及其他相关法律法规的有关规定，应及时通知基金管理人，并呈报中国证监会，同时采取合理措施保护基金投资人的利益。基金托管人有权对基金管理人的违法、违规以及违反《基金合同》、《托管协议》的投资指令不予执行，并立即通知基金管理人纠正，基金管理人不予纠正或已代表基金签署合同不得不执行时，基金托管人应向中国证监会报告。</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5）基金管理人应在基金投资非公开发行股票后两个交易日内，在中国证监会规定媒介披露所投资非公开发行股票的名称、数量、总成本、账面价值，以及总成本和账面价值占基金资产净值的比例、锁定期等信息。</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6、基金管理人应当对投资中期票据业务进行研究，认真评估中期票据投资业务的风险，本着审慎、勤勉尽责的原则进行中期票据的投资业务，并应符合法律法规及监管机构的相关规定。</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7、基金托管人根据有关法律法规的规定及《基金合同》的约定，对各类基金份额的基金资产净值计算及基金份额净值计算、基金费用开支及收入确定、基金收益分配、相关信息披露、基金宣传推介材料中登载基金业绩表现数据等进行监督和核查。</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8、基金托管人发现基金管理人的上述事项及投资指令或实际投资运作违反法律法规、《基金合同》和本托管协议的规定，应及时以电话、邮件或书面提示等方式通知基金管理人限期纠正。基金管理人应积极配合和协助基金托管人的监督和核查。基金管理人收到通知后应及时核对并回复基金托管人，对于收到的书面通知，基金管理人应以书面形式给基金托管人发出回函，就基金托管人的疑义进行解释或举证，说明违规原因及纠正期限。在上述规定期限内，基金托管人有权随时对通知事项进行复查，督促基金管理人改正。基金管理人对基金托管人通知的违规事项未能在限期内纠正的，基金托管人应报告中国证监会。</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9、基金管理人有义务配合和协助基金托管人依照法律法规、《基金合同》和本托管协议对基金业务执行核查。包括但不限于：对基金托管人发出的提示，基金管理人应在规定时间内答复并改正，或就基金托管人的疑义进行解释或举证；对基金托管人按照法律法规、基金合同和本托管协议的要求需向中国证监会报送基金监督报告的事项，基金管理人应积极配合提供相关数据资料和制度等。</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10、若基金托管人发现基金管理人依据交易程序已经生效的指令违反法律、行政法规和其他有关规定，或者违反基金合同约定的，应当立即通知基金管理人及时纠正，由此造成的损失由基金管理人承担，托管人在履行其通知义务后，予以免责。</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11、基金托管人发现基金管理人有重大违规行为，应及时报告中国证监会，同时通知基金管理人限期纠正。</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12、侧袋机制的实施和投资运作安排</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当基金持有特定资产且存在或潜在大额赎回申请时，根据最大限度保护基金份额持有人利益的原则，基金管理人经与基金托管人协商一致，并咨询会计师事务所意见后，可以依照法律法规及基金合同的约定启用侧袋机制。</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侧袋机制实施期间，基金合同约定的投资组合比例、投资策略、组合限制、业绩比较基准、风险收益特征等约定仅适用于主袋账户。</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侧袋账户的实施条件、实施程序、运作安排、投资安排、特定资产的处置变现和支付等对投资者权益有重大影响的事项详见招募说明书的规定。</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b/>
          <w:kern w:val="0"/>
          <w:sz w:val="24"/>
        </w:rPr>
        <w:t>（三）基金管理人对基金托管人的业务核查</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1、基金管理人对基金托管人履行托管职责情况进行核查，核查事项包括基金托管人安全保管基金财产、开设基金财产的资金账户、证券账户、期货结算账户等投资所需账户、复核基金管理人计算的各类基金份额的基金资产净值和基金份额净值、根据基金管理人指令办理清算交收、相关信息披露和监督基金投资运作等行为。</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2、基金管理人发现基金托管人擅自挪用基金财产、未对基金财产实行分账管理、未执行或无故延迟执行基金管理人资金划拨指令、泄露基金投资信息等违反《基金法》、基金合同、托管协议及其他有关规定时，应及时以书面形式通知基金托管人限期纠正。基金托管人收到书面通知后应在下一工作日前及时核对并以书面形式给基金管理人发出回函，说明违规原因及纠正期限，并保证在规定期限内及时改正。在上述规定期限内，基金管理人有权随时对通知事项进行复查，督促基金托管人改正。</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3、基金托管人有义务配合和协助基金管理人依照法律法规、基金合同和本托管协议对基金业务执行核查，包括但不限于：对基金管理人发出的书面提示，基金托管人应在规定时间内答复并改正，或就基金管理人的疑义进行解释或举证；基金托管人应积极配合提供相关资料以供基金管理人核查托管财产的完整性和真实性。</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4、基金管理人发现基金托管人有重大违规行为，应及时报告中国证监会，同时通知基金托管人限期纠正，并将纠正结果报告中国证监会。</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b/>
          <w:kern w:val="0"/>
          <w:sz w:val="24"/>
        </w:rPr>
        <w:t>（四）基金财产保管</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1、基金财产保管的原则</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（1）基金财产应独立于基金管理人、基金托管人的固有财产。</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（2）基金托管人应安全保管基金财产。</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（3）基金托管人按照规定开设基金财产的资金账户、证券账户和期货结算账户等投资所需的相关账户。</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（4）基金托管人对所托管的不同基金财产分别设置账户，确保基金财产的完整与独立。</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5）基金托管人根据基金管理人的指令，按照基金合同和本协议的约定保管基金财产。未经基金管理人的正当指令，不得自行运用、处分、分配基金的任何资产。不属于基金托管人实际有效控制下的资产及实物证券等在基金托管人保管期间的损坏、灭失，基金托管人不承担由此产生的责任。</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6）对于因为基金投资产生的应收资产，应由基金管理人负责与有关当事人确定到账日期并通知基金托管人，到账日基金财产没有到达基金资金账户的，基金托管人应及时通知基金管理人采取措施进行催收，基金管理人应负责向有关当事人追偿基金财产的损失。</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7）基金托管人对因为基金管理人投资产生的存放或存管在基金托管人以外机构的基金资产，或交由证券公司负责清算交收的基金资产及其收益，由于该等机构或该机构会员单位等本协议当事人外第三方的欺诈、疏忽、过失或破产等原因给基金资产造成的损失等不承担责任。</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（8）除依据法律法规和基金合同的规定外，基金托管人不得委托第三人托管基金财产。</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2、基金募集期间及募集资金的验资</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（1）基金募集期间募集认购款项应开立“基金募集专户”。该账户由基金管理人或基金管理人委托的登记机构开立并管理。</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2）基金募集期满或基金停止募集时，募集的基金份额总额、基金募集金额、基金份额持有人人数符合《基金法》、《运作办法》等有关规定后，基金管理人应将属于基金财产的全部资金划入基金托管人为基金开立的基金资金账户，同时在规定时间内，基金管理人应聘请符合《中华人民共和国证券法》规定的会计师事务所进行验资，出具验资报告。出具的验资报告由参加验资的2名或2名以上中国注册会计师签字方为有效。</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（3）若基金募集期限届满，未能达到基金合同生效的条件，由基金管理人按规定办理退款等事宜。</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3、基金资金账户的开立和管理</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1）基金托管人以本基金的名义在其营业机构开立基金的资金账户（也可称为“托管账户”），保管基金的银行存款，并根据基金管理人的指令办理资金收付。托管账户名称应为“交银施罗德启衡混合型证券投资基金”，预留印鉴为基金托管人印章。</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（2）基金资金账户的开立和使用，限于满足开展本基金业务的需要。基金托管人和基金管理人不得假借本基金的名义开立任何其他银行账户；亦不得使用基金的任何账户进行本基金业务以外的活动。</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（3）基金资金账户的开立和管理应符合法律法规及银行业监督管理机构的有关规定。</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4、基金证券账户和结算备付金账户的开立和管理</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（1）基金托管人在中国证券登记结算有限责任公司上海分公司、深圳分公司为基金开立基金托管人与基金联名的证券账户。</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（2）基金证券账户的开立和使用，仅限于满足开展本基金业务的需要。基金托管人和基金管理人不得出借或未经对方同意擅自转让基金的任何证券账户，亦不得使用基金的任何账户进行本基金业务以外的活动。</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（3）基金证券账户的开立和证券账户卡的保管由基金托管人负责，账户资产的管理和运用由基金管理人负责。</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4）基金托管人以基金托管人的名义在中国证券登记结算有限责任公司开立结算备付金账户，并代表所托管的基金完成与中国证券登记结算有限责任公司的一级法人清算工作，基金管理人应予以积极协助。结算备付金、结算保证金等的收取按照中国证券登记结算有限责任公司的规定执行。</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5）若中国证监会或其他监管机构在本托管协议订立日之后允许基金从事其他投资品种的投资业务，涉及相关账户的开立、使用的，按有关规定开立、使用并管理；若无相关规定，则基金托管人比照上述关于账户开立、使用的规定执行。</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5、债券托管账户的开设和管理</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基金合同生效后，基金托管人根据中国人民银行、中央国债登记结算有限责任公司和银行间市场清算所股份有限公司的有关规定，以基金的名义在银行间市场登记结算机构开立债券托管账户，并代表基金进行银行间市场债券的结算。</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6、其他账户的开立和管理</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1）基金管理人根据投资需要按照规定开立期货保证金账户及期货交易编码等，基金托管人按照规定开立期货结算账户等投资所需账户。完成上述账户开立后，基金管理人应以书面形式将期货公司提供的期货保证金账户的初始资金密码和市场监控中心的登录用户名及密码告知基金托管人。资金密码和市场监控中心登录密码重置由基金管理人进行，重置后务必及时通知托管人。</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基金托管人和基金管理人应当在开户过程中相互配合，并提供所需资料。基金管理人保证所提供的账户开户材料的真实性和有效性，且在相关资料变更后及时将变更的资料提供给基金托管人。</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（2）因业务发展需要而开立的其他账户，可以根据法律法规和基金合同的规定，由基金管理人协助基金托管人按照有关法律法规和本协议的约定协商后开立。新账户按有关规定使用并管理。</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（3）法律法规等有关规定对相关账户的开立和管理另有规定的，从其规定办理。</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7、基金财产投资的有关有价凭证等的保管</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基金财产投资的有关实物证券等有价凭证按约定由基金托管人存放于基金托管人的保管库，或存入中央国债登记结算有限责任公司、银行间市场清算所股份有限公司、中国证券登记结算有限责任公司或票据营业中心的代保管库，实物保管凭证由基金托管人持有。实物证券等有价凭证的购买和转让，由基金托管人根据基金管理人的指令办理。基金托管人对由上述存放机构及基金托管人以外机构实际有效控制的有价凭证不承担保管责任。</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8、与基金财产有关的重大合同的保管</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由基金管理人代表基金签署的、与基金财产有关的重大合同的原件分别由基金管理人、基金托管人保管。除本协议另有规定外，基金管理人代表基金签署的与基金财产有关的重大合同应保证基金管理人和基金托管人至少各持有一份正本的原件。基金管理人应在重大合同签署后及时将重大合同传真给基金托管人，并在三十个工作日内将正本送达基金托管人处。因基金管理人发送的合同传真件与事后送达的合同原件不一致所造成的后果，由基金管理人负责。重大合同的保管期限不低于法律法规规定的最低期限。</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对于无法取得二份以上的正本的，基金管理人应向基金托管人提供加盖公章的合同传真件，未经双方协商一致，合同原件不得转移。基金管理人向基金托管人提供的合同传真件与基金管理人留存原件不一致的，以传真件为准。</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b/>
          <w:kern w:val="0"/>
          <w:sz w:val="24"/>
        </w:rPr>
        <w:t>（五）基金资产净值计算、估值和会计核算</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1、基金资产净值的计算、复核与完成的时间及程序</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（1）基金资产净值</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基金资产净值是指基金资产总值减去基金负债后的价值。</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各类基金份额的基金份额净值是按照每个工作日闭市后，该类基金份额的基金资产净值除以当日该类基金份额的余额数量计算，精确到0.0001元，小数点后第五位四舍五入。基金管理人可以设立大额赎回情形下的净值精度应急调整机制，具体可参见相关公告。国家另有规定的，从其规定。</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基金管理人于每个工作日分别计算各类基金份额的基金资产净值、基金份额净值，经基金托管人复核，按规定公告，但基金管理人根据法律法规或基金合同的规定暂停估值时除外。</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（2）复核程序</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基金管理人每个工作日对基金资产进行估值后，将各类基金份额的基金资产净值、基金份额净值发送基金托管人，经基金托管人复核无误后，由基金管理人依据基金合同和相关法律法规的规定对外公布。</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3）根据有关法律法规，基金资产净值计算和基金会计核算的义务由基金管理人承担。本基金的基金会计责任方由基金管理人担任，因此，就与本基金有关的会计问题，如经相关各方在平等基础上充分讨论后，仍无法达成一致意见的，按照基金管理人对基金净值信息的计算结果对外予以公布。</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2、基金资产的估值</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基金管理人及基金托管人应当按照《基金合同》的约定进行估值。</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3、基金份额净值错误的处理方式</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基金管理人及基金托管人应当按照《基金合同》的约定处理份额净值错误。</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4、基金会计制度</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按国家有关部门规定的会计制度执行。</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5、基金账册的建立</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基金管理人和基金托管人在基金合同生效后，应按照双方约定的同一记账方法和会计处理原则，分别独立地设置、记录和保管本基金的全套账册，对相关各方各自的账册定期进行核对，互相监督，以保证基金资产的安全。</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6、基金财务报表与报告的编制和复核</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（1）财务报表的编制</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基金财务报表由基金管理人编制，基金托管人复核。</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（2）报表复核</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基金托管人在收到基金管理人编制的基金财务报表后，进行独立的复核。核对不符时，应及时通知基金管理人共同查出原因，进行调整，直至双方数据完全一致。</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（3）财务报表的编制与复核时间安排</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基金管理人、基金托管人应当在每月结束后5个工作日内完成月度报表的编制及复核；在季度结束之日起15个工作日内完成基金季度报告的编制及复核；在上半年结束之日起两个月内完成基金中期报告的编制及复核；在每年结束之日起三个月内完成基金年度报告的编制及复核。基金托管人在复核过程中，发现双方的报表存在不符时，基金管理人和基金托管人应共同查明原因，进行调整，调整以国家有关规定为准。基金年度报告中的财务会计报告应当经过符合《中华人民共和国证券法》规定的会计师事务所审计。基金合同生效不足两个月的，基金管理人可以不编制当期季度报告、中期报告或者年度报告。</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7、在有需要时，基金管理人应每季度向基金托管人提供基金业绩比较基准的基础数据和编制结果。</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8、实施侧袋机制期间的基金资产估值</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本基金实施侧袋机制的，应根据基金合同的约定对主袋账户资产进行估值并披露主袋账户的基金净值信息，暂停披露侧袋账户份额净值。</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b/>
          <w:kern w:val="0"/>
          <w:sz w:val="24"/>
        </w:rPr>
        <w:t>（六）基金份额持有人名册的保管</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基金份额持有人名册至少应包括基金份额持有人的名称、证件号码和持有的基金份额。基金份额持有人名册由基金登记机构根据基金管理人的指令编制和保管，基金管理人和基金托管人应分别保管基金份额持有人名册，保存期不低于法律法规规定的最低年限。如不能妥善保管，则按相关法律法规承担责任。</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在基金托管人要求或编制中期报告及年度报告前，基金管理人应将有关资料送交基金托管人，不得无故拒绝或延误提供，并保证其真实性、准确性和完整性。基金管理人和托管人不得将所保管的基金份额持有人名册用于基金托管业务以外的其他用途，并应遵守保密义务。</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b/>
          <w:kern w:val="0"/>
          <w:sz w:val="24"/>
        </w:rPr>
        <w:t>（七）争议解决方式</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双方当事人同意，因本协议而产生的或与本协议有关的一切争议，如经友好协商未能解决的，任何一方均有权将争议提交深圳国际仲裁院，按照深圳国际仲裁院届时有效的仲裁规则进行仲裁。仲裁地点为深圳市。仲裁裁决是终局的，对双方当事人均有约束力，除非仲裁裁决另有规定，仲裁费用由败诉方承担。</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争议处理期间，双方当事人应恪守基金管理人和基金托管人职责，各自继续忠实、勤勉、尽责地履行基金合同和本托管协议规定的义务，维护基金份额持有人的合法权益。</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本协议受中华人民共和国法律（不含港澳台地区法律）管辖。</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b/>
          <w:kern w:val="0"/>
          <w:sz w:val="24"/>
        </w:rPr>
        <w:t>（八）托管协议的变更、终止与基金财产的清算</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1、托管协议的变更程序</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本协议双方当事人经协商一致，可以对协议进行修改。修改后的新协议，其内容不得与基金合同的规定有任何冲突。基金托管协议的变更应报中国证监会备案。</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2、基金托管协议终止的情形</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（1）《基金合同》终止；</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（2）基金托管人因解散、破产、撤销等事由，不能继续担任基金托管人的职务，而在6个月内无其他适当的托管机构承接其原有权利义务；</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（3）基金管理人因解散、破产、撤销等事由，不能继续担任基金管理人的职务，而在6个月内无其他适当的基金管理机构承接其原有权利义务；</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（4）发生法律法规或《基金合同》规定的其他终止事项。</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3、基金财产的清算</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基金管理人与基金托管人按照《基金合同》的约定处理基金财产的清算。</w:t>
      </w:r>
    </w:p>
    <w:p>
      <w:pPr>
        <w:pStyle w:val="Heading1"/>
        <w:snapToGrid w:val="0"/>
        <w:spacing w:before="240" w:beforeLines="0" w:after="0"/>
        <w:rPr>
          <w:rFonts w:ascii="宋体" w:hAnsi="宋体"/>
          <w:szCs w:val="30"/>
        </w:rPr>
      </w:pPr>
      <w:r>
        <w:br w:type="page"/>
      </w:r>
      <w:bookmarkStart w:id="48" w:name="_Toc256000023"/>
      <w:bookmarkStart w:id="49" w:name="_Toc256000050"/>
      <w:r>
        <w:rPr>
          <w:rFonts w:ascii="宋体" w:hAnsi="宋体"/>
          <w:sz w:val="30"/>
        </w:rPr>
        <w:t>二十三、对基金份额持有人的服务</w:t>
      </w:r>
      <w:bookmarkEnd w:id="49"/>
      <w:bookmarkEnd w:id="48"/>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基金管理人承诺为基金份额持有人提供一系列的服务。基金管理人根据基金份额持有人的需要和市场的变化，有权增加或变更服务项目。主要服务内容如下：</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b/>
          <w:kern w:val="0"/>
          <w:sz w:val="24"/>
        </w:rPr>
        <w:t>（一）持有人交易资料的寄送服务</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每次交易结束后，可在T+2个工作日后通过销售机构的网点查询和打印确认单。</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本基金管理人将向持有人提供电子或纸质对账单，需要订阅或取消的客户可与本基金管理人客户服务中心（400-700-5000，021-61055000）联系。</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b/>
          <w:kern w:val="0"/>
          <w:sz w:val="24"/>
        </w:rPr>
        <w:t>（二）网上直销服务</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本基金管理人已开通基金网上直销业务，个人投资者可以直接通过本基金管理人网站的网上直销交易平台办理开户和本基金的申购、赎回、定期定额投资和转换等业务。通过网上直销交易平台办理本基金A类基金份额的申购和定期定额投资业务的个人投资者将享受前端申购费率的优惠，通过网上直销交易平台进行基金转换，从各基金招募说明书所载的零申购费率的基金转换入非零申购费率的基金，转出与转入基金的前端申购补差费率将享受优惠，其他费率标准不变。具体优惠费率请参见公司网站列示的网上直销交易平台申购、定期定额投资及转换费率表或相关公告。</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本公司基金网上直销业务已开通的银行卡及各银行卡交易金额限额请参阅本公司网站。</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在条件成熟的时候，本基金管理人将根据基金网上直销业务的发展状况，适时调整可用于基金网上直销交易平台的银行卡种类，敬请投资人留意相关公告。</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b/>
          <w:kern w:val="0"/>
          <w:sz w:val="24"/>
        </w:rPr>
        <w:t>（三）信息咨询、查询服务</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投资人如果想查询基金账户余额、基金产品与服务等信息，请拨打本基金管理人客户服务电话（400-700-5000，021-61055000）或登录本基金管理人网站（www.fund001.com）进行咨询、查询。</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本基金管理人为投资人预设基金查询密码，预设的基金查询密码为投资人开户证件号码的后6位数字，不足6位数字的，前面加“0”补足。基金查询密码用于投资人通过客户服务电话查询基金账户下的账户和交易信息。投资人请在其知晓基金账号后，及时拨打本基金管理人客户服务电话修改基金查询密码。</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投资人可以拨打本基金管理人客户服务电话投诉直销机构的人员和服务。</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b/>
          <w:kern w:val="0"/>
          <w:sz w:val="24"/>
        </w:rPr>
        <w:t>（四）基金红利再投资</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本基金收益分配时，基金份额持有人持有的基金份额可选择现金红利或选择红利再投将现金红利自动转为基金份额进行再投资，若投资人不选择，本基金默认的收益分配方式是现金分红；基金份额持有人可对其持有的A类以及C类基金份额分别选择不同的收益分配方式。再投资红利按红利再投日（即除息日）除息后的基金份额净值自动转为基金份额，并免收申购费用。</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b/>
          <w:kern w:val="0"/>
          <w:sz w:val="24"/>
        </w:rPr>
        <w:t>（五）定期定额投资计划</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本基金已开通定期定额投资计划，具体实施方法请参见相关公告。</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服务联系方式：</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本基金管理人的互联网地址及电子信箱</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网址：www.fund001.com</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电子信箱：services@jysld.com</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投资者也可登录本基金管理人网站，直接提出有关本基金的问题和建议。</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b/>
          <w:kern w:val="0"/>
          <w:sz w:val="24"/>
        </w:rPr>
        <w:t>（六）如本招募说明书存在任何您/贵机构无法理解的内容，请通过上述方式联系基金管理人。请确保投资前，您/贵机构已经全面理解了本招募说明书。</w:t>
      </w:r>
    </w:p>
    <w:p>
      <w:pPr>
        <w:pStyle w:val="Heading1"/>
        <w:snapToGrid w:val="0"/>
        <w:spacing w:before="240" w:beforeLines="0" w:after="0"/>
        <w:rPr>
          <w:rFonts w:ascii="宋体" w:hAnsi="宋体"/>
          <w:szCs w:val="30"/>
        </w:rPr>
      </w:pPr>
      <w:r>
        <w:br w:type="page"/>
      </w:r>
      <w:bookmarkStart w:id="50" w:name="_Toc256000024"/>
      <w:bookmarkStart w:id="51" w:name="_Toc256000051"/>
      <w:r>
        <w:rPr>
          <w:rFonts w:ascii="宋体" w:hAnsi="宋体"/>
          <w:sz w:val="30"/>
        </w:rPr>
        <w:t>二十四、其他应披露事项</w:t>
      </w:r>
      <w:bookmarkEnd w:id="51"/>
      <w:bookmarkEnd w:id="50"/>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基金合同如有未尽事宜，由基金合同当事人各方按有关法律法规协商解决。</w:t>
      </w:r>
    </w:p>
    <w:tbl>
      <w:tblPr>
        <w:tblW w:w="5000" w:type="pct"/>
        <w:tblInd w:w="0" w:type="dxa"/>
        <w:tblLayout w:type="fixed"/>
        <w:tblCellMar>
          <w:top w:w="0" w:type="dxa"/>
          <w:left w:w="0" w:type="dxa"/>
          <w:bottom w:w="0" w:type="dxa"/>
          <w:right w:w="0" w:type="dxa"/>
        </w:tblCellMar>
        <w:tblLook w:val="0000"/>
      </w:tblPr>
      <w:tblGrid>
        <w:gridCol w:w="605"/>
        <w:gridCol w:w="3629"/>
        <w:gridCol w:w="2823"/>
        <w:gridCol w:w="1613"/>
      </w:tblGrid>
      <w:tr>
        <w:tblPrEx>
          <w:tblW w:w="5000" w:type="pct"/>
          <w:tblInd w:w="0" w:type="dxa"/>
          <w:tblLayout w:type="fixed"/>
          <w:tblCellMar>
            <w:top w:w="0" w:type="dxa"/>
            <w:left w:w="0" w:type="dxa"/>
            <w:bottom w:w="0" w:type="dxa"/>
            <w:right w:w="0" w:type="dxa"/>
          </w:tblCellMar>
          <w:tblLook w:val="0000"/>
        </w:tblPrEx>
        <w:trPr>
          <w:cantSplit/>
          <w:trHeight w:val="375"/>
        </w:trPr>
        <w:tc>
          <w:tcPr>
            <w:tcW w:w="30" w:type="dxa"/>
            <w:tcBorders>
              <w:top w:val="single" w:sz="4" w:space="0" w:color="auto"/>
              <w:left w:val="single" w:sz="4" w:space="0" w:color="auto"/>
              <w:bottom w:val="single" w:sz="4" w:space="0" w:color="auto"/>
              <w:right w:val="single" w:sz="4" w:space="0" w:color="auto"/>
            </w:tcBorders>
            <w:vAlign w:val="center"/>
          </w:tcPr>
          <w:p>
            <w:pPr>
              <w:spacing w:after="0" w:line="240" w:lineRule="auto"/>
              <w:jc w:val="center"/>
            </w:pPr>
            <w:r>
              <w:rPr>
                <w:rFonts w:ascii="宋体" w:hAnsi="宋体"/>
                <w:color w:val="000000"/>
                <w:kern w:val="0"/>
                <w:sz w:val="25"/>
                <w:szCs w:val="24"/>
              </w:rPr>
              <w:t>序号</w:t>
            </w:r>
          </w:p>
        </w:tc>
        <w:tc>
          <w:tcPr>
            <w:tcW w:w="180" w:type="dxa"/>
            <w:vMerge w:val="restart"/>
            <w:tcBorders>
              <w:top w:val="single" w:sz="4" w:space="0" w:color="auto"/>
              <w:left w:val="single" w:sz="4" w:space="0" w:color="auto"/>
              <w:bottom w:val="single" w:sz="4" w:space="0" w:color="auto"/>
              <w:right w:val="single" w:sz="4" w:space="0" w:color="auto"/>
            </w:tcBorders>
            <w:vAlign w:val="center"/>
          </w:tcPr>
          <w:p>
            <w:pPr>
              <w:spacing w:after="0" w:line="240" w:lineRule="auto"/>
              <w:jc w:val="center"/>
            </w:pPr>
            <w:r>
              <w:rPr>
                <w:rFonts w:ascii="宋体" w:hAnsi="宋体"/>
                <w:color w:val="000000"/>
                <w:kern w:val="0"/>
                <w:sz w:val="25"/>
                <w:szCs w:val="24"/>
              </w:rPr>
              <w:t>公告事项</w:t>
            </w:r>
          </w:p>
        </w:tc>
        <w:tc>
          <w:tcPr>
            <w:tcW w:w="140" w:type="dxa"/>
            <w:vMerge w:val="restart"/>
            <w:tcBorders>
              <w:top w:val="single" w:sz="4" w:space="0" w:color="auto"/>
              <w:left w:val="single" w:sz="4" w:space="0" w:color="auto"/>
              <w:bottom w:val="single" w:sz="4" w:space="0" w:color="auto"/>
              <w:right w:val="single" w:sz="4" w:space="0" w:color="auto"/>
            </w:tcBorders>
            <w:vAlign w:val="center"/>
          </w:tcPr>
          <w:p>
            <w:pPr>
              <w:spacing w:after="0" w:line="240" w:lineRule="auto"/>
              <w:jc w:val="center"/>
            </w:pPr>
            <w:r>
              <w:rPr>
                <w:rFonts w:ascii="宋体" w:hAnsi="宋体"/>
                <w:color w:val="000000"/>
                <w:kern w:val="0"/>
                <w:sz w:val="25"/>
                <w:szCs w:val="24"/>
              </w:rPr>
              <w:t>披露媒介</w:t>
            </w:r>
          </w:p>
        </w:tc>
        <w:tc>
          <w:tcPr>
            <w:tcW w:w="80" w:type="dxa"/>
            <w:vMerge w:val="restart"/>
            <w:tcBorders>
              <w:top w:val="single" w:sz="4" w:space="0" w:color="auto"/>
              <w:left w:val="single" w:sz="4" w:space="0" w:color="auto"/>
              <w:bottom w:val="single" w:sz="4" w:space="0" w:color="auto"/>
              <w:right w:val="single" w:sz="4" w:space="0" w:color="auto"/>
            </w:tcBorders>
            <w:vAlign w:val="center"/>
          </w:tcPr>
          <w:p>
            <w:pPr>
              <w:spacing w:after="0" w:line="240" w:lineRule="auto"/>
              <w:jc w:val="center"/>
            </w:pPr>
            <w:r>
              <w:rPr>
                <w:rFonts w:ascii="宋体" w:hAnsi="宋体"/>
                <w:color w:val="000000"/>
                <w:kern w:val="0"/>
                <w:sz w:val="25"/>
                <w:szCs w:val="24"/>
              </w:rPr>
              <w:t>披露日期</w:t>
            </w:r>
          </w:p>
        </w:tc>
      </w:tr>
      <w:tr>
        <w:tblPrEx>
          <w:tblW w:w="5000" w:type="pct"/>
          <w:tblInd w:w="0" w:type="dxa"/>
          <w:tblLayout w:type="fixed"/>
          <w:tblCellMar>
            <w:top w:w="0" w:type="dxa"/>
            <w:left w:w="0" w:type="dxa"/>
            <w:bottom w:w="0" w:type="dxa"/>
            <w:right w:w="0" w:type="dxa"/>
          </w:tblCellMar>
          <w:tblLook w:val="0000"/>
        </w:tblPrEx>
        <w:trPr>
          <w:cantSplit/>
          <w:trHeight w:val="375"/>
        </w:trPr>
        <w:tc>
          <w:tcPr>
            <w:tcW w:w="7" w:type="dxa"/>
            <w:tcBorders>
              <w:top w:val="single" w:sz="4" w:space="0" w:color="auto"/>
              <w:left w:val="single" w:sz="4" w:space="0" w:color="auto"/>
              <w:bottom w:val="single" w:sz="4" w:space="0" w:color="auto"/>
              <w:right w:val="single" w:sz="4" w:space="0" w:color="auto"/>
            </w:tcBorders>
            <w:vAlign w:val="center"/>
          </w:tcPr>
          <w:p>
            <w:pPr>
              <w:widowControl/>
              <w:snapToGrid w:val="0"/>
              <w:spacing w:after="0" w:line="240" w:lineRule="auto"/>
              <w:jc w:val="center"/>
              <w:rPr>
                <w:rFonts w:ascii="宋体" w:hAnsi="宋体"/>
                <w:color w:val="000000"/>
                <w:kern w:val="0"/>
                <w:sz w:val="24"/>
                <w:szCs w:val="24"/>
              </w:rPr>
            </w:pPr>
            <w:r>
              <w:rPr>
                <w:rFonts w:ascii="宋体" w:hAnsi="宋体"/>
                <w:color w:val="000000"/>
                <w:kern w:val="0"/>
                <w:sz w:val="24"/>
                <w:szCs w:val="24"/>
              </w:rPr>
              <w:t>1</w:t>
            </w:r>
          </w:p>
        </w:tc>
        <w:tc>
          <w:tcPr>
            <w:tcW w:w="7" w:type="dxa"/>
            <w:vMerge w:val="restart"/>
            <w:tcBorders>
              <w:top w:val="single" w:sz="4" w:space="0" w:color="auto"/>
              <w:left w:val="single" w:sz="4" w:space="0" w:color="auto"/>
              <w:bottom w:val="single" w:sz="4" w:space="0" w:color="auto"/>
              <w:right w:val="single" w:sz="4" w:space="0" w:color="auto"/>
            </w:tcBorders>
            <w:vAlign w:val="center"/>
          </w:tcPr>
          <w:p>
            <w:pPr>
              <w:spacing w:after="0" w:line="240" w:lineRule="auto"/>
              <w:jc w:val="center"/>
            </w:pPr>
            <w:r>
              <w:rPr>
                <w:rFonts w:ascii="宋体" w:hAnsi="宋体"/>
                <w:color w:val="000000"/>
                <w:kern w:val="0"/>
                <w:sz w:val="25"/>
                <w:szCs w:val="24"/>
              </w:rPr>
              <w:t>交银施罗德启衡混合型证券投资基金招募说明书更新</w:t>
            </w:r>
          </w:p>
        </w:tc>
        <w:tc>
          <w:tcPr>
            <w:tcW w:w="7" w:type="dxa"/>
            <w:vMerge w:val="restart"/>
            <w:tcBorders>
              <w:top w:val="single" w:sz="4" w:space="0" w:color="auto"/>
              <w:left w:val="single" w:sz="4" w:space="0" w:color="auto"/>
              <w:bottom w:val="single" w:sz="4" w:space="0" w:color="auto"/>
              <w:right w:val="single" w:sz="4" w:space="0" w:color="auto"/>
            </w:tcBorders>
            <w:vAlign w:val="center"/>
          </w:tcPr>
          <w:p>
            <w:pPr>
              <w:spacing w:after="0" w:line="240" w:lineRule="auto"/>
              <w:jc w:val="center"/>
            </w:pPr>
            <w:r>
              <w:rPr>
                <w:rFonts w:ascii="宋体" w:hAnsi="宋体"/>
                <w:color w:val="000000"/>
                <w:kern w:val="0"/>
                <w:sz w:val="25"/>
                <w:szCs w:val="24"/>
              </w:rPr>
              <w:t>中国证监会规定媒体及公司网站</w:t>
            </w:r>
          </w:p>
        </w:tc>
        <w:tc>
          <w:tcPr>
            <w:tcW w:w="7" w:type="dxa"/>
            <w:vMerge w:val="restart"/>
            <w:tcBorders>
              <w:top w:val="single" w:sz="4" w:space="0" w:color="auto"/>
              <w:left w:val="single" w:sz="4" w:space="0" w:color="auto"/>
              <w:bottom w:val="single" w:sz="4" w:space="0" w:color="auto"/>
              <w:right w:val="single" w:sz="4" w:space="0" w:color="auto"/>
            </w:tcBorders>
            <w:vAlign w:val="center"/>
          </w:tcPr>
          <w:p>
            <w:pPr>
              <w:spacing w:after="0" w:line="240" w:lineRule="auto"/>
              <w:jc w:val="center"/>
            </w:pPr>
            <w:r>
              <w:rPr>
                <w:rFonts w:ascii="宋体" w:hAnsi="宋体"/>
                <w:color w:val="000000"/>
                <w:kern w:val="0"/>
                <w:sz w:val="25"/>
                <w:szCs w:val="24"/>
              </w:rPr>
              <w:t>2025-10-10</w:t>
            </w:r>
          </w:p>
        </w:tc>
      </w:tr>
      <w:tr>
        <w:tblPrEx>
          <w:tblW w:w="5000" w:type="pct"/>
          <w:tblInd w:w="0" w:type="dxa"/>
          <w:tblLayout w:type="fixed"/>
          <w:tblCellMar>
            <w:top w:w="0" w:type="dxa"/>
            <w:left w:w="0" w:type="dxa"/>
            <w:bottom w:w="0" w:type="dxa"/>
            <w:right w:w="0" w:type="dxa"/>
          </w:tblCellMar>
          <w:tblLook w:val="0000"/>
        </w:tblPrEx>
        <w:trPr>
          <w:cantSplit/>
          <w:trHeight w:val="375"/>
        </w:trPr>
        <w:tc>
          <w:tcPr>
            <w:tcW w:w="7" w:type="dxa"/>
            <w:tcBorders>
              <w:top w:val="single" w:sz="4" w:space="0" w:color="auto"/>
              <w:left w:val="single" w:sz="4" w:space="0" w:color="auto"/>
              <w:bottom w:val="single" w:sz="4" w:space="0" w:color="auto"/>
              <w:right w:val="single" w:sz="4" w:space="0" w:color="auto"/>
            </w:tcBorders>
            <w:vAlign w:val="center"/>
          </w:tcPr>
          <w:p>
            <w:pPr>
              <w:widowControl/>
              <w:snapToGrid w:val="0"/>
              <w:spacing w:after="0" w:line="240" w:lineRule="auto"/>
              <w:jc w:val="center"/>
              <w:rPr>
                <w:rFonts w:ascii="宋体" w:hAnsi="宋体"/>
                <w:color w:val="000000"/>
                <w:kern w:val="0"/>
                <w:sz w:val="24"/>
                <w:szCs w:val="24"/>
              </w:rPr>
            </w:pPr>
            <w:r>
              <w:rPr>
                <w:rFonts w:ascii="宋体" w:hAnsi="宋体"/>
                <w:color w:val="000000"/>
                <w:kern w:val="0"/>
                <w:sz w:val="24"/>
                <w:szCs w:val="24"/>
              </w:rPr>
              <w:t>2</w:t>
            </w:r>
          </w:p>
        </w:tc>
        <w:tc>
          <w:tcPr>
            <w:tcW w:w="7" w:type="dxa"/>
            <w:vMerge w:val="restart"/>
            <w:tcBorders>
              <w:top w:val="single" w:sz="4" w:space="0" w:color="auto"/>
              <w:left w:val="single" w:sz="4" w:space="0" w:color="auto"/>
              <w:bottom w:val="single" w:sz="4" w:space="0" w:color="auto"/>
              <w:right w:val="single" w:sz="4" w:space="0" w:color="auto"/>
            </w:tcBorders>
            <w:vAlign w:val="center"/>
          </w:tcPr>
          <w:p>
            <w:pPr>
              <w:spacing w:after="0" w:line="240" w:lineRule="auto"/>
              <w:jc w:val="center"/>
            </w:pPr>
            <w:r>
              <w:rPr>
                <w:rFonts w:ascii="宋体" w:hAnsi="宋体"/>
                <w:color w:val="000000"/>
                <w:kern w:val="0"/>
                <w:sz w:val="25"/>
                <w:szCs w:val="24"/>
              </w:rPr>
              <w:t>交银施罗德启衡混合型证券投资基金（C类份额）基金产品资料概要更新</w:t>
            </w:r>
          </w:p>
        </w:tc>
        <w:tc>
          <w:tcPr>
            <w:tcW w:w="7" w:type="dxa"/>
            <w:vMerge w:val="restart"/>
            <w:tcBorders>
              <w:top w:val="single" w:sz="4" w:space="0" w:color="auto"/>
              <w:left w:val="single" w:sz="4" w:space="0" w:color="auto"/>
              <w:bottom w:val="single" w:sz="4" w:space="0" w:color="auto"/>
              <w:right w:val="single" w:sz="4" w:space="0" w:color="auto"/>
            </w:tcBorders>
            <w:vAlign w:val="center"/>
          </w:tcPr>
          <w:p>
            <w:pPr>
              <w:spacing w:after="0" w:line="240" w:lineRule="auto"/>
              <w:jc w:val="center"/>
            </w:pPr>
            <w:r>
              <w:rPr>
                <w:rFonts w:ascii="宋体" w:hAnsi="宋体"/>
                <w:color w:val="000000"/>
                <w:kern w:val="0"/>
                <w:sz w:val="25"/>
                <w:szCs w:val="24"/>
              </w:rPr>
              <w:t>中国证监会规定媒体及公司网站</w:t>
            </w:r>
          </w:p>
        </w:tc>
        <w:tc>
          <w:tcPr>
            <w:tcW w:w="7" w:type="dxa"/>
            <w:vMerge w:val="restart"/>
            <w:tcBorders>
              <w:top w:val="single" w:sz="4" w:space="0" w:color="auto"/>
              <w:left w:val="single" w:sz="4" w:space="0" w:color="auto"/>
              <w:bottom w:val="single" w:sz="4" w:space="0" w:color="auto"/>
              <w:right w:val="single" w:sz="4" w:space="0" w:color="auto"/>
            </w:tcBorders>
            <w:vAlign w:val="center"/>
          </w:tcPr>
          <w:p>
            <w:pPr>
              <w:spacing w:after="0" w:line="240" w:lineRule="auto"/>
              <w:jc w:val="center"/>
            </w:pPr>
            <w:r>
              <w:rPr>
                <w:rFonts w:ascii="宋体" w:hAnsi="宋体"/>
                <w:color w:val="000000"/>
                <w:kern w:val="0"/>
                <w:sz w:val="25"/>
                <w:szCs w:val="24"/>
              </w:rPr>
              <w:t>2025-10-10</w:t>
            </w:r>
          </w:p>
        </w:tc>
      </w:tr>
      <w:tr>
        <w:tblPrEx>
          <w:tblW w:w="5000" w:type="pct"/>
          <w:tblInd w:w="0" w:type="dxa"/>
          <w:tblLayout w:type="fixed"/>
          <w:tblCellMar>
            <w:top w:w="0" w:type="dxa"/>
            <w:left w:w="0" w:type="dxa"/>
            <w:bottom w:w="0" w:type="dxa"/>
            <w:right w:w="0" w:type="dxa"/>
          </w:tblCellMar>
          <w:tblLook w:val="0000"/>
        </w:tblPrEx>
        <w:trPr>
          <w:cantSplit/>
          <w:trHeight w:val="375"/>
        </w:trPr>
        <w:tc>
          <w:tcPr>
            <w:tcW w:w="7" w:type="dxa"/>
            <w:tcBorders>
              <w:top w:val="single" w:sz="4" w:space="0" w:color="auto"/>
              <w:left w:val="single" w:sz="4" w:space="0" w:color="auto"/>
              <w:bottom w:val="single" w:sz="4" w:space="0" w:color="auto"/>
              <w:right w:val="single" w:sz="4" w:space="0" w:color="auto"/>
            </w:tcBorders>
            <w:vAlign w:val="center"/>
          </w:tcPr>
          <w:p>
            <w:pPr>
              <w:widowControl/>
              <w:snapToGrid w:val="0"/>
              <w:spacing w:after="0" w:line="240" w:lineRule="auto"/>
              <w:jc w:val="center"/>
              <w:rPr>
                <w:rFonts w:ascii="宋体" w:hAnsi="宋体"/>
                <w:color w:val="000000"/>
                <w:kern w:val="0"/>
                <w:sz w:val="24"/>
                <w:szCs w:val="24"/>
              </w:rPr>
            </w:pPr>
            <w:r>
              <w:rPr>
                <w:rFonts w:ascii="宋体" w:hAnsi="宋体"/>
                <w:color w:val="000000"/>
                <w:kern w:val="0"/>
                <w:sz w:val="24"/>
                <w:szCs w:val="24"/>
              </w:rPr>
              <w:t>3</w:t>
            </w:r>
          </w:p>
        </w:tc>
        <w:tc>
          <w:tcPr>
            <w:tcW w:w="7" w:type="dxa"/>
            <w:vMerge w:val="restart"/>
            <w:tcBorders>
              <w:top w:val="single" w:sz="4" w:space="0" w:color="auto"/>
              <w:left w:val="single" w:sz="4" w:space="0" w:color="auto"/>
              <w:bottom w:val="single" w:sz="4" w:space="0" w:color="auto"/>
              <w:right w:val="single" w:sz="4" w:space="0" w:color="auto"/>
            </w:tcBorders>
            <w:vAlign w:val="center"/>
          </w:tcPr>
          <w:p>
            <w:pPr>
              <w:spacing w:after="0" w:line="240" w:lineRule="auto"/>
              <w:jc w:val="center"/>
            </w:pPr>
            <w:r>
              <w:rPr>
                <w:rFonts w:ascii="宋体" w:hAnsi="宋体"/>
                <w:color w:val="000000"/>
                <w:kern w:val="0"/>
                <w:sz w:val="25"/>
                <w:szCs w:val="24"/>
              </w:rPr>
              <w:t>交银施罗德启衡混合型证券投资基金（A类份额）基金产品资料概要更新</w:t>
            </w:r>
          </w:p>
        </w:tc>
        <w:tc>
          <w:tcPr>
            <w:tcW w:w="7" w:type="dxa"/>
            <w:vMerge w:val="restart"/>
            <w:tcBorders>
              <w:top w:val="single" w:sz="4" w:space="0" w:color="auto"/>
              <w:left w:val="single" w:sz="4" w:space="0" w:color="auto"/>
              <w:bottom w:val="single" w:sz="4" w:space="0" w:color="auto"/>
              <w:right w:val="single" w:sz="4" w:space="0" w:color="auto"/>
            </w:tcBorders>
            <w:vAlign w:val="center"/>
          </w:tcPr>
          <w:p>
            <w:pPr>
              <w:spacing w:after="0" w:line="240" w:lineRule="auto"/>
              <w:jc w:val="center"/>
            </w:pPr>
            <w:r>
              <w:rPr>
                <w:rFonts w:ascii="宋体" w:hAnsi="宋体"/>
                <w:color w:val="000000"/>
                <w:kern w:val="0"/>
                <w:sz w:val="25"/>
                <w:szCs w:val="24"/>
              </w:rPr>
              <w:t>中国证监会规定媒体及公司网站</w:t>
            </w:r>
          </w:p>
        </w:tc>
        <w:tc>
          <w:tcPr>
            <w:tcW w:w="7" w:type="dxa"/>
            <w:vMerge w:val="restart"/>
            <w:tcBorders>
              <w:top w:val="single" w:sz="4" w:space="0" w:color="auto"/>
              <w:left w:val="single" w:sz="4" w:space="0" w:color="auto"/>
              <w:bottom w:val="single" w:sz="4" w:space="0" w:color="auto"/>
              <w:right w:val="single" w:sz="4" w:space="0" w:color="auto"/>
            </w:tcBorders>
            <w:vAlign w:val="center"/>
          </w:tcPr>
          <w:p>
            <w:pPr>
              <w:spacing w:after="0" w:line="240" w:lineRule="auto"/>
              <w:jc w:val="center"/>
            </w:pPr>
            <w:r>
              <w:rPr>
                <w:rFonts w:ascii="宋体" w:hAnsi="宋体"/>
                <w:color w:val="000000"/>
                <w:kern w:val="0"/>
                <w:sz w:val="25"/>
                <w:szCs w:val="24"/>
              </w:rPr>
              <w:t>2025-10-10</w:t>
            </w:r>
          </w:p>
        </w:tc>
      </w:tr>
      <w:tr>
        <w:tblPrEx>
          <w:tblW w:w="5000" w:type="pct"/>
          <w:tblInd w:w="0" w:type="dxa"/>
          <w:tblLayout w:type="fixed"/>
          <w:tblCellMar>
            <w:top w:w="0" w:type="dxa"/>
            <w:left w:w="0" w:type="dxa"/>
            <w:bottom w:w="0" w:type="dxa"/>
            <w:right w:w="0" w:type="dxa"/>
          </w:tblCellMar>
          <w:tblLook w:val="0000"/>
        </w:tblPrEx>
        <w:trPr>
          <w:cantSplit/>
          <w:trHeight w:val="375"/>
        </w:trPr>
        <w:tc>
          <w:tcPr>
            <w:tcW w:w="7" w:type="dxa"/>
            <w:tcBorders>
              <w:top w:val="single" w:sz="4" w:space="0" w:color="auto"/>
              <w:left w:val="single" w:sz="4" w:space="0" w:color="auto"/>
              <w:bottom w:val="single" w:sz="4" w:space="0" w:color="auto"/>
              <w:right w:val="single" w:sz="4" w:space="0" w:color="auto"/>
            </w:tcBorders>
            <w:vAlign w:val="center"/>
          </w:tcPr>
          <w:p>
            <w:pPr>
              <w:widowControl/>
              <w:snapToGrid w:val="0"/>
              <w:spacing w:after="0" w:line="240" w:lineRule="auto"/>
              <w:jc w:val="center"/>
              <w:rPr>
                <w:rFonts w:ascii="宋体" w:hAnsi="宋体"/>
                <w:color w:val="000000"/>
                <w:kern w:val="0"/>
                <w:sz w:val="24"/>
                <w:szCs w:val="24"/>
              </w:rPr>
            </w:pPr>
            <w:r>
              <w:rPr>
                <w:rFonts w:ascii="宋体" w:hAnsi="宋体"/>
                <w:color w:val="000000"/>
                <w:kern w:val="0"/>
                <w:sz w:val="24"/>
                <w:szCs w:val="24"/>
              </w:rPr>
              <w:t>4</w:t>
            </w:r>
          </w:p>
        </w:tc>
        <w:tc>
          <w:tcPr>
            <w:tcW w:w="7" w:type="dxa"/>
            <w:vMerge w:val="restart"/>
            <w:tcBorders>
              <w:top w:val="single" w:sz="4" w:space="0" w:color="auto"/>
              <w:left w:val="single" w:sz="4" w:space="0" w:color="auto"/>
              <w:bottom w:val="single" w:sz="4" w:space="0" w:color="auto"/>
              <w:right w:val="single" w:sz="4" w:space="0" w:color="auto"/>
            </w:tcBorders>
            <w:vAlign w:val="center"/>
          </w:tcPr>
          <w:p>
            <w:pPr>
              <w:spacing w:after="0" w:line="240" w:lineRule="auto"/>
              <w:jc w:val="center"/>
            </w:pPr>
            <w:r>
              <w:rPr>
                <w:rFonts w:ascii="宋体" w:hAnsi="宋体"/>
                <w:color w:val="000000"/>
                <w:kern w:val="0"/>
                <w:sz w:val="25"/>
                <w:szCs w:val="24"/>
              </w:rPr>
              <w:t>交银施罗德启衡混合型证券投资基金2025年第3季度报告</w:t>
            </w:r>
          </w:p>
        </w:tc>
        <w:tc>
          <w:tcPr>
            <w:tcW w:w="7" w:type="dxa"/>
            <w:vMerge w:val="restart"/>
            <w:tcBorders>
              <w:top w:val="single" w:sz="4" w:space="0" w:color="auto"/>
              <w:left w:val="single" w:sz="4" w:space="0" w:color="auto"/>
              <w:bottom w:val="single" w:sz="4" w:space="0" w:color="auto"/>
              <w:right w:val="single" w:sz="4" w:space="0" w:color="auto"/>
            </w:tcBorders>
            <w:vAlign w:val="center"/>
          </w:tcPr>
          <w:p>
            <w:pPr>
              <w:spacing w:after="0" w:line="240" w:lineRule="auto"/>
              <w:jc w:val="center"/>
            </w:pPr>
            <w:r>
              <w:rPr>
                <w:rFonts w:ascii="宋体" w:hAnsi="宋体"/>
                <w:color w:val="000000"/>
                <w:kern w:val="0"/>
                <w:sz w:val="25"/>
                <w:szCs w:val="24"/>
              </w:rPr>
              <w:t>中国证监会规定媒体及公司网站</w:t>
            </w:r>
          </w:p>
        </w:tc>
        <w:tc>
          <w:tcPr>
            <w:tcW w:w="7" w:type="dxa"/>
            <w:vMerge w:val="restart"/>
            <w:tcBorders>
              <w:top w:val="single" w:sz="4" w:space="0" w:color="auto"/>
              <w:left w:val="single" w:sz="4" w:space="0" w:color="auto"/>
              <w:bottom w:val="single" w:sz="4" w:space="0" w:color="auto"/>
              <w:right w:val="single" w:sz="4" w:space="0" w:color="auto"/>
            </w:tcBorders>
            <w:vAlign w:val="center"/>
          </w:tcPr>
          <w:p>
            <w:pPr>
              <w:spacing w:after="0" w:line="240" w:lineRule="auto"/>
              <w:jc w:val="center"/>
            </w:pPr>
            <w:r>
              <w:rPr>
                <w:rFonts w:ascii="宋体" w:hAnsi="宋体"/>
                <w:color w:val="000000"/>
                <w:kern w:val="0"/>
                <w:sz w:val="25"/>
                <w:szCs w:val="24"/>
              </w:rPr>
              <w:t>2025-10-28</w:t>
            </w:r>
          </w:p>
        </w:tc>
      </w:tr>
      <w:tr>
        <w:tblPrEx>
          <w:tblW w:w="5000" w:type="pct"/>
          <w:tblInd w:w="0" w:type="dxa"/>
          <w:tblLayout w:type="fixed"/>
          <w:tblCellMar>
            <w:top w:w="0" w:type="dxa"/>
            <w:left w:w="0" w:type="dxa"/>
            <w:bottom w:w="0" w:type="dxa"/>
            <w:right w:w="0" w:type="dxa"/>
          </w:tblCellMar>
          <w:tblLook w:val="0000"/>
        </w:tblPrEx>
        <w:trPr>
          <w:cantSplit/>
          <w:trHeight w:val="375"/>
        </w:trPr>
        <w:tc>
          <w:tcPr>
            <w:tcW w:w="7" w:type="dxa"/>
            <w:tcBorders>
              <w:top w:val="single" w:sz="4" w:space="0" w:color="auto"/>
              <w:left w:val="single" w:sz="4" w:space="0" w:color="auto"/>
              <w:bottom w:val="single" w:sz="4" w:space="0" w:color="auto"/>
              <w:right w:val="single" w:sz="4" w:space="0" w:color="auto"/>
            </w:tcBorders>
            <w:vAlign w:val="center"/>
          </w:tcPr>
          <w:p>
            <w:pPr>
              <w:widowControl/>
              <w:snapToGrid w:val="0"/>
              <w:spacing w:after="0" w:line="240" w:lineRule="auto"/>
              <w:jc w:val="center"/>
              <w:rPr>
                <w:rFonts w:ascii="宋体" w:hAnsi="宋体"/>
                <w:color w:val="000000"/>
                <w:kern w:val="0"/>
                <w:sz w:val="24"/>
                <w:szCs w:val="24"/>
              </w:rPr>
            </w:pPr>
            <w:r>
              <w:rPr>
                <w:rFonts w:ascii="宋体" w:hAnsi="宋体"/>
                <w:color w:val="000000"/>
                <w:kern w:val="0"/>
                <w:sz w:val="24"/>
                <w:szCs w:val="24"/>
              </w:rPr>
              <w:t>5</w:t>
            </w:r>
          </w:p>
        </w:tc>
        <w:tc>
          <w:tcPr>
            <w:tcW w:w="7" w:type="dxa"/>
            <w:vMerge w:val="restart"/>
            <w:tcBorders>
              <w:top w:val="single" w:sz="4" w:space="0" w:color="auto"/>
              <w:left w:val="single" w:sz="4" w:space="0" w:color="auto"/>
              <w:bottom w:val="single" w:sz="4" w:space="0" w:color="auto"/>
              <w:right w:val="single" w:sz="4" w:space="0" w:color="auto"/>
            </w:tcBorders>
            <w:vAlign w:val="center"/>
          </w:tcPr>
          <w:p>
            <w:pPr>
              <w:spacing w:after="0" w:line="240" w:lineRule="auto"/>
              <w:jc w:val="center"/>
            </w:pPr>
            <w:r>
              <w:rPr>
                <w:rFonts w:ascii="宋体" w:hAnsi="宋体"/>
                <w:color w:val="000000"/>
                <w:kern w:val="0"/>
                <w:sz w:val="25"/>
                <w:szCs w:val="24"/>
              </w:rPr>
              <w:t>交银施罗德基金管理有限公司董事变更公告</w:t>
            </w:r>
          </w:p>
        </w:tc>
        <w:tc>
          <w:tcPr>
            <w:tcW w:w="7" w:type="dxa"/>
            <w:vMerge w:val="restart"/>
            <w:tcBorders>
              <w:top w:val="single" w:sz="4" w:space="0" w:color="auto"/>
              <w:left w:val="single" w:sz="4" w:space="0" w:color="auto"/>
              <w:bottom w:val="single" w:sz="4" w:space="0" w:color="auto"/>
              <w:right w:val="single" w:sz="4" w:space="0" w:color="auto"/>
            </w:tcBorders>
            <w:vAlign w:val="center"/>
          </w:tcPr>
          <w:p>
            <w:pPr>
              <w:spacing w:after="0" w:line="240" w:lineRule="auto"/>
              <w:jc w:val="center"/>
            </w:pPr>
            <w:r>
              <w:rPr>
                <w:rFonts w:ascii="宋体" w:hAnsi="宋体"/>
                <w:color w:val="000000"/>
                <w:kern w:val="0"/>
                <w:sz w:val="25"/>
                <w:szCs w:val="24"/>
              </w:rPr>
              <w:t>中国证监会规定媒体及公司网站</w:t>
            </w:r>
          </w:p>
        </w:tc>
        <w:tc>
          <w:tcPr>
            <w:tcW w:w="7" w:type="dxa"/>
            <w:vMerge w:val="restart"/>
            <w:tcBorders>
              <w:top w:val="single" w:sz="4" w:space="0" w:color="auto"/>
              <w:left w:val="single" w:sz="4" w:space="0" w:color="auto"/>
              <w:bottom w:val="single" w:sz="4" w:space="0" w:color="auto"/>
              <w:right w:val="single" w:sz="4" w:space="0" w:color="auto"/>
            </w:tcBorders>
            <w:vAlign w:val="center"/>
          </w:tcPr>
          <w:p>
            <w:pPr>
              <w:spacing w:after="0" w:line="240" w:lineRule="auto"/>
              <w:jc w:val="center"/>
            </w:pPr>
            <w:r>
              <w:rPr>
                <w:rFonts w:ascii="宋体" w:hAnsi="宋体"/>
                <w:color w:val="000000"/>
                <w:kern w:val="0"/>
                <w:sz w:val="25"/>
                <w:szCs w:val="24"/>
              </w:rPr>
              <w:t>2025-12-20</w:t>
            </w:r>
          </w:p>
        </w:tc>
      </w:tr>
      <w:tr>
        <w:tblPrEx>
          <w:tblW w:w="5000" w:type="pct"/>
          <w:tblInd w:w="0" w:type="dxa"/>
          <w:tblLayout w:type="fixed"/>
          <w:tblCellMar>
            <w:top w:w="0" w:type="dxa"/>
            <w:left w:w="0" w:type="dxa"/>
            <w:bottom w:w="0" w:type="dxa"/>
            <w:right w:w="0" w:type="dxa"/>
          </w:tblCellMar>
          <w:tblLook w:val="0000"/>
        </w:tblPrEx>
        <w:trPr>
          <w:cantSplit/>
          <w:trHeight w:val="375"/>
        </w:trPr>
        <w:tc>
          <w:tcPr>
            <w:tcW w:w="7" w:type="dxa"/>
            <w:tcBorders>
              <w:top w:val="single" w:sz="4" w:space="0" w:color="auto"/>
              <w:left w:val="single" w:sz="4" w:space="0" w:color="auto"/>
              <w:bottom w:val="single" w:sz="4" w:space="0" w:color="auto"/>
              <w:right w:val="single" w:sz="4" w:space="0" w:color="auto"/>
            </w:tcBorders>
            <w:vAlign w:val="center"/>
          </w:tcPr>
          <w:p>
            <w:pPr>
              <w:widowControl/>
              <w:snapToGrid w:val="0"/>
              <w:spacing w:after="0" w:line="240" w:lineRule="auto"/>
              <w:jc w:val="center"/>
              <w:rPr>
                <w:rFonts w:ascii="宋体" w:hAnsi="宋体"/>
                <w:color w:val="000000"/>
                <w:kern w:val="0"/>
                <w:sz w:val="24"/>
                <w:szCs w:val="24"/>
              </w:rPr>
            </w:pPr>
            <w:r>
              <w:rPr>
                <w:rFonts w:ascii="宋体" w:hAnsi="宋体"/>
                <w:color w:val="000000"/>
                <w:kern w:val="0"/>
                <w:sz w:val="24"/>
                <w:szCs w:val="24"/>
              </w:rPr>
              <w:t>6</w:t>
            </w:r>
          </w:p>
        </w:tc>
        <w:tc>
          <w:tcPr>
            <w:tcW w:w="7" w:type="dxa"/>
            <w:vMerge w:val="restart"/>
            <w:tcBorders>
              <w:top w:val="single" w:sz="4" w:space="0" w:color="auto"/>
              <w:left w:val="single" w:sz="4" w:space="0" w:color="auto"/>
              <w:bottom w:val="single" w:sz="4" w:space="0" w:color="auto"/>
              <w:right w:val="single" w:sz="4" w:space="0" w:color="auto"/>
            </w:tcBorders>
            <w:vAlign w:val="center"/>
          </w:tcPr>
          <w:p>
            <w:pPr>
              <w:spacing w:after="0" w:line="240" w:lineRule="auto"/>
              <w:jc w:val="center"/>
            </w:pPr>
            <w:r>
              <w:rPr>
                <w:rFonts w:ascii="宋体" w:hAnsi="宋体"/>
                <w:color w:val="000000"/>
                <w:kern w:val="0"/>
                <w:sz w:val="25"/>
                <w:szCs w:val="24"/>
              </w:rPr>
              <w:t>交银施罗德启衡混合型证券投资基金2025年第4季度报告</w:t>
            </w:r>
          </w:p>
        </w:tc>
        <w:tc>
          <w:tcPr>
            <w:tcW w:w="7" w:type="dxa"/>
            <w:vMerge w:val="restart"/>
            <w:tcBorders>
              <w:top w:val="single" w:sz="4" w:space="0" w:color="auto"/>
              <w:left w:val="single" w:sz="4" w:space="0" w:color="auto"/>
              <w:bottom w:val="single" w:sz="4" w:space="0" w:color="auto"/>
              <w:right w:val="single" w:sz="4" w:space="0" w:color="auto"/>
            </w:tcBorders>
            <w:vAlign w:val="center"/>
          </w:tcPr>
          <w:p>
            <w:pPr>
              <w:spacing w:after="0" w:line="240" w:lineRule="auto"/>
              <w:jc w:val="center"/>
            </w:pPr>
            <w:r>
              <w:rPr>
                <w:rFonts w:ascii="宋体" w:hAnsi="宋体"/>
                <w:color w:val="000000"/>
                <w:kern w:val="0"/>
                <w:sz w:val="25"/>
                <w:szCs w:val="24"/>
              </w:rPr>
              <w:t>中国证监会规定媒体及公司网站</w:t>
            </w:r>
          </w:p>
        </w:tc>
        <w:tc>
          <w:tcPr>
            <w:tcW w:w="7" w:type="dxa"/>
            <w:vMerge w:val="restart"/>
            <w:tcBorders>
              <w:top w:val="single" w:sz="4" w:space="0" w:color="auto"/>
              <w:left w:val="single" w:sz="4" w:space="0" w:color="auto"/>
              <w:bottom w:val="single" w:sz="4" w:space="0" w:color="auto"/>
              <w:right w:val="single" w:sz="4" w:space="0" w:color="auto"/>
            </w:tcBorders>
            <w:vAlign w:val="center"/>
          </w:tcPr>
          <w:p>
            <w:pPr>
              <w:spacing w:after="0" w:line="240" w:lineRule="auto"/>
              <w:jc w:val="center"/>
            </w:pPr>
            <w:r>
              <w:rPr>
                <w:rFonts w:ascii="宋体" w:hAnsi="宋体"/>
                <w:color w:val="000000"/>
                <w:kern w:val="0"/>
                <w:sz w:val="25"/>
                <w:szCs w:val="24"/>
              </w:rPr>
              <w:t>2026-01-21</w:t>
            </w:r>
          </w:p>
        </w:tc>
      </w:tr>
      <w:tr>
        <w:tblPrEx>
          <w:tblW w:w="5000" w:type="pct"/>
          <w:tblInd w:w="0" w:type="dxa"/>
          <w:tblLayout w:type="fixed"/>
          <w:tblCellMar>
            <w:top w:w="0" w:type="dxa"/>
            <w:left w:w="0" w:type="dxa"/>
            <w:bottom w:w="0" w:type="dxa"/>
            <w:right w:w="0" w:type="dxa"/>
          </w:tblCellMar>
          <w:tblLook w:val="0000"/>
        </w:tblPrEx>
        <w:trPr>
          <w:cantSplit/>
          <w:trHeight w:val="375"/>
        </w:trPr>
        <w:tc>
          <w:tcPr>
            <w:tcW w:w="7" w:type="dxa"/>
            <w:tcBorders>
              <w:top w:val="single" w:sz="4" w:space="0" w:color="auto"/>
              <w:left w:val="single" w:sz="4" w:space="0" w:color="auto"/>
              <w:bottom w:val="single" w:sz="4" w:space="0" w:color="auto"/>
              <w:right w:val="single" w:sz="4" w:space="0" w:color="auto"/>
            </w:tcBorders>
            <w:vAlign w:val="center"/>
          </w:tcPr>
          <w:p>
            <w:pPr>
              <w:widowControl/>
              <w:snapToGrid w:val="0"/>
              <w:spacing w:after="0" w:line="240" w:lineRule="auto"/>
              <w:jc w:val="center"/>
              <w:rPr>
                <w:rFonts w:ascii="宋体" w:hAnsi="宋体"/>
                <w:color w:val="000000"/>
                <w:kern w:val="0"/>
                <w:sz w:val="24"/>
                <w:szCs w:val="24"/>
              </w:rPr>
            </w:pPr>
            <w:r>
              <w:rPr>
                <w:rFonts w:ascii="宋体" w:hAnsi="宋体"/>
                <w:color w:val="000000"/>
                <w:kern w:val="0"/>
                <w:sz w:val="24"/>
                <w:szCs w:val="24"/>
              </w:rPr>
              <w:t>7</w:t>
            </w:r>
          </w:p>
        </w:tc>
        <w:tc>
          <w:tcPr>
            <w:tcW w:w="7" w:type="dxa"/>
            <w:vMerge w:val="restart"/>
            <w:tcBorders>
              <w:top w:val="single" w:sz="4" w:space="0" w:color="auto"/>
              <w:left w:val="single" w:sz="4" w:space="0" w:color="auto"/>
              <w:bottom w:val="single" w:sz="4" w:space="0" w:color="auto"/>
              <w:right w:val="single" w:sz="4" w:space="0" w:color="auto"/>
            </w:tcBorders>
            <w:vAlign w:val="center"/>
          </w:tcPr>
          <w:p>
            <w:pPr>
              <w:spacing w:after="0" w:line="240" w:lineRule="auto"/>
              <w:jc w:val="center"/>
            </w:pPr>
            <w:r>
              <w:rPr>
                <w:rFonts w:ascii="宋体" w:hAnsi="宋体"/>
                <w:color w:val="000000"/>
                <w:kern w:val="0"/>
                <w:sz w:val="25"/>
                <w:szCs w:val="24"/>
              </w:rPr>
              <w:t>交银施罗德基金管理有限公司旗下公募基金通过证券公司证券交易及佣金支付情况（2025年）</w:t>
            </w:r>
          </w:p>
        </w:tc>
        <w:tc>
          <w:tcPr>
            <w:tcW w:w="7" w:type="dxa"/>
            <w:vMerge w:val="restart"/>
            <w:tcBorders>
              <w:top w:val="single" w:sz="4" w:space="0" w:color="auto"/>
              <w:left w:val="single" w:sz="4" w:space="0" w:color="auto"/>
              <w:bottom w:val="single" w:sz="4" w:space="0" w:color="auto"/>
              <w:right w:val="single" w:sz="4" w:space="0" w:color="auto"/>
            </w:tcBorders>
            <w:vAlign w:val="center"/>
          </w:tcPr>
          <w:p>
            <w:pPr>
              <w:spacing w:after="0" w:line="240" w:lineRule="auto"/>
              <w:jc w:val="center"/>
            </w:pPr>
            <w:r>
              <w:rPr>
                <w:rFonts w:ascii="宋体" w:hAnsi="宋体"/>
                <w:color w:val="000000"/>
                <w:kern w:val="0"/>
                <w:sz w:val="25"/>
                <w:szCs w:val="24"/>
              </w:rPr>
              <w:t>中国证监会规定媒体及公司网站</w:t>
            </w:r>
          </w:p>
        </w:tc>
        <w:tc>
          <w:tcPr>
            <w:tcW w:w="7" w:type="dxa"/>
            <w:vMerge w:val="restart"/>
            <w:tcBorders>
              <w:top w:val="single" w:sz="4" w:space="0" w:color="auto"/>
              <w:left w:val="single" w:sz="4" w:space="0" w:color="auto"/>
              <w:bottom w:val="single" w:sz="4" w:space="0" w:color="auto"/>
              <w:right w:val="single" w:sz="4" w:space="0" w:color="auto"/>
            </w:tcBorders>
            <w:vAlign w:val="center"/>
          </w:tcPr>
          <w:p>
            <w:pPr>
              <w:spacing w:after="0" w:line="240" w:lineRule="auto"/>
              <w:jc w:val="center"/>
            </w:pPr>
            <w:r>
              <w:rPr>
                <w:rFonts w:ascii="宋体" w:hAnsi="宋体"/>
                <w:color w:val="000000"/>
                <w:kern w:val="0"/>
                <w:sz w:val="25"/>
                <w:szCs w:val="24"/>
              </w:rPr>
              <w:t>2026-03-28</w:t>
            </w:r>
          </w:p>
        </w:tc>
      </w:tr>
      <w:tr>
        <w:tblPrEx>
          <w:tblW w:w="5000" w:type="pct"/>
          <w:tblInd w:w="0" w:type="dxa"/>
          <w:tblLayout w:type="fixed"/>
          <w:tblCellMar>
            <w:top w:w="0" w:type="dxa"/>
            <w:left w:w="0" w:type="dxa"/>
            <w:bottom w:w="0" w:type="dxa"/>
            <w:right w:w="0" w:type="dxa"/>
          </w:tblCellMar>
          <w:tblLook w:val="0000"/>
        </w:tblPrEx>
        <w:trPr>
          <w:cantSplit/>
          <w:trHeight w:val="375"/>
        </w:trPr>
        <w:tc>
          <w:tcPr>
            <w:tcW w:w="7" w:type="dxa"/>
            <w:tcBorders>
              <w:top w:val="single" w:sz="4" w:space="0" w:color="auto"/>
              <w:left w:val="single" w:sz="4" w:space="0" w:color="auto"/>
              <w:bottom w:val="single" w:sz="4" w:space="0" w:color="auto"/>
              <w:right w:val="single" w:sz="4" w:space="0" w:color="auto"/>
            </w:tcBorders>
            <w:vAlign w:val="center"/>
          </w:tcPr>
          <w:p>
            <w:pPr>
              <w:widowControl/>
              <w:snapToGrid w:val="0"/>
              <w:spacing w:after="0" w:line="240" w:lineRule="auto"/>
              <w:jc w:val="center"/>
              <w:rPr>
                <w:rFonts w:ascii="宋体" w:hAnsi="宋体"/>
                <w:color w:val="000000"/>
                <w:kern w:val="0"/>
                <w:sz w:val="24"/>
                <w:szCs w:val="24"/>
              </w:rPr>
            </w:pPr>
            <w:r>
              <w:rPr>
                <w:rFonts w:ascii="宋体" w:hAnsi="宋体"/>
                <w:color w:val="000000"/>
                <w:kern w:val="0"/>
                <w:sz w:val="24"/>
                <w:szCs w:val="24"/>
              </w:rPr>
              <w:t>8</w:t>
            </w:r>
          </w:p>
        </w:tc>
        <w:tc>
          <w:tcPr>
            <w:tcW w:w="7" w:type="dxa"/>
            <w:vMerge w:val="restart"/>
            <w:tcBorders>
              <w:top w:val="single" w:sz="4" w:space="0" w:color="auto"/>
              <w:left w:val="single" w:sz="4" w:space="0" w:color="auto"/>
              <w:bottom w:val="single" w:sz="4" w:space="0" w:color="auto"/>
              <w:right w:val="single" w:sz="4" w:space="0" w:color="auto"/>
            </w:tcBorders>
            <w:vAlign w:val="center"/>
          </w:tcPr>
          <w:p>
            <w:pPr>
              <w:spacing w:after="0" w:line="240" w:lineRule="auto"/>
              <w:jc w:val="center"/>
            </w:pPr>
            <w:r>
              <w:rPr>
                <w:rFonts w:ascii="宋体" w:hAnsi="宋体"/>
                <w:color w:val="000000"/>
                <w:kern w:val="0"/>
                <w:sz w:val="25"/>
                <w:szCs w:val="24"/>
              </w:rPr>
              <w:t>交银施罗德启衡混合型证券投资基金2025年年度报告</w:t>
            </w:r>
          </w:p>
        </w:tc>
        <w:tc>
          <w:tcPr>
            <w:tcW w:w="7" w:type="dxa"/>
            <w:vMerge w:val="restart"/>
            <w:tcBorders>
              <w:top w:val="single" w:sz="4" w:space="0" w:color="auto"/>
              <w:left w:val="single" w:sz="4" w:space="0" w:color="auto"/>
              <w:bottom w:val="single" w:sz="4" w:space="0" w:color="auto"/>
              <w:right w:val="single" w:sz="4" w:space="0" w:color="auto"/>
            </w:tcBorders>
            <w:vAlign w:val="center"/>
          </w:tcPr>
          <w:p>
            <w:pPr>
              <w:spacing w:after="0" w:line="240" w:lineRule="auto"/>
              <w:jc w:val="center"/>
            </w:pPr>
            <w:r>
              <w:rPr>
                <w:rFonts w:ascii="宋体" w:hAnsi="宋体"/>
                <w:color w:val="000000"/>
                <w:kern w:val="0"/>
                <w:sz w:val="25"/>
                <w:szCs w:val="24"/>
              </w:rPr>
              <w:t>中国证监会规定媒体及公司网站</w:t>
            </w:r>
          </w:p>
        </w:tc>
        <w:tc>
          <w:tcPr>
            <w:tcW w:w="7" w:type="dxa"/>
            <w:vMerge w:val="restart"/>
            <w:tcBorders>
              <w:top w:val="single" w:sz="4" w:space="0" w:color="auto"/>
              <w:left w:val="single" w:sz="4" w:space="0" w:color="auto"/>
              <w:bottom w:val="single" w:sz="4" w:space="0" w:color="auto"/>
              <w:right w:val="single" w:sz="4" w:space="0" w:color="auto"/>
            </w:tcBorders>
            <w:vAlign w:val="center"/>
          </w:tcPr>
          <w:p>
            <w:pPr>
              <w:spacing w:after="0" w:line="240" w:lineRule="auto"/>
              <w:jc w:val="center"/>
            </w:pPr>
            <w:r>
              <w:rPr>
                <w:rFonts w:ascii="宋体" w:hAnsi="宋体"/>
                <w:color w:val="000000"/>
                <w:kern w:val="0"/>
                <w:sz w:val="25"/>
                <w:szCs w:val="24"/>
              </w:rPr>
              <w:t>2026-03-28</w:t>
            </w:r>
          </w:p>
        </w:tc>
      </w:tr>
      <w:tr>
        <w:tblPrEx>
          <w:tblW w:w="5000" w:type="pct"/>
          <w:tblInd w:w="0" w:type="dxa"/>
          <w:tblLayout w:type="fixed"/>
          <w:tblCellMar>
            <w:top w:w="0" w:type="dxa"/>
            <w:left w:w="0" w:type="dxa"/>
            <w:bottom w:w="0" w:type="dxa"/>
            <w:right w:w="0" w:type="dxa"/>
          </w:tblCellMar>
          <w:tblLook w:val="0000"/>
        </w:tblPrEx>
        <w:trPr>
          <w:cantSplit/>
          <w:trHeight w:val="375"/>
        </w:trPr>
        <w:tc>
          <w:tcPr>
            <w:tcW w:w="7" w:type="dxa"/>
            <w:tcBorders>
              <w:top w:val="single" w:sz="4" w:space="0" w:color="auto"/>
              <w:left w:val="single" w:sz="4" w:space="0" w:color="auto"/>
              <w:bottom w:val="single" w:sz="4" w:space="0" w:color="auto"/>
              <w:right w:val="single" w:sz="4" w:space="0" w:color="auto"/>
            </w:tcBorders>
            <w:vAlign w:val="center"/>
          </w:tcPr>
          <w:p>
            <w:pPr>
              <w:widowControl/>
              <w:snapToGrid w:val="0"/>
              <w:spacing w:after="0" w:line="240" w:lineRule="auto"/>
              <w:jc w:val="center"/>
              <w:rPr>
                <w:rFonts w:ascii="宋体" w:hAnsi="宋体"/>
                <w:color w:val="000000"/>
                <w:kern w:val="0"/>
                <w:sz w:val="24"/>
                <w:szCs w:val="24"/>
              </w:rPr>
            </w:pPr>
            <w:r>
              <w:rPr>
                <w:rFonts w:ascii="宋体" w:hAnsi="宋体"/>
                <w:color w:val="000000"/>
                <w:kern w:val="0"/>
                <w:sz w:val="24"/>
                <w:szCs w:val="24"/>
              </w:rPr>
              <w:t>9</w:t>
            </w:r>
          </w:p>
        </w:tc>
        <w:tc>
          <w:tcPr>
            <w:tcW w:w="7" w:type="dxa"/>
            <w:vMerge w:val="restart"/>
            <w:tcBorders>
              <w:top w:val="single" w:sz="4" w:space="0" w:color="auto"/>
              <w:left w:val="single" w:sz="4" w:space="0" w:color="auto"/>
              <w:bottom w:val="single" w:sz="4" w:space="0" w:color="auto"/>
              <w:right w:val="single" w:sz="4" w:space="0" w:color="auto"/>
            </w:tcBorders>
            <w:vAlign w:val="center"/>
          </w:tcPr>
          <w:p>
            <w:pPr>
              <w:spacing w:after="0" w:line="240" w:lineRule="auto"/>
              <w:jc w:val="center"/>
            </w:pPr>
            <w:r>
              <w:rPr>
                <w:rFonts w:ascii="宋体" w:hAnsi="宋体"/>
                <w:color w:val="000000"/>
                <w:kern w:val="0"/>
                <w:sz w:val="25"/>
                <w:szCs w:val="24"/>
              </w:rPr>
              <w:t>交银施罗德启衡混合型证券投资基金2026年第1季度报告</w:t>
            </w:r>
          </w:p>
        </w:tc>
        <w:tc>
          <w:tcPr>
            <w:tcW w:w="7" w:type="dxa"/>
            <w:vMerge w:val="restart"/>
            <w:tcBorders>
              <w:top w:val="single" w:sz="4" w:space="0" w:color="auto"/>
              <w:left w:val="single" w:sz="4" w:space="0" w:color="auto"/>
              <w:bottom w:val="single" w:sz="4" w:space="0" w:color="auto"/>
              <w:right w:val="single" w:sz="4" w:space="0" w:color="auto"/>
            </w:tcBorders>
            <w:vAlign w:val="center"/>
          </w:tcPr>
          <w:p>
            <w:pPr>
              <w:spacing w:after="0" w:line="240" w:lineRule="auto"/>
              <w:jc w:val="center"/>
            </w:pPr>
            <w:r>
              <w:rPr>
                <w:rFonts w:ascii="宋体" w:hAnsi="宋体"/>
                <w:color w:val="000000"/>
                <w:kern w:val="0"/>
                <w:sz w:val="25"/>
                <w:szCs w:val="24"/>
              </w:rPr>
              <w:t>中国证监会规定媒体及公司网站</w:t>
            </w:r>
          </w:p>
        </w:tc>
        <w:tc>
          <w:tcPr>
            <w:tcW w:w="7" w:type="dxa"/>
            <w:vMerge w:val="restart"/>
            <w:tcBorders>
              <w:top w:val="single" w:sz="4" w:space="0" w:color="auto"/>
              <w:left w:val="single" w:sz="4" w:space="0" w:color="auto"/>
              <w:bottom w:val="single" w:sz="4" w:space="0" w:color="auto"/>
              <w:right w:val="single" w:sz="4" w:space="0" w:color="auto"/>
            </w:tcBorders>
            <w:vAlign w:val="center"/>
          </w:tcPr>
          <w:p>
            <w:pPr>
              <w:spacing w:after="0" w:line="240" w:lineRule="auto"/>
              <w:jc w:val="center"/>
            </w:pPr>
            <w:r>
              <w:rPr>
                <w:rFonts w:ascii="宋体" w:hAnsi="宋体"/>
                <w:color w:val="000000"/>
                <w:kern w:val="0"/>
                <w:sz w:val="25"/>
                <w:szCs w:val="24"/>
              </w:rPr>
              <w:t>2026-04-21</w:t>
            </w:r>
          </w:p>
        </w:tc>
      </w:tr>
      <w:tr>
        <w:tblPrEx>
          <w:tblW w:w="5000" w:type="pct"/>
          <w:tblInd w:w="0" w:type="dxa"/>
          <w:tblLayout w:type="fixed"/>
          <w:tblCellMar>
            <w:top w:w="0" w:type="dxa"/>
            <w:left w:w="0" w:type="dxa"/>
            <w:bottom w:w="0" w:type="dxa"/>
            <w:right w:w="0" w:type="dxa"/>
          </w:tblCellMar>
          <w:tblLook w:val="0000"/>
        </w:tblPrEx>
        <w:trPr>
          <w:cantSplit/>
          <w:trHeight w:val="375"/>
        </w:trPr>
        <w:tc>
          <w:tcPr>
            <w:tcW w:w="7" w:type="dxa"/>
            <w:tcBorders>
              <w:top w:val="single" w:sz="4" w:space="0" w:color="auto"/>
              <w:left w:val="single" w:sz="4" w:space="0" w:color="auto"/>
              <w:bottom w:val="single" w:sz="4" w:space="0" w:color="auto"/>
              <w:right w:val="single" w:sz="4" w:space="0" w:color="auto"/>
            </w:tcBorders>
            <w:vAlign w:val="center"/>
          </w:tcPr>
          <w:p>
            <w:pPr>
              <w:widowControl/>
              <w:snapToGrid w:val="0"/>
              <w:spacing w:after="0" w:line="240" w:lineRule="auto"/>
              <w:jc w:val="center"/>
              <w:rPr>
                <w:rFonts w:ascii="宋体" w:hAnsi="宋体"/>
                <w:color w:val="000000"/>
                <w:kern w:val="0"/>
                <w:sz w:val="24"/>
                <w:szCs w:val="24"/>
              </w:rPr>
            </w:pPr>
            <w:r>
              <w:rPr>
                <w:rFonts w:ascii="宋体" w:hAnsi="宋体"/>
                <w:color w:val="000000"/>
                <w:kern w:val="0"/>
                <w:sz w:val="24"/>
                <w:szCs w:val="24"/>
              </w:rPr>
              <w:t>10</w:t>
            </w:r>
          </w:p>
        </w:tc>
        <w:tc>
          <w:tcPr>
            <w:tcW w:w="7" w:type="dxa"/>
            <w:vMerge w:val="restart"/>
            <w:tcBorders>
              <w:top w:val="single" w:sz="4" w:space="0" w:color="auto"/>
              <w:left w:val="single" w:sz="4" w:space="0" w:color="auto"/>
              <w:bottom w:val="single" w:sz="4" w:space="0" w:color="auto"/>
              <w:right w:val="single" w:sz="4" w:space="0" w:color="auto"/>
            </w:tcBorders>
            <w:vAlign w:val="center"/>
          </w:tcPr>
          <w:p>
            <w:pPr>
              <w:spacing w:after="0" w:line="240" w:lineRule="auto"/>
              <w:jc w:val="center"/>
            </w:pPr>
            <w:r>
              <w:rPr>
                <w:rFonts w:ascii="宋体" w:hAnsi="宋体"/>
                <w:color w:val="000000"/>
                <w:kern w:val="0"/>
                <w:sz w:val="25"/>
                <w:szCs w:val="24"/>
              </w:rPr>
              <w:t>交银施罗德基金管理有限公司关于终止中证金牛（北京）基金销售有限公司办理相关销售业务的公告</w:t>
            </w:r>
          </w:p>
        </w:tc>
        <w:tc>
          <w:tcPr>
            <w:tcW w:w="7" w:type="dxa"/>
            <w:vMerge w:val="restart"/>
            <w:tcBorders>
              <w:top w:val="single" w:sz="4" w:space="0" w:color="auto"/>
              <w:left w:val="single" w:sz="4" w:space="0" w:color="auto"/>
              <w:bottom w:val="single" w:sz="4" w:space="0" w:color="auto"/>
              <w:right w:val="single" w:sz="4" w:space="0" w:color="auto"/>
            </w:tcBorders>
            <w:vAlign w:val="center"/>
          </w:tcPr>
          <w:p>
            <w:pPr>
              <w:spacing w:after="0" w:line="240" w:lineRule="auto"/>
              <w:jc w:val="center"/>
            </w:pPr>
            <w:r>
              <w:rPr>
                <w:rFonts w:ascii="宋体" w:hAnsi="宋体"/>
                <w:color w:val="000000"/>
                <w:kern w:val="0"/>
                <w:sz w:val="25"/>
                <w:szCs w:val="24"/>
              </w:rPr>
              <w:t>中国证监会规定媒体及公司网站</w:t>
            </w:r>
          </w:p>
        </w:tc>
        <w:tc>
          <w:tcPr>
            <w:tcW w:w="7" w:type="dxa"/>
            <w:vMerge w:val="restart"/>
            <w:tcBorders>
              <w:top w:val="single" w:sz="4" w:space="0" w:color="auto"/>
              <w:left w:val="single" w:sz="4" w:space="0" w:color="auto"/>
              <w:bottom w:val="single" w:sz="4" w:space="0" w:color="auto"/>
              <w:right w:val="single" w:sz="4" w:space="0" w:color="auto"/>
            </w:tcBorders>
            <w:vAlign w:val="center"/>
          </w:tcPr>
          <w:p>
            <w:pPr>
              <w:spacing w:after="0" w:line="240" w:lineRule="auto"/>
              <w:jc w:val="center"/>
            </w:pPr>
            <w:r>
              <w:rPr>
                <w:rFonts w:ascii="宋体" w:hAnsi="宋体"/>
                <w:color w:val="000000"/>
                <w:kern w:val="0"/>
                <w:sz w:val="25"/>
                <w:szCs w:val="24"/>
              </w:rPr>
              <w:t>2026-06-06</w:t>
            </w:r>
          </w:p>
        </w:tc>
      </w:tr>
      <w:tr>
        <w:tblPrEx>
          <w:tblW w:w="5000" w:type="pct"/>
          <w:tblInd w:w="0" w:type="dxa"/>
          <w:tblLayout w:type="fixed"/>
          <w:tblCellMar>
            <w:top w:w="0" w:type="dxa"/>
            <w:left w:w="0" w:type="dxa"/>
            <w:bottom w:w="0" w:type="dxa"/>
            <w:right w:w="0" w:type="dxa"/>
          </w:tblCellMar>
          <w:tblLook w:val="0000"/>
        </w:tblPrEx>
        <w:trPr>
          <w:cantSplit/>
          <w:trHeight w:val="375"/>
        </w:trPr>
        <w:tc>
          <w:tcPr>
            <w:tcW w:w="7" w:type="dxa"/>
            <w:tcBorders>
              <w:top w:val="single" w:sz="4" w:space="0" w:color="auto"/>
              <w:left w:val="single" w:sz="4" w:space="0" w:color="auto"/>
              <w:bottom w:val="single" w:sz="4" w:space="0" w:color="auto"/>
              <w:right w:val="single" w:sz="4" w:space="0" w:color="auto"/>
            </w:tcBorders>
            <w:vAlign w:val="center"/>
          </w:tcPr>
          <w:p>
            <w:pPr>
              <w:widowControl/>
              <w:snapToGrid w:val="0"/>
              <w:spacing w:after="0" w:line="240" w:lineRule="auto"/>
              <w:jc w:val="center"/>
              <w:rPr>
                <w:rFonts w:ascii="宋体" w:hAnsi="宋体"/>
                <w:color w:val="000000"/>
                <w:kern w:val="0"/>
                <w:sz w:val="24"/>
                <w:szCs w:val="24"/>
              </w:rPr>
            </w:pPr>
            <w:r>
              <w:rPr>
                <w:rFonts w:ascii="宋体" w:hAnsi="宋体"/>
                <w:color w:val="000000"/>
                <w:kern w:val="0"/>
                <w:sz w:val="24"/>
                <w:szCs w:val="24"/>
              </w:rPr>
              <w:t>11</w:t>
            </w:r>
          </w:p>
        </w:tc>
        <w:tc>
          <w:tcPr>
            <w:tcW w:w="7" w:type="dxa"/>
            <w:tcBorders>
              <w:top w:val="single" w:sz="4" w:space="0" w:color="auto"/>
              <w:left w:val="single" w:sz="4" w:space="0" w:color="auto"/>
              <w:bottom w:val="single" w:sz="4" w:space="0" w:color="auto"/>
              <w:right w:val="single" w:sz="4" w:space="0" w:color="auto"/>
            </w:tcBorders>
            <w:vAlign w:val="center"/>
          </w:tcPr>
          <w:p>
            <w:pPr>
              <w:spacing w:after="0" w:line="240" w:lineRule="auto"/>
              <w:jc w:val="center"/>
            </w:pPr>
            <w:r>
              <w:rPr>
                <w:rFonts w:ascii="宋体" w:hAnsi="宋体"/>
                <w:color w:val="000000"/>
                <w:kern w:val="0"/>
                <w:sz w:val="25"/>
                <w:szCs w:val="24"/>
              </w:rPr>
              <w:t>交银施罗德基金管理有限公司关于高级管理人员变更的公告</w:t>
            </w:r>
          </w:p>
        </w:tc>
        <w:tc>
          <w:tcPr>
            <w:tcW w:w="7" w:type="dxa"/>
            <w:tcBorders>
              <w:top w:val="single" w:sz="4" w:space="0" w:color="auto"/>
              <w:left w:val="single" w:sz="4" w:space="0" w:color="auto"/>
              <w:bottom w:val="single" w:sz="4" w:space="0" w:color="auto"/>
              <w:right w:val="single" w:sz="4" w:space="0" w:color="auto"/>
            </w:tcBorders>
            <w:vAlign w:val="center"/>
          </w:tcPr>
          <w:p>
            <w:pPr>
              <w:spacing w:after="0" w:line="240" w:lineRule="auto"/>
              <w:jc w:val="center"/>
            </w:pPr>
            <w:r>
              <w:rPr>
                <w:rFonts w:ascii="宋体" w:hAnsi="宋体"/>
                <w:color w:val="000000"/>
                <w:kern w:val="0"/>
                <w:sz w:val="25"/>
                <w:szCs w:val="24"/>
              </w:rPr>
              <w:t>中国证监会规定媒体及公司网站</w:t>
            </w:r>
          </w:p>
        </w:tc>
        <w:tc>
          <w:tcPr>
            <w:tcW w:w="7" w:type="dxa"/>
            <w:tcBorders>
              <w:top w:val="single" w:sz="4" w:space="0" w:color="auto"/>
              <w:left w:val="single" w:sz="4" w:space="0" w:color="auto"/>
              <w:bottom w:val="single" w:sz="4" w:space="0" w:color="auto"/>
              <w:right w:val="single" w:sz="4" w:space="0" w:color="auto"/>
            </w:tcBorders>
            <w:vAlign w:val="center"/>
          </w:tcPr>
          <w:p>
            <w:pPr>
              <w:spacing w:after="0" w:line="240" w:lineRule="auto"/>
              <w:jc w:val="center"/>
            </w:pPr>
            <w:r>
              <w:rPr>
                <w:rFonts w:ascii="宋体" w:hAnsi="宋体"/>
                <w:color w:val="000000"/>
                <w:kern w:val="0"/>
                <w:sz w:val="25"/>
                <w:szCs w:val="24"/>
              </w:rPr>
              <w:t>2026-06-13</w:t>
            </w:r>
          </w:p>
        </w:tc>
      </w:tr>
      <w:tr>
        <w:tblPrEx>
          <w:tblW w:w="5000" w:type="pct"/>
          <w:tblInd w:w="0" w:type="dxa"/>
          <w:tblLayout w:type="fixed"/>
          <w:tblCellMar>
            <w:top w:w="0" w:type="dxa"/>
            <w:left w:w="0" w:type="dxa"/>
            <w:bottom w:w="0" w:type="dxa"/>
            <w:right w:w="0" w:type="dxa"/>
          </w:tblCellMar>
          <w:tblLook w:val="0000"/>
        </w:tblPrEx>
        <w:trPr>
          <w:cantSplit/>
          <w:trHeight w:val="375"/>
        </w:trPr>
        <w:tc>
          <w:tcPr>
            <w:tcW w:w="7" w:type="dxa"/>
            <w:tcBorders>
              <w:top w:val="single" w:sz="4" w:space="0" w:color="auto"/>
              <w:left w:val="single" w:sz="4" w:space="0" w:color="auto"/>
              <w:bottom w:val="single" w:sz="4" w:space="0" w:color="auto"/>
              <w:right w:val="single" w:sz="4" w:space="0" w:color="auto"/>
            </w:tcBorders>
            <w:vAlign w:val="center"/>
          </w:tcPr>
          <w:p>
            <w:pPr>
              <w:widowControl/>
              <w:snapToGrid w:val="0"/>
              <w:spacing w:after="0" w:line="240" w:lineRule="auto"/>
              <w:jc w:val="center"/>
              <w:rPr>
                <w:rFonts w:ascii="宋体" w:hAnsi="宋体"/>
                <w:color w:val="000000"/>
                <w:kern w:val="0"/>
                <w:sz w:val="24"/>
                <w:szCs w:val="24"/>
              </w:rPr>
            </w:pPr>
            <w:r>
              <w:rPr>
                <w:rFonts w:ascii="宋体" w:hAnsi="宋体"/>
                <w:color w:val="000000"/>
                <w:kern w:val="0"/>
                <w:sz w:val="24"/>
                <w:szCs w:val="24"/>
              </w:rPr>
              <w:t>12</w:t>
            </w:r>
          </w:p>
        </w:tc>
        <w:tc>
          <w:tcPr>
            <w:tcW w:w="7" w:type="dxa"/>
            <w:tcBorders>
              <w:top w:val="single" w:sz="4" w:space="0" w:color="auto"/>
              <w:left w:val="single" w:sz="4" w:space="0" w:color="auto"/>
              <w:bottom w:val="single" w:sz="4" w:space="0" w:color="auto"/>
              <w:right w:val="single" w:sz="4" w:space="0" w:color="auto"/>
            </w:tcBorders>
            <w:vAlign w:val="center"/>
          </w:tcPr>
          <w:p>
            <w:pPr>
              <w:spacing w:after="0" w:line="240" w:lineRule="auto"/>
              <w:jc w:val="center"/>
            </w:pPr>
            <w:r>
              <w:rPr>
                <w:rFonts w:ascii="宋体" w:hAnsi="宋体"/>
                <w:color w:val="000000"/>
                <w:kern w:val="0"/>
                <w:sz w:val="25"/>
                <w:szCs w:val="24"/>
              </w:rPr>
              <w:t>交银施罗德启衡混合型证券投资基金2026年第2季度报告</w:t>
            </w:r>
          </w:p>
        </w:tc>
        <w:tc>
          <w:tcPr>
            <w:tcW w:w="7" w:type="dxa"/>
            <w:tcBorders>
              <w:top w:val="single" w:sz="4" w:space="0" w:color="auto"/>
              <w:left w:val="single" w:sz="4" w:space="0" w:color="auto"/>
              <w:bottom w:val="single" w:sz="4" w:space="0" w:color="auto"/>
              <w:right w:val="single" w:sz="4" w:space="0" w:color="auto"/>
            </w:tcBorders>
            <w:vAlign w:val="center"/>
          </w:tcPr>
          <w:p>
            <w:pPr>
              <w:spacing w:after="0" w:line="240" w:lineRule="auto"/>
              <w:jc w:val="center"/>
            </w:pPr>
            <w:r>
              <w:rPr>
                <w:rFonts w:ascii="宋体" w:hAnsi="宋体"/>
                <w:color w:val="000000"/>
                <w:kern w:val="0"/>
                <w:sz w:val="25"/>
                <w:szCs w:val="24"/>
              </w:rPr>
              <w:t>中国证监会规定媒体及公司网站</w:t>
            </w:r>
          </w:p>
        </w:tc>
        <w:tc>
          <w:tcPr>
            <w:tcW w:w="7" w:type="dxa"/>
            <w:tcBorders>
              <w:top w:val="single" w:sz="4" w:space="0" w:color="auto"/>
              <w:left w:val="single" w:sz="4" w:space="0" w:color="auto"/>
              <w:bottom w:val="single" w:sz="4" w:space="0" w:color="auto"/>
              <w:right w:val="single" w:sz="4" w:space="0" w:color="auto"/>
            </w:tcBorders>
            <w:vAlign w:val="center"/>
          </w:tcPr>
          <w:p>
            <w:pPr>
              <w:spacing w:after="0" w:line="240" w:lineRule="auto"/>
              <w:jc w:val="center"/>
            </w:pPr>
            <w:r>
              <w:rPr>
                <w:rFonts w:ascii="宋体" w:hAnsi="宋体"/>
                <w:color w:val="000000"/>
                <w:kern w:val="0"/>
                <w:sz w:val="25"/>
                <w:szCs w:val="24"/>
              </w:rPr>
              <w:t>2026-07-20</w:t>
            </w:r>
          </w:p>
        </w:tc>
      </w:tr>
      <w:tr>
        <w:tblPrEx>
          <w:tblW w:w="5000" w:type="pct"/>
          <w:tblInd w:w="0" w:type="dxa"/>
          <w:tblLayout w:type="fixed"/>
          <w:tblCellMar>
            <w:top w:w="0" w:type="dxa"/>
            <w:left w:w="0" w:type="dxa"/>
            <w:bottom w:w="0" w:type="dxa"/>
            <w:right w:w="0" w:type="dxa"/>
          </w:tblCellMar>
          <w:tblLook w:val="0000"/>
        </w:tblPrEx>
        <w:trPr>
          <w:cantSplit/>
          <w:trHeight w:val="375"/>
        </w:trPr>
        <w:tc>
          <w:tcPr>
            <w:tcW w:w="7" w:type="dxa"/>
            <w:tcBorders>
              <w:top w:val="single" w:sz="4" w:space="0" w:color="auto"/>
              <w:left w:val="single" w:sz="4" w:space="0" w:color="auto"/>
              <w:bottom w:val="single" w:sz="4" w:space="0" w:color="auto"/>
              <w:right w:val="single" w:sz="4" w:space="0" w:color="auto"/>
            </w:tcBorders>
            <w:vAlign w:val="center"/>
          </w:tcPr>
          <w:p>
            <w:pPr>
              <w:widowControl/>
              <w:snapToGrid w:val="0"/>
              <w:spacing w:after="0" w:line="240" w:lineRule="auto"/>
              <w:jc w:val="center"/>
              <w:rPr>
                <w:rFonts w:ascii="宋体" w:hAnsi="宋体"/>
                <w:color w:val="000000"/>
                <w:kern w:val="0"/>
                <w:sz w:val="24"/>
                <w:szCs w:val="24"/>
              </w:rPr>
            </w:pPr>
            <w:r>
              <w:rPr>
                <w:rFonts w:ascii="宋体" w:hAnsi="宋体"/>
                <w:color w:val="000000"/>
                <w:kern w:val="0"/>
                <w:sz w:val="24"/>
                <w:szCs w:val="24"/>
              </w:rPr>
              <w:t>13</w:t>
            </w:r>
          </w:p>
        </w:tc>
        <w:tc>
          <w:tcPr>
            <w:tcW w:w="7" w:type="dxa"/>
            <w:tcBorders>
              <w:top w:val="single" w:sz="4" w:space="0" w:color="auto"/>
              <w:left w:val="single" w:sz="4" w:space="0" w:color="auto"/>
              <w:bottom w:val="single" w:sz="4" w:space="0" w:color="auto"/>
              <w:right w:val="single" w:sz="4" w:space="0" w:color="auto"/>
            </w:tcBorders>
            <w:vAlign w:val="center"/>
          </w:tcPr>
          <w:p>
            <w:pPr>
              <w:spacing w:after="0" w:line="240" w:lineRule="auto"/>
              <w:jc w:val="center"/>
            </w:pPr>
            <w:r>
              <w:rPr>
                <w:rFonts w:ascii="宋体" w:hAnsi="宋体"/>
                <w:color w:val="000000"/>
                <w:kern w:val="0"/>
                <w:sz w:val="25"/>
                <w:szCs w:val="24"/>
              </w:rPr>
              <w:t>交银施罗德启衡混合型证券投资基金基金合同</w:t>
            </w:r>
          </w:p>
        </w:tc>
        <w:tc>
          <w:tcPr>
            <w:tcW w:w="7" w:type="dxa"/>
            <w:tcBorders>
              <w:top w:val="single" w:sz="4" w:space="0" w:color="auto"/>
              <w:left w:val="single" w:sz="4" w:space="0" w:color="auto"/>
              <w:bottom w:val="single" w:sz="4" w:space="0" w:color="auto"/>
              <w:right w:val="single" w:sz="4" w:space="0" w:color="auto"/>
            </w:tcBorders>
            <w:vAlign w:val="center"/>
          </w:tcPr>
          <w:p>
            <w:pPr>
              <w:spacing w:after="0" w:line="240" w:lineRule="auto"/>
              <w:jc w:val="center"/>
            </w:pPr>
            <w:r>
              <w:rPr>
                <w:rFonts w:ascii="宋体" w:hAnsi="宋体"/>
                <w:color w:val="000000"/>
                <w:kern w:val="0"/>
                <w:sz w:val="25"/>
                <w:szCs w:val="24"/>
              </w:rPr>
              <w:t>中国证监会规定媒体及公司网站</w:t>
            </w:r>
          </w:p>
        </w:tc>
        <w:tc>
          <w:tcPr>
            <w:tcW w:w="7" w:type="dxa"/>
            <w:tcBorders>
              <w:top w:val="single" w:sz="4" w:space="0" w:color="auto"/>
              <w:left w:val="single" w:sz="4" w:space="0" w:color="auto"/>
              <w:bottom w:val="single" w:sz="4" w:space="0" w:color="auto"/>
              <w:right w:val="single" w:sz="4" w:space="0" w:color="auto"/>
            </w:tcBorders>
            <w:vAlign w:val="center"/>
          </w:tcPr>
          <w:p>
            <w:pPr>
              <w:spacing w:after="0" w:line="240" w:lineRule="auto"/>
              <w:jc w:val="center"/>
            </w:pPr>
            <w:r>
              <w:rPr>
                <w:rFonts w:ascii="宋体" w:hAnsi="宋体"/>
                <w:color w:val="000000"/>
                <w:kern w:val="0"/>
                <w:sz w:val="25"/>
                <w:szCs w:val="24"/>
              </w:rPr>
              <w:t>2026-08-21</w:t>
            </w:r>
          </w:p>
        </w:tc>
      </w:tr>
      <w:tr>
        <w:tblPrEx>
          <w:tblW w:w="5000" w:type="pct"/>
          <w:tblInd w:w="0" w:type="dxa"/>
          <w:tblLayout w:type="fixed"/>
          <w:tblCellMar>
            <w:top w:w="0" w:type="dxa"/>
            <w:left w:w="0" w:type="dxa"/>
            <w:bottom w:w="0" w:type="dxa"/>
            <w:right w:w="0" w:type="dxa"/>
          </w:tblCellMar>
          <w:tblLook w:val="0000"/>
        </w:tblPrEx>
        <w:trPr>
          <w:cantSplit/>
          <w:trHeight w:val="375"/>
        </w:trPr>
        <w:tc>
          <w:tcPr>
            <w:tcW w:w="7" w:type="dxa"/>
            <w:tcBorders>
              <w:top w:val="single" w:sz="4" w:space="0" w:color="auto"/>
              <w:left w:val="single" w:sz="4" w:space="0" w:color="auto"/>
              <w:bottom w:val="single" w:sz="4" w:space="0" w:color="auto"/>
              <w:right w:val="single" w:sz="4" w:space="0" w:color="auto"/>
            </w:tcBorders>
            <w:vAlign w:val="center"/>
          </w:tcPr>
          <w:p>
            <w:pPr>
              <w:widowControl/>
              <w:snapToGrid w:val="0"/>
              <w:spacing w:after="0" w:line="240" w:lineRule="auto"/>
              <w:jc w:val="center"/>
              <w:rPr>
                <w:rFonts w:ascii="宋体" w:hAnsi="宋体"/>
                <w:color w:val="000000"/>
                <w:kern w:val="0"/>
                <w:sz w:val="24"/>
                <w:szCs w:val="24"/>
              </w:rPr>
            </w:pPr>
            <w:r>
              <w:rPr>
                <w:rFonts w:ascii="宋体" w:hAnsi="宋体"/>
                <w:color w:val="000000"/>
                <w:kern w:val="0"/>
                <w:sz w:val="24"/>
                <w:szCs w:val="24"/>
              </w:rPr>
              <w:t>14</w:t>
            </w:r>
          </w:p>
        </w:tc>
        <w:tc>
          <w:tcPr>
            <w:tcW w:w="7" w:type="dxa"/>
            <w:tcBorders>
              <w:top w:val="single" w:sz="4" w:space="0" w:color="auto"/>
              <w:left w:val="single" w:sz="4" w:space="0" w:color="auto"/>
              <w:bottom w:val="single" w:sz="4" w:space="0" w:color="auto"/>
              <w:right w:val="single" w:sz="4" w:space="0" w:color="auto"/>
            </w:tcBorders>
            <w:vAlign w:val="center"/>
          </w:tcPr>
          <w:p>
            <w:pPr>
              <w:spacing w:after="0" w:line="240" w:lineRule="auto"/>
              <w:jc w:val="center"/>
            </w:pPr>
            <w:r>
              <w:rPr>
                <w:rFonts w:ascii="宋体" w:hAnsi="宋体"/>
                <w:color w:val="000000"/>
                <w:kern w:val="0"/>
                <w:sz w:val="25"/>
                <w:szCs w:val="24"/>
              </w:rPr>
              <w:t>交银施罗德基金管理有限公司关于旗下部分基金调整业绩比较基准并修订基金合同等法律文件的公告</w:t>
            </w:r>
          </w:p>
        </w:tc>
        <w:tc>
          <w:tcPr>
            <w:tcW w:w="7" w:type="dxa"/>
            <w:tcBorders>
              <w:top w:val="single" w:sz="4" w:space="0" w:color="auto"/>
              <w:left w:val="single" w:sz="4" w:space="0" w:color="auto"/>
              <w:bottom w:val="single" w:sz="4" w:space="0" w:color="auto"/>
              <w:right w:val="single" w:sz="4" w:space="0" w:color="auto"/>
            </w:tcBorders>
            <w:vAlign w:val="center"/>
          </w:tcPr>
          <w:p>
            <w:pPr>
              <w:spacing w:after="0" w:line="240" w:lineRule="auto"/>
              <w:jc w:val="center"/>
            </w:pPr>
            <w:r>
              <w:rPr>
                <w:rFonts w:ascii="宋体" w:hAnsi="宋体"/>
                <w:color w:val="000000"/>
                <w:kern w:val="0"/>
                <w:sz w:val="25"/>
                <w:szCs w:val="24"/>
              </w:rPr>
              <w:t>中国证监会规定媒体及公司网站</w:t>
            </w:r>
          </w:p>
        </w:tc>
        <w:tc>
          <w:tcPr>
            <w:tcW w:w="7" w:type="dxa"/>
            <w:tcBorders>
              <w:top w:val="single" w:sz="4" w:space="0" w:color="auto"/>
              <w:left w:val="single" w:sz="4" w:space="0" w:color="auto"/>
              <w:bottom w:val="single" w:sz="4" w:space="0" w:color="auto"/>
              <w:right w:val="single" w:sz="4" w:space="0" w:color="auto"/>
            </w:tcBorders>
            <w:vAlign w:val="center"/>
          </w:tcPr>
          <w:p>
            <w:pPr>
              <w:spacing w:after="0" w:line="240" w:lineRule="auto"/>
              <w:jc w:val="center"/>
            </w:pPr>
            <w:r>
              <w:rPr>
                <w:rFonts w:ascii="宋体" w:hAnsi="宋体"/>
                <w:color w:val="000000"/>
                <w:kern w:val="0"/>
                <w:sz w:val="25"/>
                <w:szCs w:val="24"/>
              </w:rPr>
              <w:t>2026-08-21</w:t>
            </w:r>
          </w:p>
        </w:tc>
      </w:tr>
      <w:tr>
        <w:tblPrEx>
          <w:tblW w:w="5000" w:type="pct"/>
          <w:tblInd w:w="0" w:type="dxa"/>
          <w:tblLayout w:type="fixed"/>
          <w:tblCellMar>
            <w:top w:w="0" w:type="dxa"/>
            <w:left w:w="0" w:type="dxa"/>
            <w:bottom w:w="0" w:type="dxa"/>
            <w:right w:w="0" w:type="dxa"/>
          </w:tblCellMar>
          <w:tblLook w:val="0000"/>
        </w:tblPrEx>
        <w:trPr>
          <w:cantSplit/>
          <w:trHeight w:val="375"/>
        </w:trPr>
        <w:tc>
          <w:tcPr>
            <w:tcW w:w="7" w:type="dxa"/>
            <w:tcBorders>
              <w:top w:val="single" w:sz="4" w:space="0" w:color="auto"/>
              <w:left w:val="single" w:sz="4" w:space="0" w:color="auto"/>
              <w:bottom w:val="single" w:sz="4" w:space="0" w:color="auto"/>
              <w:right w:val="single" w:sz="4" w:space="0" w:color="auto"/>
            </w:tcBorders>
            <w:vAlign w:val="center"/>
          </w:tcPr>
          <w:p>
            <w:pPr>
              <w:widowControl/>
              <w:snapToGrid w:val="0"/>
              <w:spacing w:after="0" w:line="240" w:lineRule="auto"/>
              <w:jc w:val="center"/>
              <w:rPr>
                <w:rFonts w:ascii="宋体" w:hAnsi="宋体"/>
                <w:color w:val="000000"/>
                <w:kern w:val="0"/>
                <w:sz w:val="24"/>
                <w:szCs w:val="24"/>
              </w:rPr>
            </w:pPr>
            <w:r>
              <w:rPr>
                <w:rFonts w:ascii="宋体" w:hAnsi="宋体"/>
                <w:color w:val="000000"/>
                <w:kern w:val="0"/>
                <w:sz w:val="24"/>
                <w:szCs w:val="24"/>
              </w:rPr>
              <w:t>15</w:t>
            </w:r>
          </w:p>
        </w:tc>
        <w:tc>
          <w:tcPr>
            <w:tcW w:w="7" w:type="dxa"/>
            <w:tcBorders>
              <w:top w:val="single" w:sz="4" w:space="0" w:color="auto"/>
              <w:left w:val="single" w:sz="4" w:space="0" w:color="auto"/>
              <w:bottom w:val="single" w:sz="4" w:space="0" w:color="auto"/>
              <w:right w:val="single" w:sz="4" w:space="0" w:color="auto"/>
            </w:tcBorders>
            <w:vAlign w:val="center"/>
          </w:tcPr>
          <w:p>
            <w:pPr>
              <w:spacing w:after="0" w:line="240" w:lineRule="auto"/>
              <w:jc w:val="center"/>
            </w:pPr>
            <w:r>
              <w:rPr>
                <w:rFonts w:ascii="宋体" w:hAnsi="宋体"/>
                <w:color w:val="000000"/>
                <w:kern w:val="0"/>
                <w:sz w:val="25"/>
                <w:szCs w:val="24"/>
              </w:rPr>
              <w:t>交银施罗德启衡混合型证券投资基金2026年中期报告</w:t>
            </w:r>
          </w:p>
        </w:tc>
        <w:tc>
          <w:tcPr>
            <w:tcW w:w="7" w:type="dxa"/>
            <w:tcBorders>
              <w:top w:val="single" w:sz="4" w:space="0" w:color="auto"/>
              <w:left w:val="single" w:sz="4" w:space="0" w:color="auto"/>
              <w:bottom w:val="single" w:sz="4" w:space="0" w:color="auto"/>
              <w:right w:val="single" w:sz="4" w:space="0" w:color="auto"/>
            </w:tcBorders>
            <w:vAlign w:val="center"/>
          </w:tcPr>
          <w:p>
            <w:pPr>
              <w:spacing w:after="0" w:line="240" w:lineRule="auto"/>
              <w:jc w:val="center"/>
            </w:pPr>
            <w:r>
              <w:rPr>
                <w:rFonts w:ascii="宋体" w:hAnsi="宋体"/>
                <w:color w:val="000000"/>
                <w:kern w:val="0"/>
                <w:sz w:val="25"/>
                <w:szCs w:val="24"/>
              </w:rPr>
              <w:t>中国证监会规定媒体及公司网站</w:t>
            </w:r>
          </w:p>
        </w:tc>
        <w:tc>
          <w:tcPr>
            <w:tcW w:w="7" w:type="dxa"/>
            <w:tcBorders>
              <w:top w:val="single" w:sz="4" w:space="0" w:color="auto"/>
              <w:left w:val="single" w:sz="4" w:space="0" w:color="auto"/>
              <w:bottom w:val="single" w:sz="4" w:space="0" w:color="auto"/>
              <w:right w:val="single" w:sz="4" w:space="0" w:color="auto"/>
            </w:tcBorders>
            <w:vAlign w:val="center"/>
          </w:tcPr>
          <w:p>
            <w:pPr>
              <w:spacing w:after="0" w:line="240" w:lineRule="auto"/>
              <w:jc w:val="center"/>
            </w:pPr>
            <w:r>
              <w:rPr>
                <w:rFonts w:ascii="宋体" w:hAnsi="宋体"/>
                <w:color w:val="000000"/>
                <w:kern w:val="0"/>
                <w:sz w:val="25"/>
                <w:szCs w:val="24"/>
              </w:rPr>
              <w:t>2026-08-31</w:t>
            </w:r>
          </w:p>
        </w:tc>
      </w:tr>
    </w:tbl>
    <w:p>
      <w:pPr>
        <w:pStyle w:val="Heading1"/>
        <w:snapToGrid w:val="0"/>
        <w:spacing w:before="240" w:beforeLines="0" w:after="0"/>
        <w:rPr>
          <w:rFonts w:ascii="宋体" w:hAnsi="宋体"/>
          <w:szCs w:val="30"/>
        </w:rPr>
      </w:pPr>
      <w:r>
        <w:br w:type="page"/>
      </w:r>
      <w:bookmarkStart w:id="52" w:name="_Toc256000025"/>
      <w:bookmarkStart w:id="53" w:name="_Toc256000052"/>
      <w:r>
        <w:rPr>
          <w:rFonts w:ascii="宋体" w:hAnsi="宋体"/>
          <w:sz w:val="30"/>
        </w:rPr>
        <w:t>二十五、招募说明书的存放及查阅方式</w:t>
      </w:r>
      <w:bookmarkEnd w:id="53"/>
      <w:bookmarkEnd w:id="52"/>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招募说明书存放在基金管理人、基金托管人和基金销售机构的办公场所，投资人可在办公时间查阅；投资人在支付工本费后，可在合理时间内取得上述文件复制件或复印件。对投资人按此种方式所获得的文件及其复印件，基金管理人和基金托管人保证文本的内容与所公告的内容完全一致。</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投资人还可以直接登录基金管理人的网站（www.fund001.com）查阅和下载招募说明书。</w:t>
      </w:r>
    </w:p>
    <w:p>
      <w:pPr>
        <w:pStyle w:val="Heading1"/>
        <w:snapToGrid w:val="0"/>
        <w:spacing w:before="240" w:beforeLines="0" w:after="0"/>
        <w:rPr>
          <w:rFonts w:ascii="宋体" w:hAnsi="宋体"/>
          <w:szCs w:val="30"/>
        </w:rPr>
      </w:pPr>
      <w:r>
        <w:br w:type="page"/>
      </w:r>
      <w:bookmarkStart w:id="54" w:name="_Toc256000026"/>
      <w:bookmarkStart w:id="55" w:name="_Toc256000053"/>
      <w:r>
        <w:rPr>
          <w:rFonts w:ascii="宋体" w:hAnsi="宋体"/>
          <w:sz w:val="30"/>
        </w:rPr>
        <w:t>二十六、备查文件</w:t>
      </w:r>
      <w:bookmarkEnd w:id="55"/>
      <w:bookmarkEnd w:id="54"/>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以下备查文件存放在基金管理人的办公场所，在办公时间可供免费查阅。</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（一）中国证监会准予交银施罗德启衡混合型证券投资基金募集注册的文件</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（二）《交银施罗德启衡混合型证券投资基金基金合同》</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（三）《交银施罗德启衡混合型证券投资基金托管协议》</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（四）基金管理人业务资格批件、营业执照</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（五）基金托管人业务资格批件、营业执照</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（六）关于申请募集注册交银施罗德启衡混合型证券投资基金的法律意见书</w:t>
      </w:r>
    </w:p>
    <w:sectPr>
      <w:footerReference w:type="default" r:id="rId15"/>
      <w:pgSz w:w="11920" w:h="16840"/>
      <w:pgMar w:top="1360" w:right="1580" w:bottom="280" w:left="1680" w:header="0" w:footer="1186" w:gutter="0"/>
      <w:cols w:num="1"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mbria">
    <w:panose1 w:val="02040503050406030204"/>
    <w:charset w:val="00"/>
    <w:family w:val="roman"/>
    <w:pitch w:val="default"/>
    <w:sig w:usb0="A00002EF" w:usb1="4000004B" w:usb2="00000000" w:usb3="00000000" w:csb0="2000009F" w:csb1="00000000"/>
  </w:font>
  <w:font w:name="Calibri">
    <w:panose1 w:val="020F0502020204030204"/>
    <w:charset w:val="00"/>
    <w:family w:val="swiss"/>
    <w:pitch w:val="default"/>
    <w:sig w:usb0="E0002AFF" w:usb1="C000247B" w:usb2="00000009" w:usb3="00000000" w:csb0="200001FF" w:csb1="00000000"/>
  </w:font>
  <w:font w:name="微软雅黑">
    <w:panose1 w:val="020B0503020204020204"/>
    <w:charset w:val="86"/>
    <w:family w:val="auto"/>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 w:name="Calibri Light">
    <w:panose1 w:val="020F0302020204030204"/>
    <w:charset w:val="00"/>
    <w:family w:val="auto"/>
    <w:pitch w:val="default"/>
    <w:sig w:usb0="E0002AFF" w:usb1="C000247B" w:usb2="00000009" w:usb3="00000000" w:csb0="200001FF" w:csb1="00000000"/>
  </w:font>
  <w:font w:name="ˎ̥">
    <w:altName w:val="Times New Roman"/>
    <w:panose1 w:val="00000000000000000000"/>
    <w:charset w:val="00"/>
    <w:family w:val="roman"/>
    <w:pitch w:val="default"/>
    <w:sig w:usb0="00000000" w:usb1="00000000" w:usb2="00000000"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autoSpaceDE w:val="0"/>
      <w:autoSpaceDN w:val="0"/>
      <w:adjustRightInd w:val="0"/>
      <w:spacing w:line="200" w:lineRule="exact"/>
      <w:jc w:val="left"/>
      <w:rPr>
        <w:rFonts w:ascii="Times New Roman" w:hAnsi="Times New Roman"/>
        <w:kern w:val="0"/>
        <w:sz w:val="20"/>
        <w:szCs w:val="20"/>
      </w:rPr>
    </w:pPr>
    <w:r>
      <w:pict>
        <v:shapetype id="_x0000_t202" coordsize="21600,21600" o:spt="202" path="m,l,21600r21600,l21600,xe">
          <v:stroke joinstyle="miter"/>
          <v:path gradientshapeok="t" o:connecttype="rect"/>
        </v:shapetype>
        <v:shape id="_x0000_s2049" o:spid="_x0000_s2049" type="#_x0000_t202" style="height:11pt;margin-left:293.4pt;margin-top:782.6pt;mso-height-relative:page;mso-position-horizontal-relative:page;mso-position-vertical-relative:page;mso-width-relative:page;position:absolute;width:21.6pt;z-index:-251658240" coordsize="21600,21600" o:allowincell="f" filled="f" stroked="f">
          <v:textbox inset="0,0,0,0">
            <w:txbxContent>
              <w:p>
                <w:pPr>
                  <w:autoSpaceDE w:val="0"/>
                  <w:autoSpaceDN w:val="0"/>
                  <w:adjustRightInd w:val="0"/>
                  <w:spacing w:line="204" w:lineRule="exact"/>
                  <w:ind w:left="40"/>
                  <w:jc w:val="left"/>
                  <w:rPr>
                    <w:rFonts w:ascii="Times New Roman" w:hAnsi="Times New Roman"/>
                    <w:kern w:val="0"/>
                    <w:sz w:val="18"/>
                    <w:szCs w:val="18"/>
                  </w:rPr>
                </w:pPr>
                <w:r>
                  <w:rPr>
                    <w:rFonts w:ascii="Times New Roman" w:hAnsi="Times New Roman"/>
                    <w:kern w:val="0"/>
                    <w:sz w:val="18"/>
                    <w:szCs w:val="18"/>
                  </w:rPr>
                  <w:fldChar w:fldCharType="begin"/>
                </w:r>
                <w:r>
                  <w:rPr>
                    <w:rFonts w:ascii="Times New Roman" w:hAnsi="Times New Roman"/>
                    <w:kern w:val="0"/>
                    <w:sz w:val="18"/>
                    <w:szCs w:val="18"/>
                  </w:rPr>
                  <w:instrText xml:space="preserve"> PAGE </w:instrText>
                </w:r>
                <w:r>
                  <w:rPr>
                    <w:rFonts w:ascii="Times New Roman" w:hAnsi="Times New Roman"/>
                    <w:kern w:val="0"/>
                    <w:sz w:val="18"/>
                    <w:szCs w:val="18"/>
                  </w:rPr>
                  <w:fldChar w:fldCharType="separate"/>
                </w:r>
                <w:r>
                  <w:rPr>
                    <w:rFonts w:ascii="Times New Roman" w:hAnsi="Times New Roman"/>
                    <w:kern w:val="0"/>
                    <w:sz w:val="18"/>
                    <w:szCs w:val="18"/>
                  </w:rPr>
                  <w:t>3</w:t>
                </w:r>
                <w:r>
                  <w:rPr>
                    <w:rFonts w:ascii="Times New Roman" w:hAnsi="Times New Roman"/>
                    <w:kern w:val="0"/>
                    <w:sz w:val="18"/>
                    <w:szCs w:val="18"/>
                  </w:rPr>
                  <w:fldChar w:fldCharType="end"/>
                </w:r>
              </w:p>
            </w:txbxContent>
          </v:textbox>
        </v:shape>
      </w:pic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autoSpaceDE w:val="0"/>
      <w:autoSpaceDN w:val="0"/>
      <w:adjustRightInd w:val="0"/>
      <w:spacing w:line="200" w:lineRule="exact"/>
      <w:jc w:val="left"/>
      <w:rPr>
        <w:rFonts w:ascii="Times New Roman" w:hAnsi="Times New Roman"/>
        <w:kern w:val="0"/>
        <w:sz w:val="20"/>
        <w:szCs w:val="20"/>
      </w:rPr>
    </w:pPr>
    <w:r>
      <w:pict>
        <v:shapetype id="_x0000_t202" coordsize="21600,21600" o:spt="202" path="m,l,21600r21600,l21600,xe">
          <v:stroke joinstyle="miter"/>
          <v:path gradientshapeok="t" o:connecttype="rect"/>
        </v:shapetype>
        <v:shape id="_x0000_s2068" o:spid="_x0000_s2050" type="#_x0000_t202" style="height:11pt;margin-left:291.25pt;margin-top:773.85pt;mso-height-relative:page;mso-position-horizontal-relative:page;mso-position-vertical-relative:page;mso-width-relative:page;position:absolute;width:33.5pt;z-index:-251657216" coordsize="21600,21600" o:allowincell="f" filled="f" stroked="f">
          <v:textbox inset="0,0,0,0">
            <w:txbxContent>
              <w:p>
                <w:pPr>
                  <w:autoSpaceDE w:val="0"/>
                  <w:autoSpaceDN w:val="0"/>
                  <w:adjustRightInd w:val="0"/>
                  <w:spacing w:line="204" w:lineRule="exact"/>
                  <w:ind w:left="40"/>
                  <w:jc w:val="left"/>
                  <w:rPr>
                    <w:rFonts w:ascii="Times New Roman" w:hAnsi="Times New Roman"/>
                    <w:kern w:val="0"/>
                    <w:sz w:val="18"/>
                    <w:szCs w:val="18"/>
                  </w:rPr>
                </w:pPr>
                <w:r>
                  <w:rPr>
                    <w:rFonts w:ascii="Times New Roman" w:hAnsi="Times New Roman"/>
                    <w:kern w:val="0"/>
                    <w:sz w:val="18"/>
                    <w:szCs w:val="18"/>
                  </w:rPr>
                  <w:fldChar w:fldCharType="begin"/>
                </w:r>
                <w:r>
                  <w:rPr>
                    <w:rFonts w:ascii="Times New Roman" w:hAnsi="Times New Roman"/>
                    <w:kern w:val="0"/>
                    <w:sz w:val="18"/>
                    <w:szCs w:val="18"/>
                  </w:rPr>
                  <w:instrText xml:space="preserve"> PAGE </w:instrText>
                </w:r>
                <w:r>
                  <w:rPr>
                    <w:rFonts w:ascii="Times New Roman" w:hAnsi="Times New Roman"/>
                    <w:kern w:val="0"/>
                    <w:sz w:val="18"/>
                    <w:szCs w:val="18"/>
                  </w:rPr>
                  <w:fldChar w:fldCharType="separate"/>
                </w:r>
                <w:r>
                  <w:rPr>
                    <w:rFonts w:ascii="Times New Roman" w:hAnsi="Times New Roman"/>
                    <w:kern w:val="0"/>
                    <w:sz w:val="18"/>
                    <w:szCs w:val="18"/>
                  </w:rPr>
                  <w:t>4</w:t>
                </w:r>
                <w:r>
                  <w:rPr>
                    <w:rFonts w:ascii="Times New Roman" w:hAnsi="Times New Roman"/>
                    <w:kern w:val="0"/>
                    <w:sz w:val="18"/>
                    <w:szCs w:val="18"/>
                  </w:rPr>
                  <w:fldChar w:fldCharType="end"/>
                </w:r>
              </w:p>
            </w:txbxContent>
          </v:textbox>
        </v:shape>
      </w:pic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autoSpaceDE w:val="0"/>
      <w:autoSpaceDN w:val="0"/>
      <w:adjustRightInd w:val="0"/>
      <w:spacing w:line="200" w:lineRule="exact"/>
      <w:jc w:val="left"/>
      <w:rPr>
        <w:rFonts w:ascii="Times New Roman" w:hAnsi="Times New Roman"/>
        <w:kern w:val="0"/>
        <w:sz w:val="20"/>
        <w:szCs w:val="20"/>
      </w:rPr>
    </w:pPr>
    <w:r>
      <w:pict>
        <v:shapetype id="_x0000_t202" coordsize="21600,21600" o:spt="202" path="m,l,21600r21600,l21600,xe">
          <v:stroke joinstyle="miter"/>
          <v:path gradientshapeok="t" o:connecttype="rect"/>
        </v:shapetype>
        <v:shape id="_x0000_s2068" o:spid="_x0000_s2051" type="#_x0000_t202" style="height:11pt;margin-left:291.25pt;margin-top:773.85pt;mso-height-relative:page;mso-position-horizontal-relative:page;mso-position-vertical-relative:page;mso-width-relative:page;position:absolute;width:33.5pt;z-index:-251656192" coordsize="21600,21600" o:allowincell="f" filled="f" stroked="f">
          <v:textbox inset="0,0,0,0">
            <w:txbxContent>
              <w:p>
                <w:pPr>
                  <w:autoSpaceDE w:val="0"/>
                  <w:autoSpaceDN w:val="0"/>
                  <w:adjustRightInd w:val="0"/>
                  <w:spacing w:line="204" w:lineRule="exact"/>
                  <w:ind w:left="40"/>
                  <w:jc w:val="left"/>
                  <w:rPr>
                    <w:rFonts w:ascii="Times New Roman" w:hAnsi="Times New Roman"/>
                    <w:kern w:val="0"/>
                    <w:sz w:val="18"/>
                    <w:szCs w:val="18"/>
                  </w:rPr>
                </w:pPr>
                <w:r>
                  <w:rPr>
                    <w:rFonts w:ascii="Times New Roman" w:hAnsi="Times New Roman"/>
                    <w:kern w:val="0"/>
                    <w:sz w:val="18"/>
                    <w:szCs w:val="18"/>
                  </w:rPr>
                  <w:fldChar w:fldCharType="begin"/>
                </w:r>
                <w:r>
                  <w:rPr>
                    <w:rFonts w:ascii="Times New Roman" w:hAnsi="Times New Roman"/>
                    <w:kern w:val="0"/>
                    <w:sz w:val="18"/>
                    <w:szCs w:val="18"/>
                  </w:rPr>
                  <w:instrText xml:space="preserve"> PAGE </w:instrText>
                </w:r>
                <w:r>
                  <w:rPr>
                    <w:rFonts w:ascii="Times New Roman" w:hAnsi="Times New Roman"/>
                    <w:kern w:val="0"/>
                    <w:sz w:val="18"/>
                    <w:szCs w:val="18"/>
                  </w:rPr>
                  <w:fldChar w:fldCharType="separate"/>
                </w:r>
                <w:r>
                  <w:rPr>
                    <w:rFonts w:ascii="Times New Roman" w:hAnsi="Times New Roman"/>
                    <w:kern w:val="0"/>
                    <w:sz w:val="18"/>
                    <w:szCs w:val="18"/>
                  </w:rPr>
                  <w:t>161</w:t>
                </w:r>
                <w:r>
                  <w:rPr>
                    <w:rFonts w:ascii="Times New Roman" w:hAnsi="Times New Roman"/>
                    <w:kern w:val="0"/>
                    <w:sz w:val="18"/>
                    <w:szCs w:val="18"/>
                  </w:rPr>
                  <w:fldChar w:fldCharType="end"/>
                </w:r>
              </w:p>
            </w:txbxContent>
          </v:textbox>
        </v:shape>
      </w:pic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right"/>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snapToGrid w:val="0"/>
      <w:spacing w:before="0" w:after="0"/>
      <w:ind w:left="0" w:right="0" w:firstLine="0"/>
      <w:jc w:val="right"/>
      <w:rPr>
        <w:rFonts w:ascii="宋体" w:hAnsi="宋体" w:hint="eastAsia"/>
      </w:rPr>
    </w:pPr>
    <w:r>
      <w:rPr>
        <w:rFonts w:ascii="宋体" w:hAnsi="宋体" w:hint="eastAsia"/>
      </w:rPr>
      <w:t>交银施罗德启衡混合型证券投资基金</w:t>
    </w:r>
    <w:r>
      <w:rPr>
        <w:rFonts w:ascii="宋体" w:hAnsi="宋体" w:hint="eastAsia"/>
      </w:rPr>
      <w:t>招募说明书（更新）</w:t>
    </w: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right"/>
      <w:rPr>
        <w:rFonts w:hint="eastAsia"/>
      </w:rPr>
    </w:pPr>
  </w:p>
  <w:p>
    <w:pPr>
      <w:pStyle w:val="Header"/>
      <w:jc w:val="right"/>
      <w:rPr>
        <w:rFonts w:hint="eastAsia"/>
      </w:rPr>
    </w:pPr>
  </w:p>
  <w:p>
    <w:pPr>
      <w:pStyle w:val="Header"/>
      <w:snapToGrid w:val="0"/>
      <w:spacing w:before="0" w:after="0"/>
      <w:ind w:left="0" w:right="0" w:firstLine="0"/>
      <w:jc w:val="right"/>
      <w:rPr>
        <w:rFonts w:ascii="宋体" w:hAnsi="宋体" w:hint="eastAsia"/>
      </w:rPr>
    </w:pPr>
    <w:r>
      <w:rPr>
        <w:rFonts w:ascii="宋体" w:hAnsi="宋体" w:hint="eastAsia"/>
      </w:rPr>
      <w:t>交银施罗德启衡混合型证券投资基金</w:t>
    </w:r>
    <w:r>
      <w:rPr>
        <w:rFonts w:ascii="宋体" w:hAnsi="宋体" w:hint="eastAsia"/>
      </w:rPr>
      <w:t>招募说明书（更新）</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547D73EE"/>
    <w:multiLevelType w:val="multilevel"/>
    <w:tmpl w:val="547D73EE"/>
    <w:lvl w:ilvl="0">
      <w:start w:val="1"/>
      <w:numFmt w:val="decimal"/>
      <w:pStyle w:val="XBRLTitle1"/>
      <w:suff w:val="space"/>
      <w:lvlText w:val="§%1"/>
      <w:lvlJc w:val="left"/>
      <w:pPr>
        <w:ind w:left="425" w:hanging="425"/>
      </w:pPr>
      <w:rPr>
        <w:rFonts w:hint="eastAsia"/>
      </w:rPr>
    </w:lvl>
    <w:lvl w:ilvl="1">
      <w:start w:val="1"/>
      <w:numFmt w:val="decimal"/>
      <w:pStyle w:val="XBRLTitle2"/>
      <w:suff w:val="space"/>
      <w:lvlText w:val="%1.%2"/>
      <w:lvlJc w:val="left"/>
      <w:pPr>
        <w:ind w:left="738" w:hanging="454"/>
      </w:pPr>
      <w:rPr>
        <w:rFonts w:hint="eastAsia"/>
      </w:rPr>
    </w:lvl>
    <w:lvl w:ilvl="2">
      <w:start w:val="1"/>
      <w:numFmt w:val="decimal"/>
      <w:pStyle w:val="XBRLTitle3"/>
      <w:suff w:val="space"/>
      <w:lvlText w:val="%1.%2.%3"/>
      <w:lvlJc w:val="left"/>
      <w:pPr>
        <w:ind w:left="624" w:hanging="624"/>
      </w:pPr>
    </w:lvl>
    <w:lvl w:ilvl="3">
      <w:start w:val="1"/>
      <w:numFmt w:val="decimal"/>
      <w:pStyle w:val="XBRLTitle4"/>
      <w:suff w:val="space"/>
      <w:lvlText w:val="%1.%2.%3.%4"/>
      <w:lvlJc w:val="left"/>
      <w:pPr>
        <w:ind w:left="794" w:hanging="794"/>
      </w:pPr>
      <w:rPr>
        <w:rFonts w:hint="eastAsia"/>
      </w:rPr>
    </w:lvl>
    <w:lvl w:ilvl="4">
      <w:start w:val="1"/>
      <w:numFmt w:val="decimal"/>
      <w:pStyle w:val="XBRLTitle5"/>
      <w:suff w:val="space"/>
      <w:lvlText w:val="%1.%2.%3.%4.%5"/>
      <w:lvlJc w:val="left"/>
      <w:pPr>
        <w:ind w:left="1021" w:hanging="1021"/>
      </w:pPr>
      <w:rPr>
        <w:rFonts w:hint="eastAsia"/>
      </w:rPr>
    </w:lvl>
    <w:lvl w:ilvl="5">
      <w:start w:val="1"/>
      <w:numFmt w:val="decimal"/>
      <w:pStyle w:val="XBRLTitle6"/>
      <w:suff w:val="space"/>
      <w:lvlText w:val="%1.%2.%3.%4.%5.%6"/>
      <w:lvlJc w:val="left"/>
      <w:pPr>
        <w:ind w:left="1021" w:hanging="1021"/>
      </w:pPr>
      <w:rPr>
        <w:rFonts w:hint="eastAsia"/>
      </w:rPr>
    </w:lvl>
    <w:lvl w:ilvl="6">
      <w:start w:val="1"/>
      <w:numFmt w:val="decimal"/>
      <w:lvlText w:val="%1.%2.%3.%4.%5.%6.%7"/>
      <w:lvlJc w:val="left"/>
      <w:pPr>
        <w:ind w:left="3827" w:hanging="1276"/>
      </w:pPr>
      <w:rPr>
        <w:rFonts w:hint="eastAsia"/>
      </w:rPr>
    </w:lvl>
    <w:lvl w:ilvl="7">
      <w:start w:val="1"/>
      <w:numFmt w:val="decimal"/>
      <w:lvlText w:val="%1.%2.%3.%4.%5.%6.%7.%8"/>
      <w:lvlJc w:val="left"/>
      <w:pPr>
        <w:ind w:left="4394" w:hanging="1418"/>
      </w:pPr>
      <w:rPr>
        <w:rFonts w:hint="eastAsia"/>
      </w:rPr>
    </w:lvl>
    <w:lvl w:ilvl="8">
      <w:start w:val="1"/>
      <w:numFmt w:val="decimal"/>
      <w:lvlText w:val="%1.%2.%3.%4.%5.%6.%7.%8.%9"/>
      <w:lvlJc w:val="left"/>
      <w:pPr>
        <w:ind w:left="5102" w:hanging="1700"/>
      </w:pPr>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Header/>
  <w:bordersDoNotSurroundFooter/>
  <w:defaultTabStop w:val="720"/>
  <w:drawingGridHorizontalSpacing w:val="105"/>
  <w:drawingGridVerticalSpacing w:val="120"/>
  <w:displayHorizontalDrawingGridEvery w:val="0"/>
  <w:displayVerticalDrawingGridEvery w:val="3"/>
  <w:doNotShadeFormData/>
  <w:characterSpacingControl w:val="doNotCompress"/>
  <w:doNotValidateAgainstSchema/>
  <w:doNotDemarcateInvalidXml/>
  <w:compat>
    <w:spaceForUL/>
    <w:doNotLeaveBackslashAlone/>
    <w:ulTrailSpace/>
    <w:doNotExpandShiftReturn/>
    <w:footnoteLayoutLikeWW8/>
    <w:shapeLayoutLikeWW8/>
    <w:alignTablesRowByRow/>
    <w:forgetLastTabAlignment/>
    <w:adjustLineHeightInTable/>
    <w:doNotUseHTMLParagraphAutoSpacing/>
    <w:layoutRawTableWidth/>
    <w:layoutTableRowsApart/>
    <w:useWord97LineBreakRules/>
    <w:doNotBreakWrappedTables/>
    <w:doNotSnapToGridInCell/>
    <w:selectFldWithFirstOrLastChar/>
    <w:doNotWrapTextWithPunct/>
    <w:doNotUseEastAsianBreakRules/>
    <w:useWord2002TableStyleRules/>
    <w:growAutofit/>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宋体" w:hAnsi="Calibri" w:cs="Times New Roman"/>
      </w:rPr>
    </w:rPrDefault>
    <w:pPrDefault>
      <w:pPr>
        <w:spacing w:after="200" w:line="276" w:lineRule="auto"/>
      </w:pPr>
    </w:pPrDefault>
  </w:docDefaults>
  <w:latentStyles w:defLockedState="0" w:defUIPriority="99" w:defSemiHidden="1" w:defUnhideWhenUsed="1" w:defQFormat="0" w:count="260">
    <w:lsdException w:name="Normal" w:semiHidden="0" w:uiPriority="0" w:unhideWhenUsed="0" w:qFormat="1"/>
    <w:lsdException w:name="heading 1" w:semiHidden="0" w:uiPriority="9" w:unhideWhenUsed="0" w:qFormat="1"/>
    <w:lsdException w:name="heading 2" w:semiHidden="0" w:uiPriority="9" w:qFormat="1"/>
    <w:lsdException w:name="heading 3" w:uiPriority="9" w:qFormat="1"/>
    <w:lsdException w:name="heading 4" w:semiHidden="0"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lsdException w:name="index 2"/>
    <w:lsdException w:name="index 3"/>
    <w:lsdException w:name="index 4"/>
    <w:lsdException w:name="index 5"/>
    <w:lsdException w:name="index 6"/>
    <w:lsdException w:name="index 7"/>
    <w:lsdException w:name="index 8"/>
    <w:lsdException w:name="index 9"/>
    <w:lsdException w:name="toc 1" w:semiHidden="0" w:uiPriority="39"/>
    <w:lsdException w:name="toc 2" w:semiHidden="0"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Normal Indent"/>
    <w:lsdException w:name="footnote text"/>
    <w:lsdException w:name="annotation text" w:semiHidden="0" w:uiPriority="0"/>
    <w:lsdException w:name="header" w:semiHidden="0"/>
    <w:lsdException w:name="footer" w:semiHidden="0"/>
    <w:lsdException w:name="index heading"/>
    <w:lsdException w:name="caption" w:uiPriority="35" w:qFormat="1"/>
    <w:lsdException w:name="table of figures"/>
    <w:lsdException w:name="envelope address"/>
    <w:lsdException w:name="envelope return"/>
    <w:lsdException w:name="footnote reference"/>
    <w:lsdException w:name="annotation reference" w:semiHidden="0" w:uiPriority="0"/>
    <w:lsdException w:name="line number"/>
    <w:lsdException w:name="page number"/>
    <w:lsdException w:name="endnote reference"/>
    <w:lsdException w:name="endnote text"/>
    <w:lsdException w:name="table of authorities"/>
    <w:lsdException w:name="macro"/>
    <w:lsdException w:name="toa heading"/>
    <w:lsdException w:name="List"/>
    <w:lsdException w:name="List Bullet"/>
    <w:lsdException w:name="List Number"/>
    <w:lsdException w:name="List 2"/>
    <w:lsdException w:name="List 3"/>
    <w:lsdException w:name="List 4"/>
    <w:lsdException w:name="List 5"/>
    <w:lsdException w:name="List Bullet 2"/>
    <w:lsdException w:name="List Bullet 3"/>
    <w:lsdException w:name="List Bullet 4"/>
    <w:lsdException w:name="List Bullet 5"/>
    <w:lsdException w:name="List Number 2"/>
    <w:lsdException w:name="List Number 3"/>
    <w:lsdException w:name="List Number 4"/>
    <w:lsdException w:name="List Number 5"/>
    <w:lsdException w:name="Title" w:semiHidden="0" w:uiPriority="10" w:unhideWhenUsed="0" w:qFormat="1"/>
    <w:lsdException w:name="Closing"/>
    <w:lsdException w:name="Signature"/>
    <w:lsdException w:name="Default Paragraph Font" w:semiHidden="0" w:uiPriority="1"/>
    <w:lsdException w:name="Body Text"/>
    <w:lsdException w:name="Body Text Indent"/>
    <w:lsdException w:name="List Continue"/>
    <w:lsdException w:name="List Continue 2"/>
    <w:lsdException w:name="List Continue 3"/>
    <w:lsdException w:name="List Continue 4"/>
    <w:lsdException w:name="List Continue 5"/>
    <w:lsdException w:name="Message Header"/>
    <w:lsdException w:name="Subtitle" w:semiHidden="0" w:uiPriority="0" w:unhideWhenUsed="0" w:qFormat="1"/>
    <w:lsdException w:name="Salutation"/>
    <w:lsdException w:name="Date"/>
    <w:lsdException w:name="Body Text First Indent"/>
    <w:lsdException w:name="Body Text First Indent 2"/>
    <w:lsdException w:name="Body Text 2"/>
    <w:lsdException w:name="Body Text 3"/>
    <w:lsdException w:name="Body Text Indent 2"/>
    <w:lsdException w:name="Body Text Indent 3"/>
    <w:lsdException w:name="Block Text"/>
    <w:lsdException w:name="Hyperlink" w:semiHidden="0"/>
    <w:lsdException w:name="FollowedHyperlink"/>
    <w:lsdException w:name="Strong" w:semiHidden="0" w:uiPriority="22" w:unhideWhenUsed="0" w:qFormat="1"/>
    <w:lsdException w:name="Emphasis" w:semiHidden="0" w:uiPriority="20" w:unhideWhenUsed="0" w:qFormat="1"/>
    <w:lsdException w:name="Document Map" w:semiHidden="0"/>
    <w:lsdException w:name="Plain Text"/>
    <w:lsdException w:name="E-mail Signature"/>
    <w:lsdException w:name="Normal (Web)"/>
    <w:lsdException w:name="HTML Acronym"/>
    <w:lsdException w:name="HTML Address"/>
    <w:lsdException w:name="HTML Cite"/>
    <w:lsdException w:name="HTML Code"/>
    <w:lsdException w:name="HTML Definition"/>
    <w:lsdException w:name="HTML Keyboard"/>
    <w:lsdException w:name="HTML Preformatted"/>
    <w:lsdException w:name="HTML Sample"/>
    <w:lsdException w:name="HTML Typewriter"/>
    <w:lsdException w:name="HTML Variable"/>
    <w:lsdException w:name="Normal Table" w:semiHidden="0" w:qFormat="1"/>
    <w:lsdException w:name="annotation subject" w:semiHidden="0"/>
    <w:lsdException w:name="Table Simple 1"/>
    <w:lsdException w:name="Table Simple 2"/>
    <w:lsdException w:name="Table Simple 3"/>
    <w:lsdException w:name="Table Classic 1"/>
    <w:lsdException w:name="Table Classic 2"/>
    <w:lsdException w:name="Table Classic 3"/>
    <w:lsdException w:name="Table Classic 4"/>
    <w:lsdException w:name="Table Colorful 1"/>
    <w:lsdException w:name="Table Colorful 2"/>
    <w:lsdException w:name="Table Colorful 3"/>
    <w:lsdException w:name="Table Columns 1"/>
    <w:lsdException w:name="Table Columns 2"/>
    <w:lsdException w:name="Table Columns 3"/>
    <w:lsdException w:name="Table Columns 4"/>
    <w:lsdException w:name="Table Columns 5"/>
    <w:lsdException w:name="Table Grid 1"/>
    <w:lsdException w:name="Table Grid 2"/>
    <w:lsdException w:name="Table Grid 3"/>
    <w:lsdException w:name="Table Grid 4"/>
    <w:lsdException w:name="Table Grid 5"/>
    <w:lsdException w:name="Table Grid 6"/>
    <w:lsdException w:name="Table Grid 7"/>
    <w:lsdException w:name="Table Grid 8"/>
    <w:lsdException w:name="Table List 1"/>
    <w:lsdException w:name="Table List 2"/>
    <w:lsdException w:name="Table List 3"/>
    <w:lsdException w:name="Table List 4"/>
    <w:lsdException w:name="Table List 5"/>
    <w:lsdException w:name="Table List 6"/>
    <w:lsdException w:name="Table List 7"/>
    <w:lsdException w:name="Table List 8"/>
    <w:lsdException w:name="Table 3D effects 1"/>
    <w:lsdException w:name="Table 3D effects 2"/>
    <w:lsdException w:name="Table 3D effects 3"/>
    <w:lsdException w:name="Table Contemporary"/>
    <w:lsdException w:name="Table Elegant"/>
    <w:lsdException w:name="Table Professional"/>
    <w:lsdException w:name="Table Subtle 1"/>
    <w:lsdException w:name="Table Subtle 2"/>
    <w:lsdException w:name="Table Web 1"/>
    <w:lsdException w:name="Table Web 2"/>
    <w:lsdException w:name="Table Web 3"/>
    <w:lsdException w:name="Balloon Text" w:uiPriority="0" w:unhideWhenUsed="0"/>
    <w:lsdException w:name="Table Grid" w:semiHidden="0" w:uiPriority="59" w:unhideWhenUsed="0"/>
    <w:lsdException w:name="Table Theme"/>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kern w:val="2"/>
      <w:sz w:val="21"/>
      <w:szCs w:val="22"/>
      <w:lang w:val="en-US" w:eastAsia="zh-CN" w:bidi="ar-SA"/>
    </w:rPr>
  </w:style>
  <w:style w:type="paragraph" w:styleId="Heading1">
    <w:name w:val="heading 1"/>
    <w:basedOn w:val="Normal"/>
    <w:next w:val="Normal"/>
    <w:link w:val="1Char"/>
    <w:uiPriority w:val="9"/>
    <w:qFormat/>
    <w:pPr>
      <w:keepNext/>
      <w:keepLines/>
      <w:spacing w:before="100" w:beforeLines="100" w:after="100" w:afterLines="100" w:line="360" w:lineRule="auto"/>
      <w:jc w:val="center"/>
      <w:outlineLvl w:val="0"/>
    </w:pPr>
    <w:rPr>
      <w:b/>
      <w:bCs/>
      <w:kern w:val="44"/>
      <w:sz w:val="28"/>
      <w:szCs w:val="44"/>
    </w:rPr>
  </w:style>
  <w:style w:type="paragraph" w:styleId="Heading2">
    <w:name w:val="heading 2"/>
    <w:basedOn w:val="Normal"/>
    <w:next w:val="Normal"/>
    <w:link w:val="2Char"/>
    <w:uiPriority w:val="9"/>
    <w:unhideWhenUsed/>
    <w:qFormat/>
    <w:pPr>
      <w:keepNext/>
      <w:keepLines/>
      <w:spacing w:before="260" w:after="260" w:line="416" w:lineRule="auto"/>
      <w:outlineLvl w:val="1"/>
    </w:pPr>
    <w:rPr>
      <w:rFonts w:ascii="Cambria" w:hAnsi="Cambria"/>
      <w:b/>
      <w:bCs/>
      <w:sz w:val="32"/>
      <w:szCs w:val="32"/>
    </w:rPr>
  </w:style>
  <w:style w:type="paragraph" w:styleId="Heading4">
    <w:name w:val="heading 4"/>
    <w:basedOn w:val="Normal"/>
    <w:next w:val="Normal"/>
    <w:link w:val="4Char"/>
    <w:uiPriority w:val="9"/>
    <w:unhideWhenUsed/>
    <w:qFormat/>
    <w:pPr>
      <w:keepNext/>
      <w:keepLines/>
      <w:spacing w:before="280" w:after="290" w:line="376" w:lineRule="auto"/>
      <w:outlineLvl w:val="3"/>
    </w:pPr>
    <w:rPr>
      <w:rFonts w:ascii="Cambria" w:hAnsi="Cambria"/>
      <w:b/>
      <w:bCs/>
      <w:sz w:val="28"/>
      <w:szCs w:val="28"/>
    </w:rPr>
  </w:style>
  <w:style w:type="character" w:default="1" w:styleId="DefaultParagraphFont">
    <w:name w:val="Default Paragraph Font"/>
    <w:uiPriority w:val="1"/>
    <w:unhideWhenUsed/>
  </w:style>
  <w:style w:type="table" w:default="1" w:styleId="TableNormal">
    <w:name w:val="Normal Table"/>
    <w:uiPriority w:val="99"/>
    <w:unhideWhenUsed/>
    <w:qFormat/>
    <w:tblPr>
      <w:tblStyle w:val="TableNormal"/>
      <w:tblCellMar>
        <w:top w:w="0" w:type="dxa"/>
        <w:left w:w="108" w:type="dxa"/>
        <w:bottom w:w="0" w:type="dxa"/>
        <w:right w:w="108" w:type="dxa"/>
      </w:tblCellMar>
    </w:tblPr>
  </w:style>
  <w:style w:type="paragraph" w:styleId="CommentSubject">
    <w:name w:val="annotation subject"/>
    <w:basedOn w:val="CommentText"/>
    <w:next w:val="CommentText"/>
    <w:link w:val="Char0"/>
    <w:uiPriority w:val="99"/>
    <w:unhideWhenUsed/>
    <w:rPr>
      <w:b/>
      <w:bCs/>
    </w:rPr>
  </w:style>
  <w:style w:type="paragraph" w:styleId="CommentText">
    <w:name w:val="annotation text"/>
    <w:basedOn w:val="Normal"/>
    <w:link w:val="Char"/>
    <w:unhideWhenUsed/>
    <w:pPr>
      <w:jc w:val="left"/>
    </w:pPr>
  </w:style>
  <w:style w:type="paragraph" w:styleId="DocumentMap">
    <w:name w:val="Document Map"/>
    <w:basedOn w:val="Normal"/>
    <w:link w:val="Char4"/>
    <w:uiPriority w:val="99"/>
    <w:unhideWhenUsed/>
    <w:rPr>
      <w:rFonts w:ascii="宋体"/>
      <w:sz w:val="18"/>
      <w:szCs w:val="18"/>
    </w:rPr>
  </w:style>
  <w:style w:type="paragraph" w:styleId="BalloonText">
    <w:name w:val="Balloon Text"/>
    <w:basedOn w:val="Normal"/>
    <w:semiHidden/>
    <w:rPr>
      <w:sz w:val="18"/>
      <w:szCs w:val="18"/>
    </w:rPr>
  </w:style>
  <w:style w:type="paragraph" w:styleId="Footer">
    <w:name w:val="footer"/>
    <w:basedOn w:val="Normal"/>
    <w:link w:val="Char5"/>
    <w:uiPriority w:val="99"/>
    <w:unhideWhenUsed/>
    <w:pPr>
      <w:tabs>
        <w:tab w:val="center" w:pos="4153"/>
        <w:tab w:val="right" w:pos="8306"/>
      </w:tabs>
      <w:snapToGrid w:val="0"/>
      <w:jc w:val="left"/>
    </w:pPr>
    <w:rPr>
      <w:kern w:val="0"/>
      <w:sz w:val="18"/>
      <w:szCs w:val="18"/>
    </w:rPr>
  </w:style>
  <w:style w:type="paragraph" w:styleId="Header">
    <w:name w:val="header"/>
    <w:basedOn w:val="Normal"/>
    <w:link w:val="Char2"/>
    <w:uiPriority w:val="99"/>
    <w:unhideWhenUsed/>
    <w:pPr>
      <w:pBdr>
        <w:bottom w:val="single" w:sz="6" w:space="1" w:color="auto"/>
      </w:pBdr>
      <w:tabs>
        <w:tab w:val="center" w:pos="4153"/>
        <w:tab w:val="right" w:pos="8306"/>
      </w:tabs>
      <w:snapToGrid w:val="0"/>
      <w:jc w:val="center"/>
    </w:pPr>
    <w:rPr>
      <w:kern w:val="0"/>
      <w:sz w:val="18"/>
      <w:szCs w:val="18"/>
    </w:rPr>
  </w:style>
  <w:style w:type="paragraph" w:styleId="TOC1">
    <w:name w:val="toc 1"/>
    <w:basedOn w:val="Normal"/>
    <w:next w:val="Normal"/>
    <w:uiPriority w:val="39"/>
    <w:unhideWhenUsed/>
    <w:pPr>
      <w:spacing w:after="0" w:line="320" w:lineRule="auto"/>
    </w:pPr>
    <w:rPr>
      <w:rFonts w:eastAsia="宋体"/>
      <w:sz w:val="24"/>
    </w:rPr>
  </w:style>
  <w:style w:type="paragraph" w:styleId="Subtitle">
    <w:name w:val="Subtitle"/>
    <w:basedOn w:val="Normal"/>
    <w:next w:val="Normal"/>
    <w:link w:val="Char3"/>
    <w:qFormat/>
    <w:pPr>
      <w:spacing w:before="240" w:after="60" w:line="312" w:lineRule="auto"/>
      <w:jc w:val="center"/>
      <w:outlineLvl w:val="1"/>
    </w:pPr>
    <w:rPr>
      <w:rFonts w:ascii="Cambria" w:hAnsi="Cambria"/>
      <w:b/>
      <w:bCs/>
      <w:kern w:val="28"/>
      <w:sz w:val="32"/>
      <w:szCs w:val="32"/>
    </w:rPr>
  </w:style>
  <w:style w:type="paragraph" w:styleId="TOC2">
    <w:name w:val="toc 2"/>
    <w:basedOn w:val="Normal"/>
    <w:next w:val="Normal"/>
    <w:uiPriority w:val="39"/>
    <w:unhideWhenUsed/>
    <w:pPr>
      <w:ind w:left="480" w:leftChars="200"/>
    </w:pPr>
  </w:style>
  <w:style w:type="character" w:styleId="Hyperlink">
    <w:name w:val="Hyperlink"/>
    <w:uiPriority w:val="99"/>
    <w:unhideWhenUsed/>
    <w:rPr>
      <w:color w:val="0000FF"/>
      <w:u w:val="single"/>
    </w:rPr>
  </w:style>
  <w:style w:type="character" w:styleId="CommentReference">
    <w:name w:val="annotation reference"/>
    <w:unhideWhenUsed/>
    <w:rPr>
      <w:sz w:val="21"/>
      <w:szCs w:val="21"/>
    </w:rPr>
  </w:style>
  <w:style w:type="table" w:styleId="TableGrid">
    <w:name w:val="Table Grid"/>
    <w:basedOn w:val="TableNormal"/>
    <w:uiPriority w:val="59"/>
    <w:tblPr>
      <w:tblStyle w:val="TableNorma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styleId="LightShadingAccent5">
    <w:name w:val="Light Shading Accent 5"/>
    <w:basedOn w:val="TableNormal"/>
    <w:uiPriority w:val="60"/>
    <w:rPr>
      <w:color w:val="31849B"/>
    </w:rPr>
    <w:tblPr>
      <w:tblStyle w:val="TableNormal"/>
      <w:tblStyleRowBandSize w:val="1"/>
      <w:tblStyleColBandSize w:val="1"/>
      <w:tblBorders>
        <w:top w:val="single" w:sz="8" w:space="0" w:color="4BACC6"/>
        <w:bottom w:val="single" w:sz="8" w:space="0" w:color="4BACC6"/>
      </w:tblBorders>
    </w:tblPr>
    <w:tblStylePr w:type="firstRow">
      <w:pPr>
        <w:spacing w:before="0" w:after="0" w:line="240" w:lineRule="auto"/>
      </w:pPr>
      <w:rPr>
        <w:b/>
        <w:bCs/>
      </w:rPr>
      <w:tblPr>
        <w:tblStyle w:val="TableNormal"/>
      </w:tblPr>
      <w:tcPr>
        <w:tcBorders>
          <w:top w:val="single" w:sz="8" w:space="0" w:color="4BACC6"/>
          <w:left w:val="single" w:sz="8" w:space="0" w:color="4BACC6"/>
          <w:bottom w:val="nil"/>
          <w:right w:val="nil"/>
          <w:insideH w:val="nil"/>
          <w:insideV w:val="nil"/>
          <w:tl2br w:val="nil"/>
          <w:tr2bl w:val="nil"/>
        </w:tcBorders>
      </w:tcPr>
    </w:tblStylePr>
    <w:tblStylePr w:type="lastRow">
      <w:pPr>
        <w:spacing w:before="0" w:after="0" w:line="240" w:lineRule="auto"/>
      </w:pPr>
      <w:rPr>
        <w:b/>
        <w:bCs/>
      </w:rPr>
      <w:tblPr>
        <w:tblStyle w:val="TableNormal"/>
      </w:tblPr>
      <w:tcPr>
        <w:tcBorders>
          <w:top w:val="single" w:sz="8" w:space="0" w:color="4BACC6"/>
          <w:left w:val="single" w:sz="8" w:space="0" w:color="4BACC6"/>
          <w:bottom w:val="nil"/>
          <w:right w:val="nil"/>
          <w:insideH w:val="nil"/>
          <w:insideV w:val="nil"/>
          <w:tl2br w:val="nil"/>
          <w:tr2bl w:val="nil"/>
        </w:tcBorders>
      </w:tcPr>
    </w:tblStylePr>
    <w:tblStylePr w:type="firstCol">
      <w:rPr>
        <w:b/>
        <w:bCs/>
      </w:rPr>
    </w:tblStylePr>
    <w:tblStylePr w:type="lastCol">
      <w:rPr>
        <w:b/>
        <w:bCs/>
      </w:rPr>
    </w:tblStylePr>
    <w:tblStylePr w:type="band1Vert">
      <w:tblPr>
        <w:tblStyle w:val="TableNormal"/>
      </w:tblPr>
      <w:tcPr>
        <w:tcBorders>
          <w:top w:val="nil"/>
          <w:left w:val="nil"/>
          <w:bottom w:val="nil"/>
          <w:right w:val="nil"/>
          <w:insideH w:val="nil"/>
          <w:insideV w:val="nil"/>
          <w:tl2br w:val="nil"/>
          <w:tr2bl w:val="nil"/>
        </w:tcBorders>
        <w:shd w:val="clear" w:color="auto" w:fill="D2EAF1"/>
      </w:tcPr>
    </w:tblStylePr>
    <w:tblStylePr w:type="band1Horz">
      <w:tblPr>
        <w:tblStyle w:val="TableNormal"/>
      </w:tblPr>
      <w:tcPr>
        <w:tcBorders>
          <w:top w:val="nil"/>
          <w:left w:val="nil"/>
          <w:bottom w:val="nil"/>
          <w:right w:val="nil"/>
          <w:insideH w:val="nil"/>
          <w:insideV w:val="nil"/>
          <w:tl2br w:val="nil"/>
          <w:tr2bl w:val="nil"/>
        </w:tcBorders>
        <w:shd w:val="clear" w:color="auto" w:fill="D2EAF1"/>
      </w:tcPr>
    </w:tblStylePr>
  </w:style>
  <w:style w:type="paragraph" w:customStyle="1" w:styleId="20">
    <w:name w:val="20"/>
    <w:basedOn w:val="Heading1"/>
    <w:next w:val="Normal"/>
    <w:uiPriority w:val="39"/>
    <w:qFormat/>
    <w:pPr>
      <w:widowControl/>
      <w:spacing w:before="480" w:beforeLines="0" w:line="276" w:lineRule="auto"/>
      <w:jc w:val="left"/>
      <w:outlineLvl w:val="9"/>
    </w:pPr>
    <w:rPr>
      <w:rFonts w:ascii="Cambria" w:eastAsia="宋体" w:hAnsi="Cambria" w:cs="Times New Roman"/>
      <w:color w:val="365F91"/>
      <w:kern w:val="0"/>
      <w:szCs w:val="28"/>
    </w:rPr>
  </w:style>
  <w:style w:type="paragraph" w:customStyle="1" w:styleId="XBRLTitle6">
    <w:name w:val="XBRLTitle6"/>
    <w:basedOn w:val="Subtitle"/>
    <w:next w:val="Heading4"/>
    <w:qFormat/>
    <w:pPr>
      <w:keepNext/>
      <w:keepLines/>
      <w:numPr>
        <w:ilvl w:val="5"/>
        <w:numId w:val="1"/>
      </w:numPr>
      <w:ind w:left="0" w:firstLine="0"/>
      <w:jc w:val="left"/>
    </w:pPr>
    <w:rPr>
      <w:bCs w:val="0"/>
      <w:sz w:val="24"/>
    </w:rPr>
  </w:style>
  <w:style w:type="paragraph" w:customStyle="1" w:styleId="22">
    <w:name w:val="22"/>
    <w:uiPriority w:val="99"/>
    <w:semiHidden/>
    <w:rPr>
      <w:kern w:val="2"/>
      <w:sz w:val="21"/>
      <w:szCs w:val="22"/>
      <w:lang w:val="en-US" w:eastAsia="zh-CN" w:bidi="ar-SA"/>
    </w:rPr>
  </w:style>
  <w:style w:type="paragraph" w:customStyle="1" w:styleId="Default">
    <w:name w:val="Default"/>
    <w:pPr>
      <w:widowControl w:val="0"/>
      <w:autoSpaceDE w:val="0"/>
      <w:autoSpaceDN w:val="0"/>
      <w:adjustRightInd w:val="0"/>
    </w:pPr>
    <w:rPr>
      <w:rFonts w:ascii="宋体" w:cs="宋体"/>
      <w:color w:val="000000"/>
      <w:sz w:val="24"/>
      <w:szCs w:val="24"/>
      <w:lang w:val="en-US" w:eastAsia="zh-CN" w:bidi="ar-SA"/>
    </w:rPr>
  </w:style>
  <w:style w:type="paragraph" w:customStyle="1" w:styleId="Header0">
    <w:name w:val="Header_0"/>
    <w:uiPriority w:val="99"/>
    <w:unhideWhenUsed/>
    <w:rsid w:val="005D30BA"/>
    <w:pPr>
      <w:pBdr>
        <w:bottom w:val="single" w:sz="6" w:space="1" w:color="auto"/>
      </w:pBdr>
      <w:tabs>
        <w:tab w:val="center" w:pos="4153"/>
        <w:tab w:val="right" w:pos="8306"/>
      </w:tabs>
      <w:snapToGrid w:val="0"/>
      <w:jc w:val="left"/>
    </w:pPr>
    <w:rPr>
      <w:sz w:val="18"/>
      <w:szCs w:val="18"/>
    </w:rPr>
  </w:style>
  <w:style w:type="paragraph" w:customStyle="1" w:styleId="XBRLTitle1">
    <w:name w:val="XBRLTitle1"/>
    <w:basedOn w:val="Heading1"/>
    <w:next w:val="Heading2"/>
    <w:qFormat/>
    <w:pPr>
      <w:numPr>
        <w:ilvl w:val="0"/>
        <w:numId w:val="1"/>
      </w:numPr>
      <w:spacing w:before="340" w:beforeLines="50" w:after="330" w:afterLines="50" w:line="240" w:lineRule="auto"/>
    </w:pPr>
    <w:rPr>
      <w:rFonts w:ascii="Cambria" w:hAnsi="Cambria"/>
    </w:rPr>
  </w:style>
  <w:style w:type="paragraph" w:customStyle="1" w:styleId="XBRLTitle2">
    <w:name w:val="XBRLTitle2"/>
    <w:basedOn w:val="Subtitle"/>
    <w:next w:val="Heading4"/>
    <w:qFormat/>
    <w:pPr>
      <w:keepNext/>
      <w:keepLines/>
      <w:numPr>
        <w:ilvl w:val="1"/>
        <w:numId w:val="1"/>
      </w:numPr>
      <w:jc w:val="left"/>
    </w:pPr>
    <w:rPr>
      <w:bCs w:val="0"/>
      <w:sz w:val="24"/>
    </w:rPr>
  </w:style>
  <w:style w:type="paragraph" w:customStyle="1" w:styleId="XBRLTitle3">
    <w:name w:val="XBRLTitle3"/>
    <w:basedOn w:val="Subtitle"/>
    <w:next w:val="Heading4"/>
    <w:qFormat/>
    <w:pPr>
      <w:keepNext/>
      <w:keepLines/>
      <w:numPr>
        <w:ilvl w:val="2"/>
        <w:numId w:val="1"/>
      </w:numPr>
      <w:ind w:left="0" w:firstLine="0"/>
      <w:jc w:val="left"/>
    </w:pPr>
    <w:rPr>
      <w:bCs w:val="0"/>
      <w:sz w:val="24"/>
    </w:rPr>
  </w:style>
  <w:style w:type="paragraph" w:customStyle="1" w:styleId="XBRLTitle5">
    <w:name w:val="XBRLTitle5"/>
    <w:basedOn w:val="Subtitle"/>
    <w:next w:val="Heading4"/>
    <w:qFormat/>
    <w:pPr>
      <w:keepNext/>
      <w:keepLines/>
      <w:numPr>
        <w:ilvl w:val="4"/>
        <w:numId w:val="1"/>
      </w:numPr>
      <w:ind w:left="0" w:firstLine="0"/>
      <w:jc w:val="left"/>
    </w:pPr>
    <w:rPr>
      <w:bCs w:val="0"/>
      <w:sz w:val="24"/>
    </w:rPr>
  </w:style>
  <w:style w:type="paragraph" w:customStyle="1" w:styleId="XBRLTitle4">
    <w:name w:val="XBRLTitle4"/>
    <w:basedOn w:val="Subtitle"/>
    <w:next w:val="Heading4"/>
    <w:qFormat/>
    <w:pPr>
      <w:keepNext/>
      <w:keepLines/>
      <w:numPr>
        <w:ilvl w:val="3"/>
        <w:numId w:val="1"/>
      </w:numPr>
      <w:ind w:left="0" w:firstLine="0"/>
      <w:jc w:val="left"/>
    </w:pPr>
    <w:rPr>
      <w:bCs w:val="0"/>
      <w:sz w:val="24"/>
    </w:rPr>
  </w:style>
  <w:style w:type="character" w:customStyle="1" w:styleId="Char1">
    <w:name w:val="副标题 Char1"/>
    <w:rPr>
      <w:rFonts w:ascii="Cambria" w:hAnsi="Cambria"/>
      <w:b/>
      <w:kern w:val="28"/>
      <w:sz w:val="24"/>
      <w:szCs w:val="32"/>
    </w:rPr>
  </w:style>
  <w:style w:type="character" w:customStyle="1" w:styleId="txtcontent11">
    <w:name w:val="txtcontent11"/>
    <w:rPr>
      <w:rFonts w:ascii="ˎ̥" w:hAnsi="ˎ̥" w:hint="default"/>
      <w:color w:val="000000"/>
      <w:sz w:val="21"/>
      <w:szCs w:val="21"/>
    </w:rPr>
  </w:style>
  <w:style w:type="character" w:customStyle="1" w:styleId="Char">
    <w:name w:val="批注文字 Char"/>
    <w:link w:val="CommentText"/>
    <w:rPr>
      <w:kern w:val="2"/>
      <w:sz w:val="21"/>
      <w:szCs w:val="22"/>
    </w:rPr>
  </w:style>
  <w:style w:type="character" w:customStyle="1" w:styleId="Char0">
    <w:name w:val="批注主题 Char"/>
    <w:link w:val="CommentSubject"/>
    <w:uiPriority w:val="99"/>
    <w:semiHidden/>
    <w:rPr>
      <w:b/>
      <w:bCs/>
      <w:kern w:val="2"/>
      <w:sz w:val="21"/>
      <w:szCs w:val="22"/>
    </w:rPr>
  </w:style>
  <w:style w:type="character" w:customStyle="1" w:styleId="Char2">
    <w:name w:val="页眉 Char"/>
    <w:link w:val="Header"/>
    <w:uiPriority w:val="99"/>
    <w:rPr>
      <w:sz w:val="18"/>
      <w:szCs w:val="18"/>
    </w:rPr>
  </w:style>
  <w:style w:type="character" w:customStyle="1" w:styleId="Char3">
    <w:name w:val="副标题 Char"/>
    <w:link w:val="Subtitle"/>
    <w:rPr>
      <w:rFonts w:ascii="Cambria" w:hAnsi="Cambria" w:cs="Times New Roman"/>
      <w:b/>
      <w:bCs/>
      <w:kern w:val="28"/>
      <w:sz w:val="32"/>
      <w:szCs w:val="32"/>
    </w:rPr>
  </w:style>
  <w:style w:type="character" w:customStyle="1" w:styleId="Char4">
    <w:name w:val="文档结构图 Char"/>
    <w:link w:val="DocumentMap"/>
    <w:uiPriority w:val="99"/>
    <w:semiHidden/>
    <w:rPr>
      <w:rFonts w:ascii="宋体"/>
      <w:kern w:val="2"/>
      <w:sz w:val="18"/>
      <w:szCs w:val="18"/>
    </w:rPr>
  </w:style>
  <w:style w:type="character" w:customStyle="1" w:styleId="Char5">
    <w:name w:val="页脚 Char"/>
    <w:link w:val="Footer"/>
    <w:uiPriority w:val="99"/>
    <w:rPr>
      <w:sz w:val="18"/>
      <w:szCs w:val="18"/>
    </w:rPr>
  </w:style>
  <w:style w:type="character" w:customStyle="1" w:styleId="2Char">
    <w:name w:val="标题 2 Char"/>
    <w:link w:val="Heading2"/>
    <w:uiPriority w:val="9"/>
    <w:semiHidden/>
    <w:rPr>
      <w:rFonts w:ascii="Cambria" w:eastAsia="宋体" w:hAnsi="Cambria" w:cs="Times New Roman"/>
      <w:b/>
      <w:bCs/>
      <w:kern w:val="2"/>
      <w:sz w:val="32"/>
      <w:szCs w:val="32"/>
    </w:rPr>
  </w:style>
  <w:style w:type="character" w:customStyle="1" w:styleId="4Char">
    <w:name w:val="标题 4 Char"/>
    <w:link w:val="Heading4"/>
    <w:uiPriority w:val="9"/>
    <w:semiHidden/>
    <w:rPr>
      <w:rFonts w:ascii="Cambria" w:eastAsia="宋体" w:hAnsi="Cambria" w:cs="Times New Roman"/>
      <w:b/>
      <w:bCs/>
      <w:kern w:val="2"/>
      <w:sz w:val="28"/>
      <w:szCs w:val="28"/>
    </w:rPr>
  </w:style>
  <w:style w:type="character" w:customStyle="1" w:styleId="1Char">
    <w:name w:val="标题 1 Char"/>
    <w:link w:val="Heading1"/>
    <w:uiPriority w:val="9"/>
    <w:rPr>
      <w:b/>
      <w:bCs/>
      <w:kern w:val="44"/>
      <w:sz w:val="28"/>
      <w:szCs w:val="4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footer" Target="footer3.xml" /><Relationship Id="rId11" Type="http://schemas.openxmlformats.org/officeDocument/2006/relationships/header" Target="header4.xml" /><Relationship Id="rId12" Type="http://schemas.openxmlformats.org/officeDocument/2006/relationships/footer" Target="footer4.xml" /><Relationship Id="rId13" Type="http://schemas.openxmlformats.org/officeDocument/2006/relationships/image" Target="media/image1.png" /><Relationship Id="rId14" Type="http://schemas.openxmlformats.org/officeDocument/2006/relationships/image" Target="media/image2.png" /><Relationship Id="rId15" Type="http://schemas.openxmlformats.org/officeDocument/2006/relationships/footer" Target="footer5.xml" /><Relationship Id="rId16" Type="http://schemas.openxmlformats.org/officeDocument/2006/relationships/theme" Target="theme/theme1.xml" /><Relationship Id="rId17" Type="http://schemas.openxmlformats.org/officeDocument/2006/relationships/numbering" Target="numbering.xml" /><Relationship Id="rId18"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header" Target="header1.xml" /><Relationship Id="rId6" Type="http://schemas.openxmlformats.org/officeDocument/2006/relationships/header" Target="header2.xml" /><Relationship Id="rId7" Type="http://schemas.openxmlformats.org/officeDocument/2006/relationships/footer" Target="footer1.xml" /><Relationship Id="rId8" Type="http://schemas.openxmlformats.org/officeDocument/2006/relationships/footer" Target="footer2.xml" /><Relationship Id="rId9" Type="http://schemas.openxmlformats.org/officeDocument/2006/relationships/header" Target="header3.xml" /></Relationships>
</file>

<file path=word/theme/theme1.xml><?xml version="1.0" encoding="utf-8"?>
<a:theme xmlns:a="http://schemas.openxmlformats.org/drawingml/2006/main" name="Office">
  <a:themeElements>
    <a:clrScheme name="Office">
      <a:dk1>
        <a:sysClr lastClr="000000" val="windowText"/>
      </a:dk1>
      <a:lt1>
        <a:sysClr lastClr="FFFFFF" val="window"/>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algn="ctr" cap="flat" cmpd="sng" w="9525">
          <a:solidFill>
            <a:schemeClr val="phClr">
              <a:shade val="95000"/>
              <a:satMod val="105000"/>
            </a:schemeClr>
          </a:solidFill>
          <a:prstDash val="solid"/>
        </a:ln>
        <a:ln algn="ctr" cap="flat" cmpd="sng" w="25400">
          <a:solidFill>
            <a:schemeClr val="phClr"/>
          </a:solidFill>
          <a:prstDash val="solid"/>
        </a:ln>
        <a:ln algn="ctr" cap="flat" cmpd="sng" w="38100">
          <a:solidFill>
            <a:schemeClr val="phClr"/>
          </a:solidFill>
          <a:prstDash val="solid"/>
        </a:ln>
      </a:lnStyleLst>
      <a:effectStyleLst>
        <a:effectStyle>
          <a:effectLst>
            <a:outerShdw blurRad="40000" dir="5400000" dist="20000" rotWithShape="0">
              <a:srgbClr val="000000">
                <a:alpha val="38000"/>
              </a:srgbClr>
            </a:outerShdw>
          </a:effectLst>
        </a:effectStyle>
        <a:effectStyle>
          <a:effectLst>
            <a:outerShdw blurRad="40000" dir="5400000" dist="23000" rotWithShape="0">
              <a:srgbClr val="000000">
                <a:alpha val="35000"/>
              </a:srgbClr>
            </a:outerShdw>
          </a:effectLst>
        </a:effectStyle>
        <a:effectStyle>
          <a:effectLst>
            <a:outerShdw blurRad="40000" dir="5400000" dist="23000" rotWithShape="0">
              <a:srgbClr val="000000">
                <a:alpha val="35000"/>
              </a:srgbClr>
            </a:outerShdw>
          </a:effectLst>
          <a:scene3d>
            <a:camera prst="orthographicFront">
              <a:rot lat="0" lon="0" rev="0"/>
            </a:camera>
            <a:lightRig dir="t" rig="threePt">
              <a:rot lat="0" lon="0" rev="1200000"/>
            </a:lightRig>
          </a:scene3d>
          <a:sp3d>
            <a:bevelT h="25400" w="635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b="180000" l="50000" r="50000" t="-80000"/>
          </a:path>
        </a:gradFill>
        <a:gradFill rotWithShape="1">
          <a:gsLst>
            <a:gs pos="0">
              <a:schemeClr val="phClr">
                <a:tint val="80000"/>
                <a:satMod val="300000"/>
              </a:schemeClr>
            </a:gs>
            <a:gs pos="100000">
              <a:schemeClr val="phClr">
                <a:shade val="30000"/>
                <a:satMod val="200000"/>
              </a:schemeClr>
            </a:gs>
          </a:gsLst>
          <a:path path="circle">
            <a:fillToRect b="50000" l="50000" r="50000" t="50000"/>
          </a:path>
        </a:gradFill>
      </a:bgFillStyleLst>
    </a:fmtScheme>
  </a:themeElements>
  <a:objectDefaults/>
</a:theme>
</file>

<file path=customXml/_rels/item1.xml.rels>&#65279;<?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s:customData xmlns="http://www.wps.cn/officeDocument/2013/wpsCustomData" xmlns:s="http://www.wps.cn/officeDocument/2013/wpsCustomData">
  <customSectProps>
    <customSectPr/>
    <customSectPr/>
    <customSectPr/>
    <customSectPr/>
  </customSectProps>
  <customShpExts>
    <customShpInfo spid="_x0000_s2049"/>
    <customShpInfo spid="_x0000_s2068"/>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162</Pages>
  <Words>13948</Words>
  <Characters>79510</Characters>
  <Application>Microsoft Office Word</Application>
  <DocSecurity>0</DocSecurity>
  <Lines>662</Lines>
  <Paragraphs>186</Paragraphs>
  <ScaleCrop>false</ScaleCrop>
  <Company>Microsoft</Company>
  <LinksUpToDate>false</LinksUpToDate>
  <CharactersWithSpaces>93272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系统用户</dc:creator>
  <cp:lastModifiedBy>系统用户</cp:lastModifiedBy>
  <cp:revision>12</cp:revision>
  <cp:lastPrinted>2013-02-18T03:10:00Z</cp:lastPrinted>
  <dcterms:created xsi:type="dcterms:W3CDTF">2017-10-27T08:43:00Z</dcterms:created>
  <dcterms:modified xsi:type="dcterms:W3CDTF">2018-01-18T14:20:53Z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2052-10.1.0.7022</vt:lpwstr>
  </property>
</Properties>
</file>