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深证300价值交易型开放式指数证券投资基金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交银深证300价值ETF</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159913</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2011-09-22</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上市交易所及上市日期</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深圳证券交易所/2011-10-25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2021-04-30</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场内简称：深价值；场内扩位简称：深价值ETF交银；交易代码：159913；申购赎回简称：深价值；申购赎回代码：159913。</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及时向中国证监会报告，说明出现上述情况的原因并提出解决方案。</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紧密跟踪标的指数，追求跟踪偏离度和跟踪误差最小化。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以标的指数成份股、备选成份股为主要投资对象（含中小板股票和创业板股票及其他经中国证监会核准的上市股票、存托凭证），把全部或接近全部的基金资产用于跟踪标的指数的表现，正常情况下指数化投资比例，即投资于标的指数成份股（含存托凭证）和备选成份股（含存托凭证）的资产比例不低于基金资产净值的95%。此外，为更好地实现投资目标，本基金也可少量投资于新股（含存托凭证）、债券、回购、权证及中国证监会允许基金投资的其它金融工具（但须符合中国证监会的相关规定）。 如因标的指数成份股调整、基金份额申购赎回清单内现金替代、现金差额等因素导致基金投资比例不符合上述标准的，基金管理人将在10个交易日内进行调整。法律法规或监管机构日后允许本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本基金标的指数为深证300价值价格指数。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本基金绝大部分资产采用完全复制法，跟踪深证300价值价格指数，以完全按照标的指数成份股组成及其权重构建基金股票投资组合为原则，进行被动式指数化投资。</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股票在投资组合中的权重原则上根据标的指数成份股及其权重的变动而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本基金投资存托凭证的策略依照境内上市交易的股票投资策略执行。</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深证300价值价格指数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本基金属于股票基金，风险与预期收益高于混合基金、债券基金与货币市场基金。同时本基金为指数型基金，具有与标的指数、以及标的指数所代表的股票市场相似的风险收益特征。</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详见《深证300价值交易型开放式指数证券投资基金招募说明书》“基金的投资”。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注：1、投资者在申购或赎回基金份额时，申购赎回代理券商可按照不超过申购或赎回份额0.5%的标准收取佣金。2、场内交易费用以证券公司实际收取为准。</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15000.00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80000.00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2、投资本基金的特有风险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标的指数回报与股票市场平均回报偏离的风险、（2）标的指数波动的风险、（3）基金投资组合回报与标的指数回报偏离的风险、（4）标的指数变更的风险、（5）跟踪误差控制未达约定目标的风险、（6）指数编制机构停止服务的风险、（7）成份股停牌的风险、（8）基金份额二级市场交易价格折溢价的风险、（9）参考IOPV决策和IOPV计算错误的风险、（10）退市风险、（11）投资者申购失败的风险、（12）投资者赎回失败的风险、（13）基金份额赎回对价的变现风险、（14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●《深证300价值交易型开放式指数证券投资基金基金合同》、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《深证300价值交易型开放式指数证券投资基金托管协议》、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《深证300价值交易型开放式指数证券投资基金招募说明书》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