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交银施罗德启衡混合型证券投资基金（C类份额）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交银启衡混合C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016542</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招商银行股份有限公司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2022-11-30</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芮晨</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2022-11-30</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2007-02-01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本基金在严格控制风险的前提下，充分发挥专业研究与管理能力，追求超越业绩比较基准的投资收益，力争为投资者提供长期稳健的投资回报。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创业板及其他经中国证监会核准或注册上市的股票、存托凭证）、港股通标的股票、债券（含国债、央行票据、金融债券、政府支持债券、政府支持机构债券、地方政府债券、企业债券、公司债券、可转换债券（含可分离交易可转换债券的纯债部分）、可交换公司债券、公开发行的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投资（含存托凭证）占基金资产的比例为60%-95%，其中投资于港股通标的股票的比例占股票资产的0%-50%；每个交易日日终在扣除股指期货合约需缴纳的交易保证金后，本基金持有的现金或者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个股和个券；在保持总体风险水平相对稳定的基础上，力争获取投资组合的较高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1、大类资产配置；2、股票投资策略；3、债券投资策略；4、资产支持证券投资策略；5、股指期货投资策略。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沪深300指数收益率×75%+中债-国债总财富（1-3年）指数收益率×10%+中证港股通综合指数（人民币）收益率×15%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本基金是一只混合型基金，其预期风险和预期收益理论上高于债券型基金和货币市场基金，低于股票型基金。</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详见《交银施罗德启衡混合型证券投资基金招募说明书》“基金的投资”。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2、本基金于合同于2022年10月20日生效，合同生效当年净值增长率按实际存续期计算；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注：1、本基金对持续持有期少于7日的投资人收取1.5%的赎回费，请投资人予以关注。2、销售机构若有其他费率优惠请见基金管理人或其他销售机构的有关公告或通知。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0.80%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2.30%</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（3）基金合同提前终止风险。连续50个工作日出现基金份额持有人数量不满200人或者基金资产净值低于5000万元情形的，基金合同终止，不需召开基金份额持有人大会。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9、投资港股通标的股票的特定风险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或选择不将基金资产投资于港股，基金资产并非必然投资港股。</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12、本基金法律文件风险收益特征表述与销售机构基金风险评价可能不一致的风险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13、其他风险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因基金合同而产生的或与基金合同有关的一切争议，如经友好协商未能解决的，任何一方均有权将争议提交深圳国际仲裁院，按其届时有效的仲裁规则进行仲裁。仲裁地点为深圳市。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●《交银施罗德启衡混合型证券投资基金基金合同》、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《交银施罗德启衡混合型证券投资基金托管协议》、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《交银施罗德启衡混合型证券投资基金招募说明书》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