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交银施罗德国证新能源指数证券投资基金（LOF）（C类份额）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交银国证新能源指数（LOF）C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013453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中国建设银行股份有限公司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2020-11-30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交银施罗德国证新能源指数证券投资基金（LOF）由交银施罗德国证新能源指数分级证券投资基金转型而来。上述转型于2020年11月30日正式实施，自基金转型实施日起，《交银施罗德国证新能源指数分级证券投资基金基金合同》失效，且《交银施罗德国证新能源指数证券投资基金（LOF）基金合同》同时生效，交银施罗德国证新能源指数分级证券投资基金正式变更为交银施罗德国证新能源指数证券投资基金（LOF）。</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管理人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本基金采用指数化投资，紧密跟踪标的指数，追求跟踪偏离度与跟踪误差最小化。本基金力争控制本基金日均跟踪偏离度的绝对值不超过0.35%，年跟踪误差不超过4%。</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于具有良好流动性的金融工具，以国证新能源指数的成份股（含存托凭证）及其备选成份股(含中小板、创业板及其他经中国证监会核准或注册上市的股票、存托凭证)为主要投资对象。为更好地实现投资目标，本基金也可少量投资于其他股票(非标的指数成份股（含存托凭证）及其备选成份股（含存托凭证）)、债券、中期票据、货币市场工具、债券回购、资产支持证券、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基金的投资组合比例为：本基金的股票资产（含存托凭证）投资比例不低于基金资产的 90%，本基金投资于国证新能源指数的成份股（含存托凭证）及其备选成份股（含存托凭证）的比例不低于非现金基金资产的90%，每个交易日日终在扣除股指期货合约需缴纳的交易保证金以后，持有现金或到期日在一年以内的政府债券的比例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绝大部分资产采用完全复制标的指数的方法跟踪标的指数，即按照国证新能源指数中的成份股组成及其权重构建股票投资组合，并根据标的指数成份股及其权重的变动进行相应调整。当预期成份股发生调整和成份股发生配股、增发、分红等行为时，或因基金的申购和赎回等对本基金跟踪标的指数的效果可能带来影响时，或因某些特殊情况导致成份股流动性不足时，或其他原因导致无法有效复制和跟踪标的指数时，基金管理人可以对投资组合管理进行适当变通和调整，从而使得投资组合紧密地跟踪标的指数。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本基金投资存托凭证的策略依照境内上市交易的股票投资策略执行。</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股指期货将根据风险管理的原则，以套期保值为目的，主要选择流动性好、交易活跃的股指期货合约。在建仓期或者出现大量净申购或净赎回的情况时，本基金将使用股指期货来进行流动性风险管理。本基金力争利用股指期货的杠杆作用，降低股票仓位频繁调整的交易成本和跟踪误差，达到有效跟踪标的指数的目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国证新能源指数收益率×95%＋银行活期存款利率（税后）×5%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与预期收益高于混合型基金、债券型基金和货币市场基金。本基金为指数型基金，主要采用组合复制策略跟踪标的指数，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详见《交银施罗德国证新能源指数证券投资基金(LOF)招募说明书》“基金的投资”。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2、本基金自2021年9月29日起，开始销售C类份额，基金份额类别首次确认当年净值增长率按实际存续期计算；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1.45%</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5、本基金投资策略所特有的指数化投资风险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（1）本基金为股票型基金，投资于国证新能源指数成份股（含存托凭证）及其备选成份股（含存托凭证）的比例不低于非现金基金资产的90%，因投资权益类资产而面临权益类资产市场的系统性风险和个股风险；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（2）基金合同提前终止风险。连续50个工作日出现基金份额持有人数量不满200人或者基金资产净值低于5000万元情形的，基金管理人提前终止基金合同，不需召开基金份额持有人大会。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