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交银施罗德创业板50指数型证券投资基金（Y类份额）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交银创业板50指数Y</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022934</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招商银行股份有限公司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2019-11-20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2021-04-30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蔡铮</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2025-02-27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2009-12-14</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60个工作日出现前述情形的，基金管理人提前终止《基金合同》，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本基金采用指数化投资策略，紧密跟踪创业板50指数，追求跟踪偏离度与跟踪误差最小化。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创业板50指数的成份股（含存托凭证）及其备选成份股（含存托凭证）、其他股票(含中小板、创业板及其他经中国证监会核准上市的股票、存托凭证)、债券(含国债、央行票据、金融债券、政府支持债券、政府支持机构债券、 地方政府债券、企业债券、公司债券、可转换债券(含可分离交易可转换债券的纯债部分)、可交换公司债券、公开发行的次级债券、中期票据、短期融资券、超短期 融资券等)、资产支持证券、货币市场工具、债券回购、同业存单、银行存款(含协 议存款、定期存款及其他银行存款)、股指期货以及法律法规或中国证监会允许基金 投资的其他金融工具。 如法律法规或监管机构以后允许基金投资其他品种，基金管理人在履行适当程序后，可以将其纳入投资范围。 基金的投资组合比例为：本基金投资于创业板 50 指数成份股（含存托凭证）及其备选成份股（含存托凭证）的比例不低于基金资产净值的90%；每个交易日日终在扣除股指期货合约需缴纳的交易保证金后，本基金保留的现金或者投资于到期日在一年以内的政府债券的比例合计不低于基金资产净值的5%，其中现金不包括结算备付金、存出保证金、应收申购款等。 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本基金标的指数为创业板50指数。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1、组合复制策略；2、替代性策略；3、股指期货投资策略；4、资产支持证券投资策略。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创业板50指数收益率×95%＋人民币银行活期存款利率（税后）×5%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高于混合型基金、债券型基金和货币市场基金。本基金为指数型基金，主要采用组合复制策略及适当的替代性策略跟踪创业板50指数，具有与标的指数以及标的指数所代表的股票市场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详见《交银施罗德创业板50指数型证券投资基金招募说明书》“基金的投资”。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2、本基金自2024年12月13日起，开始销售Y类份额，基金份额类别首次确认当年净值增长率按实际存续期计算；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0.08%</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50000.00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本基金Y类基金份额可对基金管理费和基金托管费实施一定的费率优惠，具体优惠请参看招募说明书或相关公告。2、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0.34%</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5、本基金投资策略所特有的指数化投资风险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标的指数回报与股票市场平均回报偏离的风险、（2）标的指数波动的风险、（3）基金投资组合回报与标的指数回报偏离的风险、（4）标的指数变更的风险、（5）跟踪误差控制未达约定目标的风险、（6）指数编制机构停止服务的风险、（7）成份股停牌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（1）本基金为股票型基金，投资于创业板50指数成份股及其备选成份股的比例不低于基金资产净值的90%，因投资权益类资产而面临权益类资产市场的系统性风险和个股风险；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（3）基金合同提前终止风险。连续六十个工作日出现基金份额持有人数量不满200人或者基金资产净值低于5000万元情形的，基金管理人提前终止基金合同，不需召开基金份额持有人大会。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Y类基金份额为针对个人养老金投资基金业务设立的单独的基金份额类别，投资者仅能通过个人养老金资金账户购买Y类基金份额参与个人养老金投资基金业务。根据个人养老金账户要求，个人养老金投资基金的基金份额申购赎回等款项将在个人养老金账户内流转，投资者未达到领取基本养老金年龄或者政策规定的其他领取条件时不可领取个人养老金。具体业务规则请关注基金管理人届时发布的相关公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因基金合同而产生的或与基金合同有关的一切争议，如经友好协商未能解决的，任何一方均有权将争议提交深圳国际仲裁院，按其届时有效的仲裁规则进行仲裁。仲裁地点为深圳市。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●《交银施罗德创业板50指数型证券投资基金基金合同》、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《交银施罗德创业板50指数型证券投资基金托管协议》、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《交银施罗德创业板50指数型证券投资基金招募说明书》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