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C92FC0" w:rsidRPr="00EB07BC">
      <w:pPr>
        <w:spacing w:after="0"/>
        <w:rPr>
          <w:rFonts w:hint="eastAsia"/>
          <w:sz w:val="32"/>
        </w:rPr>
      </w:pPr>
    </w:p>
    <w:p w:rsidR="00C92FC0" w:rsidRPr="00EB07BC">
      <w:pPr>
        <w:spacing w:after="0"/>
        <w:rPr>
          <w:sz w:val="32"/>
        </w:rPr>
      </w:pPr>
    </w:p>
    <w:p w:rsidR="00C92FC0" w:rsidRPr="00EB07BC">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上证180公司治理交易型开放式指数证券投资基金招募说明书（更新）</w:t>
      </w:r>
    </w:p>
    <w:p>
      <w:pPr>
        <w:snapToGrid w:val="0"/>
        <w:spacing w:after="0" w:line="360" w:lineRule="auto"/>
        <w:jc w:val="center"/>
        <w:rPr>
          <w:rFonts w:ascii="宋体" w:eastAsia="宋体" w:hAnsi="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基金托管人：中国农业银行股份有限公司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w:type="even" r:id="rId5"/>
          <w:headerReference w:type="default" r:id="rId6"/>
          <w:footerReference w:type="even" r:id="rId7"/>
          <w:footerReference w:type="default" r:id="rId8"/>
          <w:headerReference w:type="first" r:id="rId9"/>
          <w:footerReference w:type="first" r:id="rId10"/>
          <w:pgSz w:w="11920" w:h="16840"/>
          <w:pgMar w:top="1440" w:right="1680" w:bottom="280" w:left="1680" w:header="900" w:footer="1073" w:gutter="0"/>
          <w:cols w:num="1" w:space="720"/>
          <w:titlePg/>
          <w:docGrid w:linePitch="286" w:charSpace="0"/>
        </w:sectPr>
      </w:pPr>
    </w:p>
    <w:p>
      <w:pPr>
        <w:pStyle w:val="Heading1"/>
        <w:snapToGrid w:val="0"/>
        <w:spacing w:before="240" w:beforeLines="0" w:after="0"/>
        <w:rPr>
          <w:rFonts w:ascii="宋体" w:hAnsi="宋体"/>
          <w:kern w:val="0"/>
        </w:rPr>
      </w:pPr>
      <w:bookmarkStart w:id="0" w:name="_Toc324920538"/>
      <w:bookmarkStart w:id="1" w:name="_Toc496884613"/>
      <w:bookmarkStart w:id="2" w:name="_Toc256000000"/>
      <w:bookmarkStart w:id="3" w:name="_Toc256000027"/>
      <w:r>
        <w:rPr>
          <w:rFonts w:ascii="宋体" w:hAnsi="宋体"/>
          <w:kern w:val="0"/>
        </w:rPr>
        <w:t>重要提示</w:t>
      </w:r>
      <w:bookmarkEnd w:id="3"/>
      <w:bookmarkEnd w:id="2"/>
      <w:bookmarkEnd w:id="0"/>
      <w:bookmarkEnd w:id="1"/>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上证180公司治理交易型开放式指数证券投资基金（以下简称“本基金”）经2009年8月17日中国证券监督管理委员会证监许可【2009】795号文核准募集。本基金基金合同于2009年9月25日正式生效。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标的指数回报与股票市场平均回报偏离的风险、标的指数波动的风险、基金投资组合回报与标的指数回报偏离的风险、标的指数变更的风险、跟踪误差控制未达约定目标的风险、指数编制机构停止服务的风险、成份股停牌的风险</w:t>
      </w:r>
      <w:r w:rsidRPr="00BB248E">
        <w:rPr>
          <w:rFonts w:ascii="宋体" w:hAnsi="宋体" w:hint="eastAsia"/>
          <w:kern w:val="0"/>
          <w:sz w:val="24"/>
        </w:rPr>
        <w:t>、</w:t>
      </w:r>
      <w:r w:rsidRPr="00BB248E">
        <w:rPr>
          <w:rFonts w:ascii="宋体" w:hAnsi="宋体" w:hint="eastAsia"/>
          <w:kern w:val="0"/>
          <w:sz w:val="24"/>
        </w:rPr>
        <w:t>基金份额二级市场交易价格折溢价的风险</w:t>
      </w:r>
      <w:r w:rsidRPr="00BB248E">
        <w:rPr>
          <w:rFonts w:ascii="宋体" w:hAnsi="宋体" w:hint="eastAsia"/>
          <w:kern w:val="0"/>
          <w:sz w:val="24"/>
        </w:rPr>
        <w:t>、</w:t>
      </w:r>
      <w:r w:rsidRPr="00BB248E">
        <w:rPr>
          <w:rFonts w:ascii="宋体" w:hAnsi="宋体" w:hint="eastAsia"/>
          <w:kern w:val="0"/>
          <w:sz w:val="24"/>
        </w:rPr>
        <w:t>参考IOPV决策和IOPV计算错误的风险</w:t>
      </w:r>
      <w:r w:rsidRPr="00BB248E">
        <w:rPr>
          <w:rFonts w:ascii="宋体" w:hAnsi="宋体" w:hint="eastAsia"/>
          <w:kern w:val="0"/>
          <w:sz w:val="24"/>
        </w:rPr>
        <w:t>、</w:t>
      </w:r>
      <w:r w:rsidRPr="00BB248E">
        <w:rPr>
          <w:rFonts w:ascii="宋体" w:hAnsi="宋体" w:hint="eastAsia"/>
          <w:kern w:val="0"/>
          <w:sz w:val="24"/>
        </w:rPr>
        <w:t>基金的退市风险</w:t>
      </w:r>
      <w:r w:rsidRPr="00BB248E">
        <w:rPr>
          <w:rFonts w:ascii="宋体" w:hAnsi="宋体" w:hint="eastAsia"/>
          <w:kern w:val="0"/>
          <w:sz w:val="24"/>
        </w:rPr>
        <w:t>、</w:t>
      </w:r>
      <w:r w:rsidRPr="00BB248E">
        <w:rPr>
          <w:rFonts w:ascii="宋体" w:hAnsi="宋体" w:hint="eastAsia"/>
          <w:kern w:val="0"/>
          <w:sz w:val="24"/>
        </w:rPr>
        <w:t>投资者申购、赎回失败的风险以及基金份额赎回对价的变现风险</w:t>
      </w:r>
      <w:r w:rsidRPr="00BB248E">
        <w:rPr>
          <w:rFonts w:ascii="宋体" w:hAnsi="宋体" w:hint="eastAsia"/>
          <w:kern w:val="0"/>
          <w:sz w:val="24"/>
        </w:rPr>
        <w:t>，</w:t>
      </w:r>
      <w:r w:rsidRPr="00BB248E">
        <w:rPr>
          <w:rFonts w:ascii="宋体" w:hAnsi="宋体" w:hint="eastAsia"/>
          <w:kern w:val="0"/>
          <w:sz w:val="24"/>
        </w:rPr>
        <w:t>流动性风险，投资</w:t>
      </w:r>
      <w:r w:rsidRPr="00BB248E">
        <w:rPr>
          <w:rFonts w:ascii="宋体" w:hAnsi="宋体" w:hint="eastAsia"/>
          <w:kern w:val="0"/>
          <w:sz w:val="24"/>
        </w:rPr>
        <w:t>创业板</w:t>
      </w:r>
      <w:r w:rsidRPr="00BB248E">
        <w:rPr>
          <w:rFonts w:ascii="宋体" w:hAnsi="宋体" w:hint="eastAsia"/>
          <w:kern w:val="0"/>
          <w:sz w:val="24"/>
        </w:rPr>
        <w:t>股票</w:t>
      </w:r>
      <w:r w:rsidRPr="00BB248E">
        <w:rPr>
          <w:rFonts w:ascii="宋体" w:hAnsi="宋体" w:hint="eastAsia"/>
          <w:kern w:val="0"/>
          <w:sz w:val="24"/>
        </w:rPr>
        <w:t>、</w:t>
      </w:r>
      <w:r w:rsidRPr="00BB248E">
        <w:rPr>
          <w:rFonts w:ascii="宋体" w:hAnsi="宋体" w:hint="eastAsia"/>
          <w:kern w:val="0"/>
          <w:sz w:val="24"/>
        </w:rPr>
        <w:t>科创板股票</w:t>
      </w:r>
      <w:r w:rsidRPr="00BB248E">
        <w:rPr>
          <w:rFonts w:ascii="宋体" w:hAnsi="宋体" w:hint="eastAsia"/>
          <w:kern w:val="0"/>
          <w:sz w:val="24"/>
        </w:rPr>
        <w:t>和存托凭证</w:t>
      </w:r>
      <w:r w:rsidRPr="00BB248E">
        <w:rPr>
          <w:rFonts w:ascii="宋体" w:hAnsi="宋体" w:hint="eastAsia"/>
          <w:kern w:val="0"/>
          <w:sz w:val="24"/>
        </w:rPr>
        <w:t>的特定风险等等。本基金属股票基金，风险与收益高于混合基金、债券基金与货币市场基金。本基金为指数型基金，紧密跟踪标的指数，具有和标的指数所代表的股票市场相似的风险收益特征，属于证券投资基金中风险较高、收益较高的品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本基金为指数基金，投资者投资于本基金面临跟踪误差控制未达约定目标、指数编制机构停止服务、成份券停牌等潜在风险。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本基金标的指数为上证180公司治理指数。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1、选样空间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上证180指数样本和上证公司治理指数样本。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2、选样方法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（1）根据上证180指数选样方法对样本空间内证券进行综合排名；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上证180指数与上证公司治理指数样本交集中，选择综合排名前100名的交集证券作为上证180公司治理指数样本。如果该交集证券数量不足100只，则在上证公司治理指数样本中选择综合排名最高的非交集证券补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3、指数计算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指数计算公式为：</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50.25pt;width:255pt">
            <v:imagedata r:id="rId11"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其中，调整市值＝∑(证券价格×调整股本数)。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有关标的指数具体编制方案及成份股信息详见中证指数有限公司官方网站，网址：www.csindex.com.cn。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投资有风险，投资者在投资本基金前应认真阅读本基金的招募说明书、基金合同、基金产品资料概要。基金的过往业绩并不代表其未来表现。基金管理人管理的其他基金的业绩并不构成对本基金业绩表现的保证。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firstLine="480" w:rightChars="0"/>
        <w:rPr>
          <w:rFonts w:ascii="宋体" w:hAnsi="宋体"/>
          <w:kern w:val="0"/>
          <w:szCs w:val="24"/>
        </w:rPr>
        <w:sectPr>
          <w:headerReference w:type="default" r:id="rId12"/>
          <w:pgSz w:w="11920" w:h="16840"/>
          <w:pgMar w:top="1440" w:right="1680" w:bottom="280" w:left="1680" w:header="0" w:footer="1073" w:gutter="0"/>
          <w:pgNumType w:start="1"/>
          <w:cols w:num="1" w:space="720"/>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TOC \o "1-3" \h \z \u</w:instrText>
      </w:r>
      <w:r>
        <w:rPr>
          <w:rFonts w:ascii="宋体" w:hAnsi="宋体"/>
          <w:color w:val="auto"/>
        </w:rPr>
        <w:fldChar w:fldCharType="separate"/>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"_Toc256000027" </w:instrText>
      </w:r>
      <w:r>
        <w:fldChar w:fldCharType="separate"/>
      </w:r>
      <w:r>
        <w:rPr>
          <w:rStyle w:val="Hyperlink"/>
          <w:rFonts w:ascii="宋体" w:hAnsi="宋体"/>
          <w:kern w:val="0"/>
        </w:rPr>
        <w:t>重要提示</w:t>
      </w:r>
      <w:r>
        <w:rPr>
          <w:rStyle w:val="Hyperlink"/>
        </w:rPr>
        <w:tab/>
      </w:r>
      <w:r>
        <w:fldChar w:fldCharType="begin"/>
      </w:r>
      <w:r>
        <w:rPr>
          <w:rStyle w:val="Hyperlink"/>
        </w:rPr>
        <w:instrText xml:space="preserve"> PAGEREF _Toc256000027 \h </w:instrText>
      </w:r>
      <w:r>
        <w:fldChar w:fldCharType="separate"/>
      </w:r>
      <w:r>
        <w:rPr>
          <w:rStyle w:val="Hyperlink"/>
        </w:rPr>
        <w:t>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"_Toc256000028" </w:instrText>
      </w:r>
      <w:r>
        <w:fldChar w:fldCharType="separate"/>
      </w:r>
      <w:r>
        <w:rPr>
          <w:rStyle w:val="Hyperlink"/>
          <w:rFonts w:ascii="宋体" w:hAnsi="宋体"/>
        </w:rPr>
        <w:t>一、绪言</w:t>
      </w:r>
      <w:r>
        <w:rPr>
          <w:rStyle w:val="Hyperlink"/>
        </w:rPr>
        <w:tab/>
      </w:r>
      <w:r>
        <w:fldChar w:fldCharType="begin"/>
      </w:r>
      <w:r>
        <w:rPr>
          <w:rStyle w:val="Hyperlink"/>
        </w:rPr>
        <w:instrText xml:space="preserve"> PAGEREF _Toc256000028 \h </w:instrText>
      </w:r>
      <w:r>
        <w:fldChar w:fldCharType="separate"/>
      </w:r>
      <w:r>
        <w:rPr>
          <w:rStyle w:val="Hyperlink"/>
        </w:rPr>
        <w:t>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"_Toc256000029" </w:instrText>
      </w:r>
      <w:r>
        <w:fldChar w:fldCharType="separate"/>
      </w:r>
      <w:r>
        <w:rPr>
          <w:rStyle w:val="Hyperlink"/>
          <w:rFonts w:ascii="宋体" w:hAnsi="宋体"/>
        </w:rPr>
        <w:t>二、释义</w:t>
      </w:r>
      <w:r>
        <w:rPr>
          <w:rStyle w:val="Hyperlink"/>
        </w:rPr>
        <w:tab/>
      </w:r>
      <w:r>
        <w:fldChar w:fldCharType="begin"/>
      </w:r>
      <w:r>
        <w:rPr>
          <w:rStyle w:val="Hyperlink"/>
        </w:rPr>
        <w:instrText xml:space="preserve"> PAGEREF _Toc256000029 \h </w:instrText>
      </w:r>
      <w:r>
        <w:fldChar w:fldCharType="separate"/>
      </w:r>
      <w:r>
        <w:rPr>
          <w:rStyle w:val="Hyperlink"/>
        </w:rPr>
        <w:t>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"_Toc256000030" </w:instrText>
      </w:r>
      <w:r>
        <w:fldChar w:fldCharType="separate"/>
      </w:r>
      <w:r>
        <w:rPr>
          <w:rStyle w:val="Hyperlink"/>
          <w:rFonts w:ascii="宋体" w:hAnsi="宋体"/>
        </w:rPr>
        <w:t>三、基金管理人</w:t>
      </w:r>
      <w:r>
        <w:rPr>
          <w:rStyle w:val="Hyperlink"/>
        </w:rPr>
        <w:tab/>
      </w:r>
      <w:r>
        <w:fldChar w:fldCharType="begin"/>
      </w:r>
      <w:r>
        <w:rPr>
          <w:rStyle w:val="Hyperlink"/>
        </w:rPr>
        <w:instrText xml:space="preserve"> PAGEREF _Toc256000030 \h </w:instrText>
      </w:r>
      <w:r>
        <w:fldChar w:fldCharType="separate"/>
      </w:r>
      <w:r>
        <w:rPr>
          <w:rStyle w:val="Hyperlink"/>
        </w:rPr>
        <w:t>11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"_Toc256000031" </w:instrText>
      </w:r>
      <w:r>
        <w:fldChar w:fldCharType="separate"/>
      </w:r>
      <w:r>
        <w:rPr>
          <w:rStyle w:val="Hyperlink"/>
          <w:rFonts w:ascii="宋体" w:hAnsi="宋体"/>
        </w:rPr>
        <w:t>四、基金托管人</w:t>
      </w:r>
      <w:r>
        <w:rPr>
          <w:rStyle w:val="Hyperlink"/>
        </w:rPr>
        <w:tab/>
      </w:r>
      <w:r>
        <w:fldChar w:fldCharType="begin"/>
      </w:r>
      <w:r>
        <w:rPr>
          <w:rStyle w:val="Hyperlink"/>
        </w:rPr>
        <w:instrText xml:space="preserve"> PAGEREF _Toc256000031 \h </w:instrText>
      </w:r>
      <w:r>
        <w:fldChar w:fldCharType="separate"/>
      </w:r>
      <w:r>
        <w:rPr>
          <w:rStyle w:val="Hyperlink"/>
        </w:rPr>
        <w:t>20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"_Toc256000032" </w:instrText>
      </w:r>
      <w:r>
        <w:fldChar w:fldCharType="separate"/>
      </w:r>
      <w:r>
        <w:rPr>
          <w:rStyle w:val="Hyperlink"/>
          <w:rFonts w:ascii="宋体" w:hAnsi="宋体"/>
        </w:rPr>
        <w:t>五、相关服务机构</w:t>
      </w:r>
      <w:r>
        <w:rPr>
          <w:rStyle w:val="Hyperlink"/>
        </w:rPr>
        <w:tab/>
      </w:r>
      <w:r>
        <w:fldChar w:fldCharType="begin"/>
      </w:r>
      <w:r>
        <w:rPr>
          <w:rStyle w:val="Hyperlink"/>
        </w:rPr>
        <w:instrText xml:space="preserve"> PAGEREF _Toc256000032 \h </w:instrText>
      </w:r>
      <w:r>
        <w:fldChar w:fldCharType="separate"/>
      </w:r>
      <w:r>
        <w:rPr>
          <w:rStyle w:val="Hyperlink"/>
        </w:rPr>
        <w:t>23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"_Toc256000033" </w:instrText>
      </w:r>
      <w:r>
        <w:fldChar w:fldCharType="separate"/>
      </w:r>
      <w:r>
        <w:rPr>
          <w:rStyle w:val="Hyperlink"/>
          <w:rFonts w:ascii="宋体" w:hAnsi="宋体"/>
        </w:rPr>
        <w:t>六、基金的募集</w:t>
      </w:r>
      <w:r>
        <w:rPr>
          <w:rStyle w:val="Hyperlink"/>
        </w:rPr>
        <w:tab/>
      </w:r>
      <w:r>
        <w:fldChar w:fldCharType="begin"/>
      </w:r>
      <w:r>
        <w:rPr>
          <w:rStyle w:val="Hyperlink"/>
        </w:rPr>
        <w:instrText xml:space="preserve"> PAGEREF _Toc256000033 \h </w:instrText>
      </w:r>
      <w:r>
        <w:fldChar w:fldCharType="separate"/>
      </w:r>
      <w:r>
        <w:rPr>
          <w:rStyle w:val="Hyperlink"/>
        </w:rPr>
        <w:t>35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"_Toc256000034" </w:instrText>
      </w:r>
      <w:r>
        <w:fldChar w:fldCharType="separate"/>
      </w:r>
      <w:r>
        <w:rPr>
          <w:rStyle w:val="Hyperlink"/>
          <w:rFonts w:ascii="宋体" w:hAnsi="宋体"/>
        </w:rPr>
        <w:t>七、基金合同的生效</w:t>
      </w:r>
      <w:r>
        <w:rPr>
          <w:rStyle w:val="Hyperlink"/>
        </w:rPr>
        <w:tab/>
      </w:r>
      <w:r>
        <w:fldChar w:fldCharType="begin"/>
      </w:r>
      <w:r>
        <w:rPr>
          <w:rStyle w:val="Hyperlink"/>
        </w:rPr>
        <w:instrText xml:space="preserve"> PAGEREF _Toc256000034 \h </w:instrText>
      </w:r>
      <w:r>
        <w:fldChar w:fldCharType="separate"/>
      </w:r>
      <w:r>
        <w:rPr>
          <w:rStyle w:val="Hyperlink"/>
        </w:rPr>
        <w:t>36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"_Toc256000035" </w:instrText>
      </w:r>
      <w:r>
        <w:fldChar w:fldCharType="separate"/>
      </w:r>
      <w:r>
        <w:rPr>
          <w:rStyle w:val="Hyperlink"/>
          <w:rFonts w:ascii="宋体" w:hAnsi="宋体"/>
        </w:rPr>
        <w:t>八、基金份额折算与变更登记</w:t>
      </w:r>
      <w:r>
        <w:rPr>
          <w:rStyle w:val="Hyperlink"/>
        </w:rPr>
        <w:tab/>
      </w:r>
      <w:r>
        <w:fldChar w:fldCharType="begin"/>
      </w:r>
      <w:r>
        <w:rPr>
          <w:rStyle w:val="Hyperlink"/>
        </w:rPr>
        <w:instrText xml:space="preserve"> PAGEREF _Toc256000035 \h </w:instrText>
      </w:r>
      <w:r>
        <w:fldChar w:fldCharType="separate"/>
      </w:r>
      <w:r>
        <w:rPr>
          <w:rStyle w:val="Hyperlink"/>
        </w:rPr>
        <w:t>37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"_Toc256000036" </w:instrText>
      </w:r>
      <w:r>
        <w:fldChar w:fldCharType="separate"/>
      </w:r>
      <w:r>
        <w:rPr>
          <w:rStyle w:val="Hyperlink"/>
          <w:rFonts w:ascii="宋体" w:hAnsi="宋体"/>
        </w:rPr>
        <w:t>九、基金份额的上市交易</w:t>
      </w:r>
      <w:r>
        <w:rPr>
          <w:rStyle w:val="Hyperlink"/>
        </w:rPr>
        <w:tab/>
      </w:r>
      <w:r>
        <w:fldChar w:fldCharType="begin"/>
      </w:r>
      <w:r>
        <w:rPr>
          <w:rStyle w:val="Hyperlink"/>
        </w:rPr>
        <w:instrText xml:space="preserve"> PAGEREF _Toc256000036 \h </w:instrText>
      </w:r>
      <w:r>
        <w:fldChar w:fldCharType="separate"/>
      </w:r>
      <w:r>
        <w:rPr>
          <w:rStyle w:val="Hyperlink"/>
        </w:rPr>
        <w:t>39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"_Toc256000037" </w:instrText>
      </w:r>
      <w:r>
        <w:fldChar w:fldCharType="separate"/>
      </w:r>
      <w:r>
        <w:rPr>
          <w:rStyle w:val="Hyperlink"/>
          <w:rFonts w:ascii="宋体" w:hAnsi="宋体"/>
        </w:rPr>
        <w:t>十、基金份额的申购与赎回</w:t>
      </w:r>
      <w:r>
        <w:rPr>
          <w:rStyle w:val="Hyperlink"/>
        </w:rPr>
        <w:tab/>
      </w:r>
      <w:r>
        <w:fldChar w:fldCharType="begin"/>
      </w:r>
      <w:r>
        <w:rPr>
          <w:rStyle w:val="Hyperlink"/>
        </w:rPr>
        <w:instrText xml:space="preserve"> PAGEREF _Toc256000037 \h </w:instrText>
      </w:r>
      <w:r>
        <w:fldChar w:fldCharType="separate"/>
      </w:r>
      <w:r>
        <w:rPr>
          <w:rStyle w:val="Hyperlink"/>
        </w:rPr>
        <w:t>41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"_Toc256000038" </w:instrText>
      </w:r>
      <w:r>
        <w:fldChar w:fldCharType="separate"/>
      </w:r>
      <w:r>
        <w:rPr>
          <w:rStyle w:val="Hyperlink"/>
          <w:rFonts w:ascii="宋体" w:hAnsi="宋体"/>
        </w:rPr>
        <w:t>十一、基金的投资</w:t>
      </w:r>
      <w:r>
        <w:rPr>
          <w:rStyle w:val="Hyperlink"/>
        </w:rPr>
        <w:tab/>
      </w:r>
      <w:r>
        <w:fldChar w:fldCharType="begin"/>
      </w:r>
      <w:r>
        <w:rPr>
          <w:rStyle w:val="Hyperlink"/>
        </w:rPr>
        <w:instrText xml:space="preserve"> PAGEREF _Toc256000038 \h </w:instrText>
      </w:r>
      <w:r>
        <w:fldChar w:fldCharType="separate"/>
      </w:r>
      <w:r>
        <w:rPr>
          <w:rStyle w:val="Hyperlink"/>
        </w:rPr>
        <w:t>49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"_Toc256000039" </w:instrText>
      </w:r>
      <w:r>
        <w:fldChar w:fldCharType="separate"/>
      </w:r>
      <w:r>
        <w:rPr>
          <w:rStyle w:val="Hyperlink"/>
          <w:rFonts w:ascii="宋体" w:hAnsi="宋体"/>
        </w:rPr>
        <w:t>十二、基金的业绩</w:t>
      </w:r>
      <w:r>
        <w:rPr>
          <w:rStyle w:val="Hyperlink"/>
        </w:rPr>
        <w:tab/>
      </w:r>
      <w:r>
        <w:fldChar w:fldCharType="begin"/>
      </w:r>
      <w:r>
        <w:rPr>
          <w:rStyle w:val="Hyperlink"/>
        </w:rPr>
        <w:instrText xml:space="preserve"> PAGEREF _Toc256000039 \h </w:instrText>
      </w:r>
      <w:r>
        <w:fldChar w:fldCharType="separate"/>
      </w:r>
      <w:r>
        <w:rPr>
          <w:rStyle w:val="Hyperlink"/>
        </w:rPr>
        <w:t>62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"_Toc256000040" </w:instrText>
      </w:r>
      <w:r>
        <w:fldChar w:fldCharType="separate"/>
      </w:r>
      <w:r>
        <w:rPr>
          <w:rStyle w:val="Hyperlink"/>
          <w:rFonts w:ascii="宋体" w:hAnsi="宋体"/>
        </w:rPr>
        <w:t>十三、基金的财产</w:t>
      </w:r>
      <w:r>
        <w:rPr>
          <w:rStyle w:val="Hyperlink"/>
        </w:rPr>
        <w:tab/>
      </w:r>
      <w:r>
        <w:fldChar w:fldCharType="begin"/>
      </w:r>
      <w:r>
        <w:rPr>
          <w:rStyle w:val="Hyperlink"/>
        </w:rPr>
        <w:instrText xml:space="preserve"> PAGEREF _Toc256000040 \h </w:instrText>
      </w:r>
      <w:r>
        <w:fldChar w:fldCharType="separate"/>
      </w:r>
      <w:r>
        <w:rPr>
          <w:rStyle w:val="Hyperlink"/>
        </w:rPr>
        <w:t>64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"_Toc256000041" </w:instrText>
      </w:r>
      <w:r>
        <w:fldChar w:fldCharType="separate"/>
      </w:r>
      <w:r>
        <w:rPr>
          <w:rStyle w:val="Hyperlink"/>
          <w:rFonts w:ascii="宋体" w:hAnsi="宋体"/>
        </w:rPr>
        <w:t>十四、基金资产的估值</w:t>
      </w:r>
      <w:r>
        <w:rPr>
          <w:rStyle w:val="Hyperlink"/>
        </w:rPr>
        <w:tab/>
      </w:r>
      <w:r>
        <w:fldChar w:fldCharType="begin"/>
      </w:r>
      <w:r>
        <w:rPr>
          <w:rStyle w:val="Hyperlink"/>
        </w:rPr>
        <w:instrText xml:space="preserve"> PAGEREF _Toc256000041 \h </w:instrText>
      </w:r>
      <w:r>
        <w:fldChar w:fldCharType="separate"/>
      </w:r>
      <w:r>
        <w:rPr>
          <w:rStyle w:val="Hyperlink"/>
        </w:rPr>
        <w:t>65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"_Toc256000042" </w:instrText>
      </w:r>
      <w:r>
        <w:fldChar w:fldCharType="separate"/>
      </w:r>
      <w:r>
        <w:rPr>
          <w:rStyle w:val="Hyperlink"/>
          <w:rFonts w:ascii="宋体" w:hAnsi="宋体"/>
        </w:rPr>
        <w:t>十五、基金的收益与分配</w:t>
      </w:r>
      <w:r>
        <w:rPr>
          <w:rStyle w:val="Hyperlink"/>
        </w:rPr>
        <w:tab/>
      </w:r>
      <w:r>
        <w:fldChar w:fldCharType="begin"/>
      </w:r>
      <w:r>
        <w:rPr>
          <w:rStyle w:val="Hyperlink"/>
        </w:rPr>
        <w:instrText xml:space="preserve"> PAGEREF _Toc256000042 \h </w:instrText>
      </w:r>
      <w:r>
        <w:fldChar w:fldCharType="separate"/>
      </w:r>
      <w:r>
        <w:rPr>
          <w:rStyle w:val="Hyperlink"/>
        </w:rPr>
        <w:t>72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"_Toc256000043" </w:instrText>
      </w:r>
      <w:r>
        <w:fldChar w:fldCharType="separate"/>
      </w:r>
      <w:r>
        <w:rPr>
          <w:rStyle w:val="Hyperlink"/>
          <w:rFonts w:ascii="宋体" w:hAnsi="宋体"/>
        </w:rPr>
        <w:t>十六、基金的费用与税收</w:t>
      </w:r>
      <w:r>
        <w:rPr>
          <w:rStyle w:val="Hyperlink"/>
        </w:rPr>
        <w:tab/>
      </w:r>
      <w:r>
        <w:fldChar w:fldCharType="begin"/>
      </w:r>
      <w:r>
        <w:rPr>
          <w:rStyle w:val="Hyperlink"/>
        </w:rPr>
        <w:instrText xml:space="preserve"> PAGEREF _Toc256000043 \h </w:instrText>
      </w:r>
      <w:r>
        <w:fldChar w:fldCharType="separate"/>
      </w:r>
      <w:r>
        <w:rPr>
          <w:rStyle w:val="Hyperlink"/>
        </w:rPr>
        <w:t>74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"_Toc256000044" </w:instrText>
      </w:r>
      <w:r>
        <w:fldChar w:fldCharType="separate"/>
      </w:r>
      <w:r>
        <w:rPr>
          <w:rStyle w:val="Hyperlink"/>
          <w:rFonts w:ascii="宋体" w:hAnsi="宋体"/>
        </w:rPr>
        <w:t>十七、基金的会计与审计</w:t>
      </w:r>
      <w:r>
        <w:rPr>
          <w:rStyle w:val="Hyperlink"/>
        </w:rPr>
        <w:tab/>
      </w:r>
      <w:r>
        <w:fldChar w:fldCharType="begin"/>
      </w:r>
      <w:r>
        <w:rPr>
          <w:rStyle w:val="Hyperlink"/>
        </w:rPr>
        <w:instrText xml:space="preserve"> PAGEREF _Toc256000044 \h </w:instrText>
      </w:r>
      <w:r>
        <w:fldChar w:fldCharType="separate"/>
      </w:r>
      <w:r>
        <w:rPr>
          <w:rStyle w:val="Hyperlink"/>
        </w:rPr>
        <w:t>76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"_Toc256000045" </w:instrText>
      </w:r>
      <w:r>
        <w:fldChar w:fldCharType="separate"/>
      </w:r>
      <w:r>
        <w:rPr>
          <w:rStyle w:val="Hyperlink"/>
          <w:rFonts w:ascii="宋体" w:hAnsi="宋体"/>
        </w:rPr>
        <w:t>十八、基金的信息披露</w:t>
      </w:r>
      <w:r>
        <w:rPr>
          <w:rStyle w:val="Hyperlink"/>
        </w:rPr>
        <w:tab/>
      </w:r>
      <w:r>
        <w:fldChar w:fldCharType="begin"/>
      </w:r>
      <w:r>
        <w:rPr>
          <w:rStyle w:val="Hyperlink"/>
        </w:rPr>
        <w:instrText xml:space="preserve"> PAGEREF _Toc256000045 \h </w:instrText>
      </w:r>
      <w:r>
        <w:fldChar w:fldCharType="separate"/>
      </w:r>
      <w:r>
        <w:rPr>
          <w:rStyle w:val="Hyperlink"/>
        </w:rPr>
        <w:t>77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"_Toc256000046" </w:instrText>
      </w:r>
      <w:r>
        <w:fldChar w:fldCharType="separate"/>
      </w:r>
      <w:r>
        <w:rPr>
          <w:rStyle w:val="Hyperlink"/>
          <w:rFonts w:ascii="宋体" w:hAnsi="宋体"/>
        </w:rPr>
        <w:t>十九、风险揭示</w:t>
      </w:r>
      <w:r>
        <w:rPr>
          <w:rStyle w:val="Hyperlink"/>
        </w:rPr>
        <w:tab/>
      </w:r>
      <w:r>
        <w:fldChar w:fldCharType="begin"/>
      </w:r>
      <w:r>
        <w:rPr>
          <w:rStyle w:val="Hyperlink"/>
        </w:rPr>
        <w:instrText xml:space="preserve"> PAGEREF _Toc256000046 \h </w:instrText>
      </w:r>
      <w:r>
        <w:fldChar w:fldCharType="separate"/>
      </w:r>
      <w:r>
        <w:rPr>
          <w:rStyle w:val="Hyperlink"/>
        </w:rPr>
        <w:t>83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"_Toc256000047" </w:instrText>
      </w:r>
      <w:r>
        <w:fldChar w:fldCharType="separate"/>
      </w:r>
      <w:r>
        <w:rPr>
          <w:rStyle w:val="Hyperlink"/>
          <w:rFonts w:ascii="宋体" w:hAnsi="宋体"/>
        </w:rPr>
        <w:t>二十、基金合同的终止与基金财产的清算</w:t>
      </w:r>
      <w:r>
        <w:rPr>
          <w:rStyle w:val="Hyperlink"/>
        </w:rPr>
        <w:tab/>
      </w:r>
      <w:r>
        <w:fldChar w:fldCharType="begin"/>
      </w:r>
      <w:r>
        <w:rPr>
          <w:rStyle w:val="Hyperlink"/>
        </w:rPr>
        <w:instrText xml:space="preserve"> PAGEREF _Toc256000047 \h </w:instrText>
      </w:r>
      <w:r>
        <w:fldChar w:fldCharType="separate"/>
      </w:r>
      <w:r>
        <w:rPr>
          <w:rStyle w:val="Hyperlink"/>
        </w:rPr>
        <w:t>91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"_Toc256000048" </w:instrText>
      </w:r>
      <w:r>
        <w:fldChar w:fldCharType="separate"/>
      </w:r>
      <w:r>
        <w:rPr>
          <w:rStyle w:val="Hyperlink"/>
          <w:rFonts w:ascii="宋体" w:hAnsi="宋体"/>
        </w:rPr>
        <w:t>二十一、基金合同内容摘要</w:t>
      </w:r>
      <w:r>
        <w:rPr>
          <w:rStyle w:val="Hyperlink"/>
        </w:rPr>
        <w:tab/>
      </w:r>
      <w:r>
        <w:fldChar w:fldCharType="begin"/>
      </w:r>
      <w:r>
        <w:rPr>
          <w:rStyle w:val="Hyperlink"/>
        </w:rPr>
        <w:instrText xml:space="preserve"> PAGEREF _Toc256000048 \h </w:instrText>
      </w:r>
      <w:r>
        <w:fldChar w:fldCharType="separate"/>
      </w:r>
      <w:r>
        <w:rPr>
          <w:rStyle w:val="Hyperlink"/>
        </w:rPr>
        <w:t>93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"_Toc256000049" </w:instrText>
      </w:r>
      <w:r>
        <w:fldChar w:fldCharType="separate"/>
      </w:r>
      <w:r>
        <w:rPr>
          <w:rStyle w:val="Hyperlink"/>
          <w:rFonts w:ascii="宋体" w:hAnsi="宋体"/>
        </w:rPr>
        <w:t>二十二、托管协议的内容摘要</w:t>
      </w:r>
      <w:r>
        <w:rPr>
          <w:rStyle w:val="Hyperlink"/>
        </w:rPr>
        <w:tab/>
      </w:r>
      <w:r>
        <w:fldChar w:fldCharType="begin"/>
      </w:r>
      <w:r>
        <w:rPr>
          <w:rStyle w:val="Hyperlink"/>
        </w:rPr>
        <w:instrText xml:space="preserve"> PAGEREF _Toc256000049 \h </w:instrText>
      </w:r>
      <w:r>
        <w:fldChar w:fldCharType="separate"/>
      </w:r>
      <w:r>
        <w:rPr>
          <w:rStyle w:val="Hyperlink"/>
        </w:rPr>
        <w:t>109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"_Toc256000050" </w:instrText>
      </w:r>
      <w:r>
        <w:fldChar w:fldCharType="separate"/>
      </w:r>
      <w:r>
        <w:rPr>
          <w:rStyle w:val="Hyperlink"/>
          <w:rFonts w:ascii="宋体" w:hAnsi="宋体"/>
        </w:rPr>
        <w:t>二十三、对基金份额持有人的服务</w:t>
      </w:r>
      <w:r>
        <w:rPr>
          <w:rStyle w:val="Hyperlink"/>
        </w:rPr>
        <w:tab/>
      </w:r>
      <w:r>
        <w:fldChar w:fldCharType="begin"/>
      </w:r>
      <w:r>
        <w:rPr>
          <w:rStyle w:val="Hyperlink"/>
        </w:rPr>
        <w:instrText xml:space="preserve"> PAGEREF _Toc256000050 \h </w:instrText>
      </w:r>
      <w:r>
        <w:fldChar w:fldCharType="separate"/>
      </w:r>
      <w:r>
        <w:rPr>
          <w:rStyle w:val="Hyperlink"/>
        </w:rPr>
        <w:t>124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"_Toc256000051" </w:instrText>
      </w:r>
      <w:r>
        <w:fldChar w:fldCharType="separate"/>
      </w:r>
      <w:r>
        <w:rPr>
          <w:rStyle w:val="Hyperlink"/>
          <w:rFonts w:ascii="宋体" w:hAnsi="宋体"/>
        </w:rPr>
        <w:t>二十四、其他应披露事项</w:t>
      </w:r>
      <w:r>
        <w:rPr>
          <w:rStyle w:val="Hyperlink"/>
        </w:rPr>
        <w:tab/>
      </w:r>
      <w:r>
        <w:fldChar w:fldCharType="begin"/>
      </w:r>
      <w:r>
        <w:rPr>
          <w:rStyle w:val="Hyperlink"/>
        </w:rPr>
        <w:instrText xml:space="preserve"> PAGEREF _Toc256000051 \h </w:instrText>
      </w:r>
      <w:r>
        <w:fldChar w:fldCharType="separate"/>
      </w:r>
      <w:r>
        <w:rPr>
          <w:rStyle w:val="Hyperlink"/>
        </w:rPr>
        <w:t>125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"_Toc256000052" </w:instrText>
      </w:r>
      <w:r>
        <w:fldChar w:fldCharType="separate"/>
      </w:r>
      <w:r>
        <w:rPr>
          <w:rStyle w:val="Hyperlink"/>
          <w:rFonts w:ascii="宋体" w:hAnsi="宋体"/>
        </w:rPr>
        <w:t>二十五、招募说明书的存放及查阅方式</w:t>
      </w:r>
      <w:r>
        <w:rPr>
          <w:rStyle w:val="Hyperlink"/>
        </w:rPr>
        <w:tab/>
      </w:r>
      <w:r>
        <w:fldChar w:fldCharType="begin"/>
      </w:r>
      <w:r>
        <w:rPr>
          <w:rStyle w:val="Hyperlink"/>
        </w:rPr>
        <w:instrText xml:space="preserve"> PAGEREF _Toc256000052 \h </w:instrText>
      </w:r>
      <w:r>
        <w:fldChar w:fldCharType="separate"/>
      </w:r>
      <w:r>
        <w:rPr>
          <w:rStyle w:val="Hyperlink"/>
        </w:rPr>
        <w:t>127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"_Toc256000053" </w:instrText>
      </w:r>
      <w:r>
        <w:fldChar w:fldCharType="separate"/>
      </w:r>
      <w:r>
        <w:rPr>
          <w:rStyle w:val="Hyperlink"/>
          <w:rFonts w:ascii="宋体" w:hAnsi="宋体"/>
        </w:rPr>
        <w:t>二十六、备查文件</w:t>
      </w:r>
      <w:r>
        <w:rPr>
          <w:rStyle w:val="Hyperlink"/>
        </w:rPr>
        <w:tab/>
      </w:r>
      <w:r>
        <w:fldChar w:fldCharType="begin"/>
      </w:r>
      <w:r>
        <w:rPr>
          <w:rStyle w:val="Hyperlink"/>
        </w:rPr>
        <w:instrText xml:space="preserve"> PAGEREF _Toc256000053 \h </w:instrText>
      </w:r>
      <w:r>
        <w:fldChar w:fldCharType="separate"/>
      </w:r>
      <w:r>
        <w:rPr>
          <w:rStyle w:val="Hyperlink"/>
        </w:rPr>
        <w:t>128</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firstLine="480" w:rightChars="6"/>
        <w:rPr>
          <w:rFonts w:ascii="宋体" w:hAnsi="宋体"/>
          <w:kern w:val="0"/>
          <w:szCs w:val="24"/>
        </w:rPr>
        <w:sectPr>
          <w:footerReference w:type="default" r:id="rId13"/>
          <w:pgSz w:w="11920" w:h="16840"/>
          <w:pgMar w:top="1360" w:right="1580" w:bottom="280" w:left="1680" w:header="0" w:footer="1186" w:gutter="0"/>
          <w:cols w:num="1" w:space="720"/>
        </w:sectPr>
      </w:pPr>
    </w:p>
    <w:p>
      <w:pPr>
        <w:pStyle w:val="Heading1"/>
        <w:snapToGrid w:val="0"/>
        <w:spacing w:before="240" w:beforeLines="0" w:after="0"/>
        <w:rPr>
          <w:rFonts w:ascii="宋体" w:hAnsi="宋体"/>
          <w:szCs w:val="30"/>
        </w:rPr>
      </w:pPr>
      <w:bookmarkStart w:id="4" w:name="_Toc256000001"/>
      <w:bookmarkStart w:id="5" w:name="_Toc256000028"/>
      <w:r>
        <w:rPr>
          <w:rFonts w:ascii="宋体" w:hAnsi="宋体"/>
          <w:sz w:val="30"/>
        </w:rPr>
        <w:t>一、绪言</w:t>
      </w:r>
      <w:bookmarkEnd w:id="5"/>
      <w:bookmarkEnd w:id="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证180公司治理交易型开放式指数证券投资基金招募说明书》（以下简称“本招募说明书”或“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公开募集证券投资基金运作指引第3号——指数基金指引》（以下简称“《指数基金指引》”）和其他相关法律法规的规定以及《上证180公司治理交易型开放式指数证券投资基金基金合同》（以下简称“基金合同”）编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pPr>
        <w:pStyle w:val="Heading1"/>
        <w:snapToGrid w:val="0"/>
        <w:spacing w:before="240" w:beforeLines="0" w:after="0"/>
        <w:rPr>
          <w:rFonts w:ascii="宋体" w:hAnsi="宋体"/>
          <w:szCs w:val="30"/>
        </w:rPr>
      </w:pPr>
      <w:r>
        <w:br w:type="page"/>
      </w:r>
      <w:bookmarkStart w:id="6" w:name="_Toc256000002"/>
      <w:bookmarkStart w:id="7" w:name="_Toc256000029"/>
      <w:r>
        <w:rPr>
          <w:rFonts w:ascii="宋体" w:hAnsi="宋体"/>
          <w:sz w:val="30"/>
        </w:rPr>
        <w:t>二、释义</w:t>
      </w:r>
      <w:bookmarkEnd w:id="7"/>
      <w:bookmarkEnd w:id="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在本招募说明书中，除非文意另有所指，下列词语或简称具有如下含义：</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基金或本基金</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指上证180公司治理交易型开放式指数证券投资基金</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基金管理人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指交银施罗德基金管理有限公司</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基金托管人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指中国农业银行股份有限公司（以下简称“中国农业银行）</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基金合同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指《上证180公司治理交易型开放式指数证券投资基金基金合同》及对基金合同的任何有效修订和补充</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托管协议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指《上证180公司治理交易型开放式指数证券投资基金托管协议》及对该托管协议的任何有效修订和补充</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招募说明书</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指《上证180公司治理交易型开放式指数证券投资基金招募说明书》，及其更新</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基金份额发售公告</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指《上证180公司治理交易型开放式指数证券投资基金份额发售公告》</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基金产品资料概要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指《上证180公司治理交易型开放式指数证券投资基金基金产品资料概要》及其更新</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法律法规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指中国现行有效并公布实施的法律、行政法规、司法解释、部门规章、地方性法规、地方政府规章和其他对基金合同当事人有约束力的规范性文件及对该等法律法规不时作出的修订</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《证券法》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指2005年10月27日经第十届全国人民代表大会常务委员会第十八次会议通过，自2006年1月1日实施的《中华人民共和国证券法》及颁布机关对其不时做出的修订</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指2003年10月28日经第十届全国人民代表大会常务委员会第五次会议通过，自2004年6月1日起实施的《中华人民共和国证券投资基金法》及颁布机关对其不时作出的修订</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《销售办法》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指中国证监会2011年6月9日颁布、同年10月1日实施的《证券投资基金销售管理办法》及对其不时作出的修订</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《信息披露办法》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指中国证监会2019年7月26日颁布、同年9月1日实施的《公开募集证券投资基金信息披露管理办法》及对其不时作出的修订</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《运作办法》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指中国证监会2004年6月29日颁布、同年7月1日实施的《证券投资基金运作管理办法》及对其不时作出的修订</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《流动性规定》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指中国证监会2017年8月31日颁布、同年10月1日实施的《公开募集开放式证券投资基金流动性风险管理规定》及颁布机关对其不时做出的修订</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《指数基金指引》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指中国证监会2021年1月22日颁布、同年2月1日实施的《公开募集证券投资基金运作指引第3号——指数基金指引》及颁布机关对其不时做出的修订</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指中华人民共和国，就基金合同及招募说明书而言，不包括香港特别行政区、澳门特别行政区和台湾地区</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中国证监会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指中国证券监督管理委员会</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中国银监会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指中国银行业监督管理委员会</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基金合同当事人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指受基金合同约束，根据基金合同享有权利并承担义务的法律主体，包括基金管理人、基金托管人和基金份额持有人</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个人投资者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指符合法律法规规定的条件可以投资证券投资基金的自然人</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机构投资者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指符合法律法规规定可以投资证券投资基金的在中国境内注册登记或经政府有关部门批准设立的机构</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合格境外机构投资者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指符合《合格境外机构投资者境内证券投资管理办法》及其他相关法律法规的可投资于中国境内证券的中国境外的机构投资者</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基金投资者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指个人投资者、机构投资者和合格境外机构投资者的合称</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基金份额持有人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指依据基金合同和招募说明书合法取得基金份额的基金投资者</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上交所《业务细则》</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指《上海证券交易所交易型开放式指数基金业务实施细则》</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交易型开放式指数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指《上海证券交易所交易型开放式指数基金业务实施证券投资基金细则》定义的“交易型开放式指数基金”</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联接基金</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指将绝大多数基金财产投资于本基金,与本基金的投资目标类似，紧密跟踪标的指数表现, 追求跟踪偏离度和跟踪误差最小化, 采用开放式运作的基金</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发售代理机构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指符合《销售办法》和中国证监会规定的其他条件，由基金管理人指定的代理本基金发售业务的机构</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发售协调人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指基金管理人指定的协调本基金发售等工作的代理机构</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申购赎回代理券商</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指符合《销售办法》和中国证监会规定的其他条件，由基金管理人指定的办理本基金申购、赎回业务的证券公司，又称为代办证券公司</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代销机构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指发售代理机构和/或申购赎回代理券商</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直销机构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指交银施罗德基金管理有限公司</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销售机构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指直销机构和/或代销机构</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基金销售网点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指直销机构的直销中心和/或代销机构的代销网点</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注册登记业务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指《中国证券登记结算有限责任公司交易型开放式指数基金登记结算业务实施细则》定义基金登记、存管、过户、清算和结算业务</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注册登记机构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指中国证券登记结算有限责任公司</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基金账户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指注册登记机构为基金投资者开立的、记录其持有的、基金管理人所管理的基金份额余额及其变动情况的账户</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基金合同生效日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指基金募集期结束后达到法律法规规定及基金合同约定的备案条件，基金管理人聘请法定机构验资并向中国证监会办理基金备案手续完毕，并收到其书面确认的日期</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基金募集期</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指自基金份额发售之日起至发售结束之日止的期间，最长不得超过3个月</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存续期</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指基金合同生效至终止之间的不定期期限</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工作日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指上海证券交易所的正常交易日</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指公历日</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指公历月</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T日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指销售机构在规定时间受理基金投资者有效申请工作日</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T+n日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指自T日起第n个工作日(不包含T日)</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开放日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指为基金投资者办理基金份额申购、赎回或其他业务的工作日</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认购</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指在基金募集期内，基金投资者申请购买本基金基金份额的行为</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申购</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指在基金存续期内，基金投资者向基金管理人申请购买本基金基金份额的行为，申购将导致本基金份额总数的增加</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赎回</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指在基金存续期内，基金份额持有人按基金合同规定的条件，向基金管理人要求卖回本基金基金份额的行为，赎回将导致本基金份额总数的减少</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申购赎回清单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指由基金管理人编制的用以公告申购对价、赎回对价等信息的文件</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申购对价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指投资者申购基金份额时，按基金合同和招募说明书规定应交付的组合证券、现金替代、现金差额及其他对价</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赎回对价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指投资者赎回基金份额时，基金管理人按基金合同和招募说明书规定应交付给赎回人的组合证券、现金替代、现金差额及其他对价</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标的指数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指上海证券交易所编制并发布的上证180公司治理指数及其未来可能发生的变更</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完全复制法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指一种构建跟踪指数的投资组合的方法。通过购买标的指数中的所有成份证券，并且按照每种成份证券在标的指数中的权重确定购买的比例，以达到复制指数的目的</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最小申购赎回单位</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指本基金申购份额、赎回份额的最低数量，投资者申购或赎回的基金份额应为最小申购赎回单位的整数倍</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现金替代</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指申购或赎回过程中，投资者按基金合同和招募说明书的规定，用于替代组合证券中部分证券的一定数量的现金</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现金差额</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最小申购赎回单位的资产净值与按当日收盘价计算的最小申购赎回单位中的组合证券市值和现金替代之差；投资者申购或赎回时应支付或应获得的现金差额根据最小申购赎回单位对应的现金差额、申购或赎回的基金份额数计算</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预估现金部分</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指为便于计算基金份额参考净值及申购赎回代理券商预先冻结申请申购或赎回的投资者的相应资金，由基金管理人计算并公布的现金数额</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指定交易</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指《上海证券交易所全面指定交易制度试行办法》中定义的“全面指定交易”</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基金份额参考净值</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指在交易时间内，申购赎回清单中的组合证券（含预估现金部分）实时市值，简称IOPV</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指人民币元</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基金利润</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指基金投资所得红利、股息、债券利息、买卖证券价差、银行存款利息、已实现的其他合法收入及因运用基金财产带来的成本和费用的节约</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收益评价日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指基金管理人计算本基金净值增长率与标的指数增长率差额之日</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基金净值增长率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指收益评价日基金份额净值与基金上市前一日基金份额净值之比减去1乘以100%（期间如发生基金份额折算，则以基金份额折算日为初始日重新计算）</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标的指数同期增长率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指收益评价日标的指数收盘值与基金上市前一日标的指数收盘值之比减去1乘以100%（期间如发生基金份额折算，则以基金份额折算日为初始日重新计算）</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基金资产总值</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指基金拥有的各类有价证券、银行存款本息、基金应收申购款及其他资产的价值总和</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基金资产净值</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指基金资产总值减去基金负债后的价值</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基金份额净值</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指计算日基金资产净值除以计算日基金份额总数的数值</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基金资产估值</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指计算评估基金资产和负债的价值，以确定基金资产净值和基金份额净值的过程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流动性受限资产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指定媒介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指中国证监会指定的用以进行信息披露的全国性报刊及指定互联网网站（包括基金管理人网站、基金托管人网站、中国证监会基金电子披露网站）等媒介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不可抗力</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指基金合同当事人不能预见、不能避免且不能克服，且在基金合同签署之日后发生的，使基金合同当事人无法全部或部分履行基金合同的任何事件，包括但不限于洪水、地震及其他自然灾害、战争、骚乱、火灾、政府征用、没收、法律法规变化、突发停电或其他突发事件、证券交易所非正常暂停或停止交易</w:t>
            </w:r>
          </w:p>
        </w:tc>
      </w:tr>
    </w:tbl>
    <w:p>
      <w:pPr>
        <w:pStyle w:val="Heading1"/>
        <w:snapToGrid w:val="0"/>
        <w:spacing w:before="240" w:beforeLines="0" w:after="0"/>
        <w:rPr>
          <w:rFonts w:ascii="宋体" w:hAnsi="宋体"/>
          <w:szCs w:val="30"/>
        </w:rPr>
      </w:pPr>
      <w:r>
        <w:br w:type="page"/>
      </w:r>
      <w:bookmarkStart w:id="8" w:name="_Toc256000003"/>
      <w:bookmarkStart w:id="9" w:name="_Toc256000030"/>
      <w:r>
        <w:rPr>
          <w:rFonts w:ascii="宋体" w:hAnsi="宋体"/>
          <w:sz w:val="30"/>
        </w:rPr>
        <w:t>三、基金管理人</w:t>
      </w:r>
      <w:bookmarkEnd w:id="9"/>
      <w:bookmarkEnd w:id="8"/>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w:t>
      </w:r>
      <w:r w:rsidRPr="00BB248E">
        <w:rPr>
          <w:rFonts w:ascii="宋体" w:hAnsi="宋体" w:hint="eastAsia"/>
          <w:kern w:val="0"/>
          <w:sz w:val="24"/>
        </w:rPr>
        <w:t>(</w:t>
      </w:r>
      <w:r w:rsidRPr="00BB248E">
        <w:rPr>
          <w:rFonts w:ascii="宋体" w:hAnsi="宋体" w:hint="eastAsia"/>
          <w:kern w:val="0"/>
          <w:sz w:val="24"/>
        </w:rPr>
        <w:t>上海</w:t>
      </w:r>
      <w:r w:rsidRPr="00BB248E">
        <w:rPr>
          <w:rFonts w:ascii="宋体" w:hAnsi="宋体" w:hint="eastAsia"/>
          <w:kern w:val="0"/>
          <w:sz w:val="24"/>
        </w:rPr>
        <w:t>)</w:t>
      </w:r>
      <w:r w:rsidRPr="00BB248E">
        <w:rPr>
          <w:rFonts w:ascii="宋体" w:hAnsi="宋体" w:hint="eastAsia"/>
          <w:kern w:val="0"/>
          <w:sz w:val="24"/>
        </w:rPr>
        <w:t>自由贸易试验区银城中路</w:t>
      </w:r>
      <w:r w:rsidRPr="00BB248E">
        <w:rPr>
          <w:rFonts w:ascii="宋体" w:hAnsi="宋体" w:hint="eastAsia"/>
          <w:kern w:val="0"/>
          <w:sz w:val="24"/>
        </w:rPr>
        <w:t>188</w:t>
      </w:r>
      <w:r w:rsidRPr="00BB248E">
        <w:rPr>
          <w:rFonts w:ascii="宋体" w:hAnsi="宋体" w:hint="eastAsia"/>
          <w:kern w:val="0"/>
          <w:sz w:val="24"/>
        </w:rPr>
        <w:t>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w:t>
      </w:r>
      <w:r w:rsidRPr="00BB248E">
        <w:rPr>
          <w:rFonts w:ascii="宋体" w:hAnsi="宋体" w:hint="eastAsia"/>
          <w:kern w:val="0"/>
          <w:sz w:val="24"/>
        </w:rPr>
        <w:t>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w:t>
      </w:r>
      <w:r w:rsidRPr="00BB248E">
        <w:rPr>
          <w:rFonts w:ascii="宋体" w:hAnsi="宋体" w:hint="eastAsia"/>
          <w:kern w:val="0"/>
          <w:sz w:val="24"/>
        </w:rPr>
        <w:t>2005</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4</w:t>
      </w:r>
      <w:r w:rsidRPr="00BB248E">
        <w:rPr>
          <w:rFonts w:ascii="宋体" w:hAnsi="宋体" w:hint="eastAsia"/>
          <w:kern w:val="0"/>
          <w:sz w:val="24"/>
        </w:rPr>
        <w: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w:t>
      </w:r>
      <w:r w:rsidRPr="00BB248E">
        <w:rPr>
          <w:rFonts w:ascii="宋体" w:hAnsi="宋体" w:hint="eastAsia"/>
          <w:kern w:val="0"/>
          <w:sz w:val="24"/>
        </w:rPr>
        <w:t>2</w:t>
      </w:r>
      <w:r w:rsidRPr="00BB248E">
        <w:rPr>
          <w:rFonts w:ascii="宋体" w:hAnsi="宋体" w:hint="eastAsia"/>
          <w:kern w:val="0"/>
          <w:sz w:val="24"/>
        </w:rPr>
        <w:t>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联系人：何佳妮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交银施罗德基金管理有限公司（以下简称“公司”）经中国证监会证监基金字</w:t>
      </w:r>
      <w:r w:rsidRPr="00BB248E">
        <w:rPr>
          <w:rFonts w:ascii="宋体" w:hAnsi="宋体" w:hint="eastAsia"/>
          <w:kern w:val="0"/>
          <w:sz w:val="24"/>
        </w:rPr>
        <w:t>[2005]128</w:t>
      </w:r>
      <w:r w:rsidRPr="00BB248E">
        <w:rPr>
          <w:rFonts w:ascii="宋体" w:hAnsi="宋体" w:hint="eastAsia"/>
          <w:kern w:val="0"/>
          <w:sz w:val="24"/>
        </w:rPr>
        <w:t>号文批准设立。公司股权结构如下：</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r w:rsidRPr="00BB248E">
        <w:rPr>
          <w:rFonts w:ascii="宋体" w:hAnsi="宋体" w:hint="eastAsia"/>
          <w:kern w:val="0"/>
          <w:sz w:val="24"/>
        </w:rPr>
        <w:t xml:space="preserve">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袁庆伟女士，总经理。简历同上。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邵文婷女士:多资产研究部副总监、基金经理。英国诺丁汉大学金融与投资硕士、西南财经大学数学与经济学双学士。10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中证A500指数增强型发起式证券投资基金（2026年02月10日至今）、交银施罗德中证智选沪深港科技50交易型开放式指数证券投资基金（2025年12月10日至今）、交银施罗德中证港股通央企红利指数型证券投资基金（2025年10月28日至今）、交银施罗德恒生港股通创新药精选指数型证券投资基金（2025年08月20日至今）、交银施罗德中证A50指数型证券投资基金（2025年04月02日至今）、交银施罗德上证科创板100指数型证券投资基金（2025年02月26日至今）、交银施罗德中证A500指数型证券投资基金（2025年01月22日至今）、交银施罗德中证红利低波动100指数型证券投资基金（2024年03月15日至今）、上证180公司治理交易型开放式指数证券投资基金（2021年04月30日至今）、交银施罗德上证180公司治理交易型开放式指数证券投资基金联接基金（2021年04月30日至今）、深证300价值交易型开放式指数证券投资基金（2021年04月30日至今）、交银施罗德深证300价值交易型开放式指数证券投资基金联接基金（2021年04月30日至今）、交银施罗德国证新能源指数证券投资基金（LOF）（2021年04月30日至今）、交银施罗德创业板50指数型证券投资基金（2021年04月30日至今）、交银施罗德中证海外中国互联网指数型证券投资基金(LOF)（2021年04月30日至今）、交银施罗德中证环境治理指数型证券投资基金(LOF)（2021年04月30日至今）的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蔡铮先生:基金经理。复旦大学电子工程硕士，17年证券投资行业从业经验。2007年起在瑞士银行香港分行工作。2009年加入交银施罗德基金管理有限公司，曾任投资研究部数量分析师、基金经理助理、量化投资部助理总经理、量化投资部副总经理、多元资产管理副总监，现任量化投资部量化投资副总监、基金经理。曾任交银施罗德养老目标日期2035三年持有期混合型基金中基金（FOF）（2021年04月30日至2025年01月22日）、交银施罗德安享稳健养老目标一年持有期混合型基金中基金（FOF）（2021年04月30日至2025年01月22日）、交银施罗德深证300价值交易型开放式指数证券投资基金联接基金（2012年12月27日至2021年04月30日）、交银施罗德上证180公司治理交易型开放式指数证券投资基金联接基金（2012年12月27日至2021年04月30日）、深证300价值交易型开放式指数证券投资基金（2012年12月27日至2021年04月30日）、上证180公司治理交易型开放式指数证券投资基金（2012年12月27日至2021年04月30日）、交银施罗德国证新能源指数证券投资基金（LOF）（2015年03月26日至2021年04月30日）、交银施罗德中证海外中国互联网指数型证券投资基金(LOF)（2015年05月27日至2021年04月30日）、交银施罗德中证环境治理指数型证券投资基金(LOF)（2016年07月19日至2021年04月30日）、交银施罗德创业板50指数型证券投资基金（2019年11月20日至2021年04月30日）、交银施罗德中证互联网金融指数分级证券投资基金（2015年06月26日至2020年11月25日）、交银施罗德致远量化智投策略定期开放混合型证券投资基金（2018年05月18日至2020年07月17日）、交银施罗德环球精选价值证券投资基金（2015年04月22日至2017年03月25日）、交银施罗德全球自然资源证券投资基金（2015年04月22日至2017年03月24日）、交银施罗德中证环境治理指数分级证券投资基金（2015年08月13日至2016年07月18日）、交银施罗德沪深300行业分层等权重指数证券投资基金（2012年12月27日至2015年06月30日）、交银施罗德消费新驱动股票型证券投资基金（2012年12月27日至2015年06月30日）的基金经理。现任交银施罗德红利量化选股混合型证券投资基金（2026年06月09日至今）、交银施罗德智远量化选股股票型发起式证券投资基金（2026年05月08日至今）、交银施罗德环球精选价值证券投资基金（2026年01月22日至今）、交银施罗德中证智选沪深港科技50交易型开放式指数证券投资基金（2025年12月10日至今）、交银施罗德中证海外中国互联网指数型证券投资基金(LOF)（2025年02月27日至今）、上证180公司治理交易型开放式指数证券投资基金（2025年02月27日至今）、交银施罗德上证180公司治理交易型开放式指数证券投资基金联接基金（2025年02月27日至今）、交银施罗德中证红利低波动100指数型证券投资基金（2025年02月27日至今）、交银施罗德创业板50指数型证券投资基金（2025年02月27日至今）的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本基金历任基金经理：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屈乐伟先生（2009年09月25日至2013年03月29日）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蔡铮先生（2012年12月27日至2021年04月30日）</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委员：马俊（副总经理）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迟鑫（权益部总经理兼任跨境投资部总经理）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王崇（权益投资副总监、权益部一级专家、基金经理）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于海颖（混合资产投资总监、基金经理）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黄莹洁（固定收益（公募）投资助理总监、基金经理）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樊继拓（多资产研究部副总经理）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上述人员之间不存在近亲属关系。</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1、依法募集基金，办理或者委托经中国证监会认定的其他机构代为办理基金份额的发售、申购、赎回和登记事宜；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3、对所管理的不同基金财产分别管理、分别记账，进行证券投资；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7、计算并公告基金净值信息，确定基金份额申购、赎回对价；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8、办理与基金财产管理业务活动有关的信息披露事项；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10、保存基金财产管理业务活动的记录、账册、报表和其他相关资料；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12、有关法律法规和中国证监会规定的其他职责。</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1、基金管理人承诺不从事违反《证券法》的行为，并承诺建立健全内部控制制度，采取有效措施，防止违反《证券法》行为的发生；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（1）将基金管理人固有财产或者他人财产混同于基金财产从事证券投资；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（2）不公平地对待管理的不同基金财产；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（3）利用基金财产为基金份额持有人以外的第三人牟取利益；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（4）向基金份额持有人违规承诺收益或者承担损失；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（5）依照法律法规有关规定，由中国证监会规定禁止的其他行为。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5、基金管理人承诺不从事其他法规规定禁止从事的行为。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2、不利用职务之便为自己、受雇人或任何第三者谋取利益；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3、不泄露在任职期间知悉的有关证券、基金的商业秘密，尚未依法公开的基金投资内容、基金投资计划等信息；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4、不以任何形式为其他组织或个人进行证券交易。</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（1）健全性原则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（2）有效性原则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通过科学的内控手段和方法，建立合理的内控程序，维护内控制度的有效执行。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（3）独立性原则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（4）相互制约原则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公司内部部门和岗位的设置应当体现权责分明、相互制衡。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（5）成本效益原则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2、风险管理和内部风险控制体系结构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（1）董事会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（2）合规风险及审计委员会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（3）风险控制委员会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（4）督察长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（5）风险管理部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（6）审计部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（7）内控合规及法律事务部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（8）业务部门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3、风险管理和内部风险控制的措施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（1）建立内控体系，完善内控制度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（2）建立相互分离、相互制衡的内控机制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（3）建立、健全岗位责任制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（4）建立风险分类、识别、评估、报告、提示程序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（5）建立有效的内部监控系统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（6）使用数量化的风险管理手段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（7）提供足够的培训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制定了完整的培训计划，为所有员工提供足够和适当的培训，使员工明确其职责所在，控制风险。</w:t>
      </w:r>
    </w:p>
    <w:p>
      <w:pPr>
        <w:pStyle w:val="Heading1"/>
        <w:snapToGrid w:val="0"/>
        <w:spacing w:before="240" w:beforeLines="0" w:after="0"/>
        <w:rPr>
          <w:rFonts w:ascii="宋体" w:hAnsi="宋体"/>
          <w:szCs w:val="30"/>
        </w:rPr>
      </w:pPr>
      <w:r>
        <w:br w:type="page"/>
      </w:r>
      <w:bookmarkStart w:id="10" w:name="_Toc256000004"/>
      <w:bookmarkStart w:id="11" w:name="_Toc256000031"/>
      <w:r>
        <w:rPr>
          <w:rFonts w:ascii="宋体" w:hAnsi="宋体"/>
          <w:sz w:val="30"/>
        </w:rPr>
        <w:t>四、基金托管人</w:t>
      </w:r>
      <w:bookmarkEnd w:id="11"/>
      <w:bookmarkEnd w:id="1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（一）基金托管人情况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1、基本情况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名称：中国农业银行股份有限公司（简称中国农业银行）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住所：北京市东城区建国门内大街69号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办公地址：北京市西城区复兴门内大街28号凯晨世贸中心东座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法定代表人：谷澍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成立日期：2009年1月15日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批准设立机关和批准设立文号：中国银监会银监复[2009]13号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基金托管资格批文及文号：中国证监会证监基字[1998]23号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注册资本：34,998,303.4万元人民币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联系电话：010-66060069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传真：010-68121816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联系人：任航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2023年第五次荣获《环球金融》杂志中国地区“最佳次托管银行”大奖；2024年荣获《中国基金报》英华奖“优秀ETF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2、主要人员情况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3、基金托管业务经营情况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截止到2026年6月30日，中国农业银行托管的封闭式证券投资基金和开放式证券投资基金共1052只。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（二）基金托管人的内部风险控制制度说明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2、内部控制组织结构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3、内部控制制度及措施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（三）基金托管人对基金管理人运作基金进行监督的方法和程序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当基金出现异常交易行为时，基金托管人应当针对不同情况进行以下方式的处理：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1、电话提示。对媒体和舆论反映集中的问题，电话提示基金管理人；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2、书面警示。对本基金投资比例接近超标、资金头寸不足等问题，以书面方式对基金管理人进行提示；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3、书面报告。对投资比例超标、清算资金透支以及其他涉嫌违规交易等行为，书面提示有关基金管理人并报中国证监会。</w:t>
      </w:r>
    </w:p>
    <w:p>
      <w:pPr>
        <w:pStyle w:val="Heading1"/>
        <w:snapToGrid w:val="0"/>
        <w:spacing w:before="240" w:beforeLines="0" w:after="0"/>
        <w:rPr>
          <w:rFonts w:ascii="宋体" w:hAnsi="宋体"/>
          <w:szCs w:val="30"/>
        </w:rPr>
      </w:pPr>
      <w:r>
        <w:br w:type="page"/>
      </w:r>
      <w:bookmarkStart w:id="12" w:name="_Toc256000005"/>
      <w:bookmarkStart w:id="13" w:name="_Toc256000032"/>
      <w:r>
        <w:rPr>
          <w:rFonts w:ascii="宋体" w:hAnsi="宋体"/>
          <w:sz w:val="30"/>
        </w:rPr>
        <w:t>五、相关服务机构</w:t>
      </w:r>
      <w:bookmarkEnd w:id="13"/>
      <w:bookmarkEnd w:id="1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1、申购赎回代理券商（简称“一级交易商”）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（1）名称：光大证券股份有限公司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住所：上海市静安区新闸路1508号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办公地址：上海市静安区新闸路1508号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法定代表人：薛峰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电话：（021）22169999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传真：（021）22169134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10108998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网址：www.ebscn.com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（2）名称：国泰海通证券股份有限公司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注册地址：中国（上海）自由贸易试验区商城路618号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办公地址：上海市静安区南京西路768号国泰君安大厦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联系电话：021-38676666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传真：021-38670666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联系人：邵亚杰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服务热线 : 95521 / 4008888666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网址：www.gtht.com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（3）名称：中信建投证券股份有限公司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住所：北京市朝阳区安立路66号4号楼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办公地址：北京市朝阳门内大街188号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电话：（010）56135784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网址：www.csc108.com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（4）名称：广发证券股份有限公司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住所：广州市黄埔区中新广州知识城腾飞一街2号618室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办公地址：广州市天河区马场路26号广发证券大厦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法定代表人：林传辉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电话：（020）66338888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传真：（020）87553600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联系人：任嘉鹏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客户服务电话：95575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网址：www.gf.com.cn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（5）名称：中国银河证券股份有限公司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住所：北京市西城区金融大街35号国际企业大厦C座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办公地址：北京市西城区金融大街35号国际企业大厦C座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法定代表人：陈共炎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电话：010-83574507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联系人：辛国政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网址：www.chinastock.com.cn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（6）名称：招商证券股份有限公司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住所：深圳市福田区福田街道福华一路111号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办公地址：深圳市福田区益田路江苏大厦A座38-45层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法定代表人：朱江涛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电话：（0755）82943666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传真：（0755）82943636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联系人：黄婵君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客户服务电话：400-8888-111，95565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网址：www.newone.com.cn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（7）名称：兴业证券股份有限公司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住所：福州市湖东路268号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办公地址：上海市浦东新区长柳路36号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法定代表人：杨华辉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 021-38565547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联系人：乔琳雪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www.xyzq.com.cn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（8）名称：中信证券股份有限公司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住所：广东省深圳市福田区中心三路8号卓越时代广场（二期）北座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办公地址：北京市朝阳区亮马桥路48号中信证券大厦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法定代表人：张佑君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（9）名称：申万宏源证券有限公司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住所：上海市徐汇区长乐路989号世纪商贸广场45层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办公地址：上海市徐汇区长乐路989号世纪商贸广场45层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法定代表人：杨玉成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电话：（021）33389888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联系人：李清怡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客户服务电话：95523或4008895523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网址：www.sywg.com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（10）名称：湘财证券股份有限公司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住所：湖南省长沙市黄兴中路63号中山国际大厦12楼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办公地址：湖南省长沙市天心区湘府中路198号标志商务中心11楼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法定代表人：林俊波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电话：（021）68634518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传真：（021）68865680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联系人：钟康莺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客户服务电话：400-888-1551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网址：www.xcsc.com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（11）名称：国都证券股份有限公司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住所：北京市东城区东直门南大街3号国华投资大厦9层10层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办公地址：北京市东城区东直门南大街3号国华投资大厦9层10层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法定代表人：王少华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客户服务电话：400-818-8118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网址：www.guodu.com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（12）名称：华泰证券股份有限公司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住所：江苏省南京市江东中路228号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办公地址：江苏省南京市建邺区江东中路228号华泰证券广场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电话：（0755）82492193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传真：（0755）82492962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联系人：徐浩津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网址：www.htsc.com.cn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（13）名称：中信证券（山东）有限责任公司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住所：青岛市崂山区深圳路222号1号楼2001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办公地址：青岛市市南区东海西路28号龙翔广场东座5层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法定代表人：肖海峰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电话：0531-89606166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传真：0532-85022605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联系人：赵如意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网址：sd.citics.com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（14）名称：金融街证券股份有限公司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注册地址：内蒙古自治区呼和浩特市新城区海拉尔东街满世尚都办公商业综合楼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办公地址：内蒙古自治区呼和浩特市新城区海拉尔东街满世尚都办公商业综合楼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法定代表人：祝艳辉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联系人：熊丽、王捷勋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联系电话：0471-4968480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客户服务电话：956088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网址：www.cnht.com.cn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（15）名称：国信证券股份有限公司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法定代表人：张纳沙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电话：（0755）82130833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传真：（0755）82133952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联系人：于智勇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网址：www.guosen.com.cn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（16）名称：国元证券股份有限公司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住所：中国安徽省合肥市梅山路18号安徽国际金融中心A座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办公地址：中国安徽省合肥市梅山路18号安徽国际金融中心A座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法定代表人：俞仕新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联系电话：0551-62207400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传真：0551-62207148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联系人：汪先哲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客户服务电话：95578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网址：www.gyzq.com.cn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（17）名称：东北证券股份有限公司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住所：长春市自由大路1138号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办公地址：长春市自由大路1138号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法定代表人：矫正中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电话：（0431）85096709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联系人：潘锴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客户服务电话：4006000686，（0431）85096733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网址：www.nesc.cn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（18）名称：中航证券有限公司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住所：南昌市红谷滩新区红谷中大道1619号国际金融大厦41楼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办公地址：南昌市红谷滩新区红谷中大道1619号国际金融大厦41楼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法定代表人：杜航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电话：（0791）86768681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传真：（0791）86770178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联系人：戴蕾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客户服务电话：400-8895-335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网址：www.avicsec.com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（19）名称：国投证券股份有限公司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住所：深圳市福田区福田街道福华一路119号安信金融大厦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办公地址：深圳市福田区福田街道福华一路119号安信金融大厦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电话：（0755）81688000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传真：（0755）82558355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网址：https://www.sdicsc.com.cn/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（20）名称：申万宏源西部证券有限公司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住所：新疆乌鲁木齐市建设路2号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办公地址：北京市西城区太平桥大街19号宏源证券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法定代表人：冯戎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电话：（010）88085858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传真：（010）88085195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客户服务电话：4008-000-562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网址：www.hysec.com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（21）名称：长江证券股份有限公司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住所：武汉市新华路特8号长江证券大厦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办公地址：武汉市新华路特8号长江证券大厦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法定代表人：胡运钊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电话：（027）65799999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传真：（027）85481900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客户服务电话：95579或4008-888-999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网址：www.95579.com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（22）名称：德邦证券股份有限公司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住所：上海市普陀区曹杨路510号南半幢9楼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办公地址：上海市福山路500号城建大厦26楼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法定代表人：姚文平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电话：（021）68761616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传真：（021）68767981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客户服务电话：4008-888-128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网址：www.tebon.com.cn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（23）名称：中泰证券股份有限公司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注册地址：济南市高新区经十路7000号汉峪金融商务中心五区3号楼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办公地址：济南市高新区经十路7000号汉峪金融商务中心五区3号楼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电话：（0531）68889155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传真：（0531）68889752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联系人：许曼华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网址：www.zts.com.cn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（24）名称：江海证券有限公司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住所：黑龙江省哈尔滨市香坊区赣水路56号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法定代表人：孙名扬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电话：（0451）85863719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传真：（0451）82287211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客户服务电话：956007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网址：www.jhzq.com.cn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（25）名称：平安证券股份有限公司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住所：深圳市福田区金田路大中华国际交易广场裙楼8楼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办公地址：深圳市福田区金田路大中华国际交易广场裙楼8楼(518048)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法定代表人：杨宇翔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电话：（0755）22627802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传真：（0755）82400862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联系人：郑舒丽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网址：www.pingan.com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（26）名称：长城证券有限责任公司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住所：深圳市福田区深南大道6008号特区报业大厦14、16、17层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法定代表人：黄耀华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电话：（0755）83516289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传真：（0755）83516199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联系人：匡婷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客户服务电话：（0755）33680000，400-6666-888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网址：www.cc168.com.cn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（27）名称：中国民族证券有限责任公司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住所：北京市西城区金融街5号新盛大厦A座6-9层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办公地址：北京市西城区金融街5号新盛大厦A座6-9层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法定代表人：赵大建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客户服务电话：400-889-5618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网址：www.e5618.com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（28）名称：国金证券股份有限公司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法定代表人：冉云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电话：（028）86690057，（028）86690058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传真：（028）86690126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联系人：刘婧漪 贾鹏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网址：www.gjzq.com.cn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（29）名称：方正证券股份有限公司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住所：湖南长沙芙蓉中路二段华侨国际大厦22-24层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办公地址：湖南长沙芙蓉中路二段华侨国际大厦22-24层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法定代表人：施华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电话：（010）68546765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传真：（010）68546792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网址：www.foundersc.com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（30）名称：渤海证券股份有限公司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住所：天津经济技术开发区第二大街42号写字楼101室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办公地址：天津市南开区宾水西道8号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法定代表人：安志勇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电话：（022）28451991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传真：（022）28451892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联系人：蔡霆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956066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网址：www.ewww.com.cn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（31）名称：信达证券股份有限公司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住所：北京市西城区闹市口大街9号院1号楼信达金融中心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办公地址：北京市西城区闹市口大街9号院1号楼信达金融中心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法定代表人：张志刚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电话：（010）63081000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传真：（010）63081344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联系人：尹旭航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客户服务电话：95321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网址：www.cindasc.com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（32）名称：东方证券股份有限公司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住所：上海市中山南路318号2号楼22层-29层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法定代表人：王益民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电话：（021）63325888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传真：（021）63326173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联系人：吴宇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网址：www.dfzq.com.cn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（33）名称：西南证券股份有限公司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住所：重庆市江北区桥北苑8号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办公地址：重庆市江北区桥北苑8号西南证券大厦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法定代表人：吴坚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电话：（023）63786141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传真：（023）63786212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客户服务电话：95355、400-809-6096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网址：www.swsc.com.cn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（34）名称：东兴证券股份有限公司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住所：北京市西城区金融大街5号新盛大厦B座12-15层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法定代表人：徐勇力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电话：（010）66555316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传真：（010）66555246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联系人：汤漫川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400-8888-993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网址：www.dxzq.net</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（35）名称：中国国际金融股份有限公司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住所：北京建国门外大街1号国贸大厦2座27层及28层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办公地址：北京建国门外大街1号国贸大厦2座27层及28层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法定代表人：毕明建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电话：（010）65051166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传真：（010）85679203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联系人：杨涵宇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（36）名称：中国中金财富证券有限公司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办公地址：深圳市福田区益田路6003号荣超商务中心A栋第04、18层至21层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法定代表人：高涛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电话：（0755）88320851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联系人：胡芷境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客户服务电话：95532/400-600-8008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网址：www.ciccwm.com</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2、二级市场交易代理券商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包括具有经纪业务资格及上海证券交易所会员资格的所有证券公司。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3、基金管理人可根据有关法律法规的要求，选择其它符合要求的机构代理销售本基金，并在管理人网站公示。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名称：中国证券登记结算有限责任公司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法定代表人：于文强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电话：（010）50938782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传真：（010）50938907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联系人：赵亦清</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名称：上海市通力律师事务所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负责人：陈臻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电话：（021）31358666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传真：（021）31358600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联系人：黎明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经办律师：吕红、黎明</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名称：容诚会计师事务所（特殊普通合伙）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执行事务合伙人：肖厚发、刘维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联系人：李隐煜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经办会计师：沈兆杰、李隐煜</w:t>
      </w:r>
    </w:p>
    <w:p>
      <w:pPr>
        <w:pStyle w:val="Heading1"/>
        <w:snapToGrid w:val="0"/>
        <w:spacing w:before="240" w:beforeLines="0" w:after="0"/>
        <w:rPr>
          <w:rFonts w:ascii="宋体" w:hAnsi="宋体"/>
          <w:szCs w:val="30"/>
        </w:rPr>
      </w:pPr>
      <w:r>
        <w:br w:type="page"/>
      </w:r>
      <w:bookmarkStart w:id="14" w:name="_Toc256000006"/>
      <w:bookmarkStart w:id="15" w:name="_Toc256000033"/>
      <w:r>
        <w:rPr>
          <w:rFonts w:ascii="宋体" w:hAnsi="宋体"/>
          <w:sz w:val="30"/>
        </w:rPr>
        <w:t>六、基金的募集</w:t>
      </w:r>
      <w:bookmarkEnd w:id="15"/>
      <w:bookmarkEnd w:id="1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本基金由基金管理人依照《基金法》、《运作办法》、基金合同及其他有关规定，并经中国证监会证监许可[2009]795号文核准募集发售。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本基金为交易型开放式基金。基金存续期间为不定期。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本基金募集期间基金份额净值为人民币1.00元，按初始面值发售。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本基金的募集期限不超过3个月，自基金份额开始发售之日起计算。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本基金自2009年8月31日至2009年9月18日止进行发售。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本基金设立募集期共募集1,009,284,164.00份基金份额，有效认购户数为5,824户。</w:t>
      </w:r>
    </w:p>
    <w:p>
      <w:pPr>
        <w:pStyle w:val="Heading1"/>
        <w:snapToGrid w:val="0"/>
        <w:spacing w:before="240" w:beforeLines="0" w:after="0"/>
        <w:rPr>
          <w:rFonts w:ascii="宋体" w:hAnsi="宋体"/>
          <w:szCs w:val="30"/>
        </w:rPr>
      </w:pPr>
      <w:r>
        <w:br w:type="page"/>
      </w:r>
      <w:bookmarkStart w:id="16" w:name="_Toc256000007"/>
      <w:bookmarkStart w:id="17" w:name="_Toc256000034"/>
      <w:r>
        <w:rPr>
          <w:rFonts w:ascii="宋体" w:hAnsi="宋体"/>
          <w:sz w:val="30"/>
        </w:rPr>
        <w:t>七、基金合同的生效</w:t>
      </w:r>
      <w:bookmarkEnd w:id="17"/>
      <w:bookmarkEnd w:id="1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根据有关规定，本基金满足基金合同生效条件，基金合同已于2009年9月25日正式生效。自基金合同生效之日起，本基金管理人正式开始管理本基金。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pPr>
        <w:pStyle w:val="Heading1"/>
        <w:snapToGrid w:val="0"/>
        <w:spacing w:before="240" w:beforeLines="0" w:after="0"/>
        <w:rPr>
          <w:rFonts w:ascii="宋体" w:hAnsi="宋体"/>
          <w:szCs w:val="30"/>
        </w:rPr>
      </w:pPr>
      <w:r>
        <w:br w:type="page"/>
      </w:r>
      <w:bookmarkStart w:id="18" w:name="_Toc256000008"/>
      <w:bookmarkStart w:id="19" w:name="_Toc256000035"/>
      <w:r>
        <w:rPr>
          <w:rFonts w:ascii="宋体" w:hAnsi="宋体"/>
          <w:sz w:val="30"/>
        </w:rPr>
        <w:t>八、基金份额折算与变更登记</w:t>
      </w:r>
      <w:bookmarkEnd w:id="19"/>
      <w:bookmarkEnd w:id="1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投资需要（如变更标的指数）或为提高交易便利，基金管理人可向注册登记机构申请办理基金份额折算与变更登记。基金份额折算由基金管理人办理，并由注册登记机构进行基金份额的变更登记。折算后的基金份额净值与折算日标的指数收盘值的对应关系参见届时的公告和招募说明书的定期更新。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基金管理人应就其具体事宜进行必要公告，并通知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1、基金份额折算比例的计算公式为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假设基金份额折算日的基金资产净值为X、基金份额总额为Y，标的指数收盘值为I，折算后的基金份额净值与折算日标的指数收盘值的对应关系为1：K，即基金份额折算后目标基金份额净值为I/K，则基金份额折算比例的计算公式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计算结果以四舍五入的方法保留小数点后8位。基金管理人根据上述折算比例，对各基金份额持有人持有的基金份额进行折算，折算后的基金份额采取截位法保留到整数位，由此产生的误差计入基金财产。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2、基金份额折算的举例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假设某投资者在基金份额折算前持有本基金基金份额5,000份，基金份额折算日的基金资产净值为5,820,000,320.59元，折算前的基金份额总额为5,035,174,000份，当日标的指数收盘值为1,233.69，折算后的基金份额净值与折算日标的指数收盘值的对应关系为1：1000，则折算比例和该投资者折算后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（1）折算比例＝（5,820,000,320.59/5,035,174,000）/(1233.69/1000)＝0.93691994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（2）该投资者折算后的基金份额＝5,000×0.93691994＝4,684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3、基金份额折算的结果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合同和招募说明书的有关规定，本基金管理人决定2009年12月4日为本基金的基金份额折算日，折算后的基金份额净值与2009年12月4日标的指数收盘值的千分之一基本一致。2009年12月4日，上证180公司治理指数收盘值为938.90点，本基金的基金资产净值为1,054,880,523.33元，折算前基金份额总额为1,009,284,164份，折算前基金份额净值为1.045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根据招募说明书中约定的基金份额折算公式，基金份额折算比例为1.11319302（以四舍五入的方法保留到小数点后8位），折算后基金份额总额为1,123,524,362份，折算后基金份额净值为0.939元。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已根据上述折算比例，对各基金份额持有人认购的基金份额进行了折算，并由中国证券登记结算有限责任公司上海分公司于2009年12月7日进行了变更登记。折算后的基金份额保留到整数位（小数部分舍去，由此产生的误差计入基金财产）。投资者可以自2009年12月8日起在其上海证券交易所证券账户指定的销售机构查询折算后其持有的基金份额。</w:t>
      </w:r>
    </w:p>
    <w:p>
      <w:pPr>
        <w:pStyle w:val="Heading1"/>
        <w:snapToGrid w:val="0"/>
        <w:spacing w:before="240" w:beforeLines="0" w:after="0"/>
        <w:rPr>
          <w:rFonts w:ascii="宋体" w:hAnsi="宋体"/>
          <w:szCs w:val="30"/>
        </w:rPr>
      </w:pPr>
      <w:r>
        <w:br w:type="page"/>
      </w:r>
      <w:bookmarkStart w:id="20" w:name="_Toc256000009"/>
      <w:bookmarkStart w:id="21" w:name="_Toc256000036"/>
      <w:r>
        <w:rPr>
          <w:rFonts w:ascii="宋体" w:hAnsi="宋体"/>
          <w:sz w:val="30"/>
        </w:rPr>
        <w:t>九、基金份额的上市交易</w:t>
      </w:r>
      <w:bookmarkEnd w:id="21"/>
      <w:bookmarkEnd w:id="2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（一）基金份额的上市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根据有关规定，本基金合同生效后，具备上市条件，于2009年12月15日起在上海证券交易所上市交易。（二级市场交易代码：510010）。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（二）基金份额的上市交易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基金份额在上海证券交易所的上市交易需遵照《上海证券交易所交易规则》、《上海证券交易所证券投资基金上市规则》、上交所《业务细则》等有关规定。包括但不限于：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1、本基金上市首日的开盘参考价为前一工作日基金份额净值；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2、本基金实行价格涨跌幅限制，涨跌幅比例为10%，自上市首日起实行；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3、本基金买入申报数量为100份或其整数倍，不足100份的部分可以卖出；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4、本基金申报价格最小变动单位为0.001元；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5、本基金可适用大宗交易的相关规则。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（三）终止上市交易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基金份额上市交易后，有下列情形之一的，上海证券交易所可终止基金份额的上市交易，并报中国证监会备案：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1、不再具备《上海证券交易所证券投资基金上市规则》规定的上市条件；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3、基金份额持有人大会决定终止上市；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4、上海证券交易所认为应当终止上市的其他情形。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基金管理人应当在收到上海证券交易所终止基金上市的决定之日起2日内发布基金份额终止上市交易公告。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（四）基金份额参考净值的计算与公告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在每一交易日开市前向上海证券交易所提供当日的申购赎回清单。本基金基金份额参考净值（IOPV）由基金管理人或基金管理人委托的机构计算并通过上海证券交易所发布，供投资者交易、申购、赎回基金份额时参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1、基金份额参考净值计算公式为：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参考净值＝（申购赎回清单中必须用现金替代的替代金额＋申购赎回清单中可以用现金替代成份证券的数量与最新成交价相乘之和+申购赎回清单中禁止用现金替代成份证券的数量与最新成交价相乘之和＋申购赎回清单中的预估现金部分）/最小申购赎回单位对应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2、基金份额参考净值的计算以四舍五入的方法保留小数点后3位。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3、上海证券交易所可以调整基金份额参考净值计算公式，并在管理人网站公示。</w:t>
      </w:r>
    </w:p>
    <w:p>
      <w:pPr>
        <w:pStyle w:val="Heading1"/>
        <w:snapToGrid w:val="0"/>
        <w:spacing w:before="240" w:beforeLines="0" w:after="0"/>
        <w:rPr>
          <w:rFonts w:ascii="宋体" w:hAnsi="宋体"/>
          <w:szCs w:val="30"/>
        </w:rPr>
      </w:pPr>
      <w:r>
        <w:br w:type="page"/>
      </w:r>
      <w:bookmarkStart w:id="22" w:name="_Toc256000010"/>
      <w:bookmarkStart w:id="23" w:name="_Toc256000037"/>
      <w:r>
        <w:rPr>
          <w:rFonts w:ascii="宋体" w:hAnsi="宋体"/>
          <w:sz w:val="30"/>
        </w:rPr>
        <w:t>十、基金份额的申购与赎回</w:t>
      </w:r>
      <w:bookmarkEnd w:id="23"/>
      <w:bookmarkEnd w:id="2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（一）申购和赎回的场所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投资者应当在申购赎回代理券商办理基金申购、赎回业务的营业场所或按申购赎回代理券商提供的其他方式办理本基金的申购和赎回。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本基金申购赎回代理券商的名称、住所等信息请详见本招募说明书“五、相关服务机构”中“（一）基金份额销售机构”的相关描述。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本基金管理人可依据实际情况增加或减少申购赎回代理券商并在管理人网站公示。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（二）申购和赎回的开放日及时间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1、开放日及开放时间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投资者可办理申购、赎回等业务的开放日为上海证券交易所的交易日,开放时间为上午9:30-11:30和下午1:00-3:00。但基金管理人根据法律法规、中国证监会的要求或基金合同的规定公告暂停申购、赎回时除外。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2、申购、赎回的开始日及业务办理时间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本基金可在基金上市交易之前开始办理申购。但在基金申请上市期间，基金可暂停办理申购。具体业务办理时间在申购开始公告中规定。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本基金已于2009年12月15日开放申购、赎回业务，投资者可在开放日的开放时间办理本基金的申购、赎回业务。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（三）申购和赎回的原则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1、本基金采用份额申购和份额赎回的方式，即申购和赎回均以份额申请。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2、本基金的申购对价、赎回对价包括组合证券、现金替代、现金差额及其他对价。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3、申购、赎回申请提交后不得撤销。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4、申购、赎回应遵守上交所《业务细则》的规定。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5、基金管理人在不损害基金份额持有人权益的情况下可更改上述原则，但应在新的原则实施前依照有关规定在指定媒介上予以公告。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（四）申购和赎回的数额限定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投资者申购、赎回的基金份额需为最小申购赎回单位的整数倍。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本基金最小申购赎回单位为100万份，基金管理人有权对其进行更改，并在更改前至少3个工作日依照有关规定在指定媒介上予以公告。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（五）申购和赎回的程序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1、申购和赎回申请的提出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须按申购赎回代理券商规定的手续，在开放日的开放时间提出申购、赎回的申请。投资者申购本基金时，须根据申购赎回清单备足相应数量的股票和现金。投资者提交赎回申请时，必须持有足够的基金份额余额和现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2、申购和赎回申请的确认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申购、赎回申请在受理当日进行确认。如投资者未能提供符合要求的申购对价，则申购申请失败。如投资者持有的符合要求的基金份额不足或未能根据要求准备足额的现金，或本基金投资组合内不具备足额的符合要求的赎回对价，则赎回申请失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3、申购和赎回的清算交收与登记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T日申购、赎回成功后，注册登记机构在T日收市后为投资者办理基金份额与组合证券的清算交收以及现金替代等的清算，在T+1日办理现金替代等的交收以及现金差额的清算，在T+2日办理现金差额的交收，并将结果发送给申购赎回代理券商、基金管理人和基金托管人。如果注册登记机构在清算交收时发现不能正常履约的情形，则依据《中国证券登记结算有限责任公司交易型开放式指数基金登记结算业务实施细则》的有关规定进行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注册登记机构可在法律法规允许的范围内，对清算交收和登记的办理时间、方式进行调整，并最迟于开始实施日的3个工作日前在指定媒介公告。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（六）申购、赎回的对价及费用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对价、赎回对价根据申购赎回清单和投资者申购、赎回的基金份额数额确定。申购对价是指投资者申购基金份额时应交付的组合证券、现金替代、现金差额及其他对价。赎回对价是指投资者赎回基金份额时，基金管理人应交付给赎回人的组合证券、现金替代、现金差额及其他对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赎回清单由基金管理人编制。T日的申购赎回清单在当日上海证券交易所开市前公告。T日的基金份额净值在当天收市后计算，并在T+1日公告，计算公式为计算日基金资产净值除以计算日发售在外的基金份额总数。如遇特殊情况，可以适当延迟计算或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3、投资者在申购或赎回基金份额时，申购赎回代理券商可按照不超过申购或赎回份额0.5%的标准收取佣金，其中包含证券交易所、注册登记机构等收取的相关费用。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（七）申购赎回清单的内容与格式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1、申购赎回清单的内容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日申购赎回清单公告内容包括最小申购赎回单位所对应的组合证券内各成份证券数据、现金替代、T日现金替代的溢价比例、T日允许现金替代的最高比例、T日预估现金部分、T-1日现金差额、基金份额净值及其它相关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2、申购赎回清单组合证券相关内容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组合证券是指本基金标的指数所包含的全部或部分证券。申购赎回清单将公告最小申购赎回单位所对应的各成份证券名称、证券代码及数量。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3、最小申购赎回单位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最小申购赎回单位是基金申购赎回的最基本单位。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4、申购赎回清单现金替代相关内容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现金替代是指申购、赎回过程中，投资者按基金合同和招募说明书的规定，用于替代组合证券中部分证券的一定数量的现金。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（1）现金替代分为3种类型：禁止现金替代（标志为“禁止”）、可以现金替代（标志为“允许”）和必须现金替代（标志为“必须”）。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禁止现金替代是指在申购、赎回基金份额时，该成份证券不允许使用现金作为替代。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可以现金替代是指在申购基金份额时，允许使用现金作为全部或部分该成份证券的替代，但在赎回基金份额时，该成份证券不允许使用现金作为替代。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必须现金替代是指在申购、赎回基金份额时，该成份证券必须使用现金作为替代。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（2）可以现金替代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①适用情形：可以现金替代的证券一般是由于停牌等原因导致投资者无法在申购时买入的证券，或基金管理人认为可以采用现金替代的其他情形。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②替代金额：对于可以现金替代的证券，替代金额的计算公式为：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替代金额＝替代证券数量×该证券参考价格×（1＋申购现金替代溢价比例）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其中，根据上海证券交易所的相关规则，“该证券参考价格”定义为“该证券前一交易日除权除息后的收盘价”。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如果上海证券交易所上述关于“该证券参考价格”的定义及现金替代金额计算公式发生变化，以上海证券交易所的最新规则为准。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收取可以现金替代溢价的原因是，对于使用可以现金替代的证券，基金管理人需随后买入，而实际买入价格加上相关交易费用后与申购时该证券的参考价格可能有所差异。为便于操作，基金管理人在申购赎回清单中预先确定申购现金替代溢价比例，并据此收取替代金额。如果预先收取的金额高于基金购入该部分证券的实际成本，则基金管理人将退还多收取的差额；如果预先收取的金额低于基金购入该部分证券的实际成本，则基金管理人将向投资者收取欠缺的差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③替代金额的处理程序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T日，基金管理人在申购赎回清单中公布申购现金替代溢价比例，并据此收取替代金额。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在T日后被替代的成份证券有正常交易的2个交易日（简称为T+2日）内，基金管理人将以收到的替代金额买入被替代的部分证券。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+2日日终，若已购入全部被替代的证券，则以替代金额与被替代证券的实际购入成本（包括买入价格与交易费用）的差额，确定基金应退还投资者或投资者应补交的款项；若未能购入全部被替代的证券，则以替代金额与所购入的部分被替代证券实际购入成本加上按照T+2日收盘价计算的未购入的部分被替代证券价值的差额，确定基金应退还投资者或投资者应补交的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特例情况：若自T日起（不含T日），上海证券交易所正常交易日已达到20日而该证券正常交易日低于2日，则以替代金额与所购入的部分被替代证券实际购入成本加上按照最近一次收盘价计算的未购入的部分被替代证券价值的差额，确定基金应退还投资者或投资者应补交的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若现金替代日（T日）后至T+2日（若在特例情况下，则为T日起第20个交易日）期间发生除息、送股（转增）、配股等权益变动，则进行相应调整。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T+2日后第1个工作日（若在特例情况下，则为T日起第21个交易日），基金管理人将应退款和补款的明细及汇总数据发送给相关申购赎回代理券商和基金托管人，相关款项的清算交收将于此后3个工作日内完成。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④替代限制：为更有效控制基金的跟踪偏离度和跟踪误差，基金管理人可规定投资者使用可以现金替代的比例合计不得超过申购基金份额资产净值的一定比例。现金替代比例的计算公式为：</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type="#_x0000_t75" style="height:44.25pt;width:423pt">
            <v:imagedata r:id="rId14"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根据上海证券交易所的相关规则，上式中“该证券参考价格”定义为“该证券前一交易日除权除息后的收盘价”。如果上海证券交易所对上式中“该证券参考价格”的定义以及现金替代比例计算公式发生变化，以上海证券交易所的最新规则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（3）必须现金替代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①适用情形：必须现金替代的证券一般是由于标的指数调整，即将被剔除的成份证券，或基金管理人出于保护持有人利益等原因认为有必要实行必须现金替代的成份证券。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②替代金额：对于必须现金替代的证券，基金管理人将在申购赎回清单中公告替代的一定数量的现金，即“固定替代金额”。固定替代金额的计算方法为申购赎回清单中该证券的数量乘以其T日预计开盘价。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5、预估现金部分相关内容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预估现金部分是指为便于计算基金份额参考净值及申购赎回代理机构预先冻结申请申购、赎回的投资者的相应资金，由基金管理人计算的现金数额。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本基金T日申购赎回清单中公告预估现金部分计算公式为：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日预估现金部分＝T-1日最小申购赎回单位的基金资产净值－（申购赎回清单中必须用现金替代的固定替代金额+申购赎回清单中可以用现金替代成份证券的数量与T日预计开盘价相乘之和+申购赎回清单中禁止用现金替代成份证券的数量与T日预计开盘价相乘之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其中，T日预计开盘价主要根据交易所提供的标的指数成份证券的预计开盘价确定。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另外，若T日为基金分红除息日，则计算公式中的“T-1日最小申购赎回单位的基金资产净值”需扣减相应的收益分配数额。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预估现金部分的数值可能为正、为负或为零。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6、申购赎回清单现金差额相关内容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T日现金差额在T+1日的申购赎回清单中公告，其计算公式为：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日现金差额＝T日最小申购赎回单位对应的基金份额×T日基金份额净值－（申购赎回清单中必须用现金替代的固定替代金额＋申购赎回清单中可以用现金替代成份证券的数量与T日收盘价相乘之和+申购赎回清单中禁止用现金替代成份证券的数量与T日收盘价相乘之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日投资者申购赎回基金份额时，需按T+1日公告的T日现金差额进行资金的清算交收。现金差额的数值可能为正、为负或为零。在投资者申购时，如现金差额为正数，则投资者应根据其申购的基金份额支付相应的现金，如现金差额为负数，则投资者将根据其申购的基金份额获得相应的现金；在投资者赎回时，如现金差额为正数，则投资者将根据其赎回的基金份额获得相应的现金，如现金差额为负数，则投资者应根据其赎回的基金份额支付相应的现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7、申购赎回清单的格式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申购赎回清单的格式举例如下：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基本信息</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最新公告日期</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X</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基金名称</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X</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基金管理公司名称</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交银施罗德基金管理有限公司</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一级市场基金代码</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X</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T-1日信息内容</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现金差额(单位:元)</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X</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最小申购、赎回单位净值(单位:元)</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X</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基金份额净值(单位:元)</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X</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T日信息内容</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预估现金部分(单位:元)</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X</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最小申购、赎回单位(单位:份)</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X</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是否需要公布IOPV</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是</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是否允许申购</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是</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是否允许赎回</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是</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现金替代比例上限</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X</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成分股信息内容</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股票简称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股票数量</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替代标志</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溢价比例</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折价比例</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替代金额(单位:元)</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X</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X</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X</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X</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X</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X</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X</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以上申购赎回清单仅为示例，具体以实际公布的为准。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（八）暂停申购、赎回的情形及处理方式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发生下列情况时，基金管理人可暂停接受投资者的申购、赎回申请：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（1）因不可抗力导致基金无法接受申购、赎回；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（2）因特殊原因（如上海证券交易所决定临时停市），导致基金管理人无法计算当日的基金资产净值；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（3）发生基金合同规定的暂停基金资产估值的情况；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（4）上海证券交易所、注册登记机构等因异常情况无法办理申购、赎回；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当前一估值日基金资产净值50%以上的资产出现无可参考的活跃市场价格且采用估值技术仍导致公允价值存在重大不确定性时，经与基金托管人协商确认后，基金管理人应当暂停接受基金申购申请、暂停接受基金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（6）法律法规、上海证券交易所规定或中国证监会认定的其他情形。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由于技术系统设置原因，在发生暂停申购或赎回的情形之一时，本基金的申购和赎回可能同时暂停。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情形之一时，基金管理人应在规定期限内在指定媒介上刊登暂停公告。已接受的赎回申请，基金管理人应当足额兑付。在暂停申购、赎回的情况消除时，基金管理人应及时恢复申购、赎回业务的办理，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（九）暂停申购或赎回的公告和重新开放申购或赎回的公告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1、发生上述暂停申购或赎回情况的，基金管理人应在规定期限内在指定媒介上刊登暂停公告。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如发生暂停的时间为1日但少于两周，暂停结束，基金重新开放申购或赎回时，基金管理人应依照《信息披露办法》的有关规定，在指定媒介上刊登基金重新开放申购或赎回公告，并公告最近1个开放日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发生暂停的时间超过两周，暂停期间，基金管理人应每2周至少刊登暂停公告1次。暂停结束，基金重新开放申购或赎回时，基金管理人应依照《信息披露办法》的有关规定在指定媒介上刊登基金重新开放申购或赎回公告，并公告最近1个开放日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（十）基金的非交易过户等其他业务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注册登记机构可依据其业务规则，受理基金份额的非交易过户、冻结与解冻等业务，并收取一定的手续费用。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（十一）集合申购和其他服务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在条件允许时，基金管理人可开放集合申购，即允许多个投资者集合其持有的组合证券，共同构成最小申购赎回单位或其整数倍，进行申购。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在条件允许时，基金管理人也可采取其他合理的申购、赎回方式，并于新的申购、赎回方式开始执行前的至少三个工作日予以公告。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基金管理人指定的代理机构可依据基金合同开展其他服务，双方需签订书面委托代理协议，并报中国证监会备案。</w:t>
      </w:r>
    </w:p>
    <w:p>
      <w:pPr>
        <w:pStyle w:val="Heading1"/>
        <w:snapToGrid w:val="0"/>
        <w:spacing w:before="240" w:beforeLines="0" w:after="0"/>
        <w:rPr>
          <w:rFonts w:ascii="宋体" w:hAnsi="宋体"/>
          <w:szCs w:val="30"/>
        </w:rPr>
      </w:pPr>
      <w:r>
        <w:br w:type="page"/>
      </w:r>
      <w:bookmarkStart w:id="24" w:name="_Toc256000011"/>
      <w:bookmarkStart w:id="25" w:name="_Toc256000038"/>
      <w:r>
        <w:rPr>
          <w:rFonts w:ascii="宋体" w:hAnsi="宋体"/>
          <w:sz w:val="30"/>
        </w:rPr>
        <w:t>十一、基金的投资</w:t>
      </w:r>
      <w:bookmarkEnd w:id="25"/>
      <w:bookmarkEnd w:id="24"/>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紧密跟踪标的指数，追求跟踪偏离度与跟踪误差最小化。</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（二）投资理念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遵循指数化投资理念，以反映上海证券市场中规模大、流动性好、公司治理状况良好的股票整体收益状况的上证180公司治理指数作为标的指数，采用被动式指数化投资实现跟踪偏离度与跟踪误差的最小化，帮助投资者以较低的成本获取与标的指数同步的收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以标的指数成份股（含存托凭证）、备选成份股（含存托凭证）为主要投资对象，把全部或接近全部的基金资产用于跟踪标的指数的表现，正常情况下指数化投资比例，即投资于标的指数成份股（含存托凭证）和备选成份股（含存托凭证）的资产比例，不低于基金资产净值的95%。此外，为更好地实现投资目标，本基金也可少量投资于新股（含存托凭证）、债券及中国证监会允许基金投资的其它金融工具。如因标的指数成份股调整、基金份额申购赎回清单内现金替代、现金差额等因素导致基金投资比例不符合上述标准的，基金管理人将在10个交易日内进行调整。法律法规或监管机构日后允许本基金投资的其他品种（如股指期货等），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完全复制法，跟踪上证180公司治理指数，以完全按照标的指数成份股组成及其权重构建基金股票投资组合为原则，进行被动式指数化投资。股票在投资组合中的权重原则上根据标的指数成份股及其权重的变动而进行相应调整。但在因特殊情况（如流动性不足等）导致无法获得足够数量的股票时，基金管理人将搭配使用其他合理方法进行适当的替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本基金投资存托凭证的策略依照境内上市交易的股票投资策略执行。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法律法规或监管机构日后允许本基金投资的其他品种（如股指期货等），基金管理人在履行适当程序后，可以将其纳入投资范围。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1、决策依据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有关法律法规、基金合同和标的指数的相关规定是基金管理人运用基金财产的决策依据。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2、决策和交易机制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本基金实行投资决策委员会领导下的基金经理负责制。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投资决策委员会的主要职责是决定有关指数重大调整的应对决策、其他重大组合调整决策以及重大的单项投资决策。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基金经理的主要职责是决定日常指数跟踪维护过程中的组合构建、调整决策以及每日申购赎回清单的编制决策。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中央交易室负责交易执行和一线监控。通过严格的交易制度和实时的一线监控功能，保证基金经理的投资指令在合法、合规的前提下得到高效的执行。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3、投资程序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研究、决策、组合构建、交易、评估及组合维护的有机配合共同构成了本基金的投资管理程序。严格的投资管理程序可以保证投资理念的正确执行，避免重大风险的发生。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研究支持：量化投资部依托公司整体研究平台，整合外部信息以及券商等外部研究力量的研究成果开展指数跟踪、成份股公司行为等相关信息的搜集与分析、流动性分析、误差及其归因分析等工作，以作为基金投资决策的重要依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（2）投资决策：投资决策委员会依据量化投资部提供的研究报告，定期召开或遇重大事项时召开投资决策会议，决策相关事项。基金经理根据投资决策委员会的决议，每日进行基金投资管理的日常决策。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组合构建：根据标的指数情况，结合研究支持，基金经理以完全复制指数成份股权重的方法构建组合。在追求跟踪误差和偏离度最小化的前提下，基金经理将采取适当的方法，以降低买入成本、控制投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（4）交易执行：中央交易室负责具体的交易执行，同时履行一线监控的职责。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绩效评估：量化投资部定期和不定期对基金进行投资绩效评估，并提供相关报告。绩效评估能够确认组合是否实现了投资预期、组合误差的来源及投资策略成功与否，基金经理可以据此检讨投资策略，进而调整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组合监控与调整：基金经理将跟踪标的指数变动，结合成份股基本面情况、成份股公司行为、流动性状况、基金申购和赎回的现金流量情况以及组合投资绩效评估的结果等，采取适当的跟踪技术对投资组合进行监控和调整，密切跟踪标的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基金管理人在确保基金份额持有人利益的前提下有权根据环境变化和实际需要对上述投资管理程序做出调整，并在基金招募说明书更新中公告。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（五）投资组合管理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达到紧密跟踪标的指数的投资目标，本基金将以全部或接近全部的基金资产，按照标的指数的权重比例分散投资于各成份股。正常情况下指数化投资比例，即投资于标的指数成份股和备选成份股的资产比例，不低于基金资产净值的95%。本基金将在基金合同生效之日起3个月内达到这一投资比例。此后，如因标的指数成分股调整、基金申购或赎回带来现金等因素导致基金不符合这一投资比例的，基金管理人将在10个交易日内进行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1、投资组合的建立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基金管理人构建投资组合的过程主要分为三步：确定目标组合、确定建仓策略和逐步调整。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（1）确定目标组合：基金管理人根据完全复制成份股权重的方法确定目标组合。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（2）确定建仓策略：基金经理根据对成份股流动性、公司行为、基本面等因素的分析，确定合理的建仓策略。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（3）逐步调整：通过完全复制法最终确定目标组合之后，基金经理在规定时间内采用适当的手段构建和调整实际组合直至达到跟踪指数要求。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2、日常投资组合管理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成份股公司行为信息的跟踪与分析：跟踪标的指数成份股公司行为（如：股本变化、分红、停牌、复牌等）信息，以及成份股公司其它重大信息，分析这些信息对指数的影响，进而进行组合调整分析，为投资决策提供依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（2）标的指数的跟踪与分析：由于各种原因，跟踪标的指数的编制方法可能会发生调整，分析这种调整对所跟踪标的指数的影响，并制定相应的应对方案。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（3）每日申购赎回情况的跟踪与分析：跟踪本基金申购和赎回信息，分析其对组合的影响。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（4）组合持有证券、现金头寸及流动性分析：基金经理分析实际组合与目标组合的差异及其原因，并进行成份股调整的流动性分析。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（5）组合调整：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 利用数量化分析模型，找出将实际组合调整到目标组合的最优方案，确定组合调整及交易策略。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 如发生成份股变动、成份股公司合并及其它重大事项，可提请投资决策委员会召开会议，决定基金的操作策略。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 调整组合，达到目标组合的持仓结构。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（6）复制标的指数并核对，同时根据最新的公司行为信息预测下一交易日指数结构。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比指数与组合的每日及累计的绩效数据，检测跟踪误差及其趋势。分析由于组合每只股票构成与指数构成的差异导致的跟踪误差的程度与趋势以找出跟踪误差的来源，进而决定需要对组合调整的部分及调整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（8）根据指数跟踪研究结果及当日最新组合情况进行指数分析及组合分析并进行组合调整计算，进而制定明日交易内容与策略。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（9）以T-1日指数成份股构成及其权重为基础，考虑T日将会发生的上市公司变动等情况，设计T日申购赎回清单并公告。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3、定期投资组合管理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每月末，根据基金合同中基金管理费、基金托管费等的支付要求，及时检查组合中现金的比例，进行支付现金的准备。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每月末，在基金经理会议上对投资操作、组合、跟踪误差等进行分析。分析最近基金组合与标的指数间的跟踪偏离度情况，找出未能有效控制较大偏离的原因。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每月末，投资决策委员会可对基金的操作进行指导与决策。基金经理根据公司投资决策委员会的决策开展下一阶段的工作。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（2）标的指数调整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根据标的指数的编制规则及调整公告，基金经理依据投资决策委员会的决策，在指数成份股调整生效前，分析并确定组合调整策略，尽量减少变更成份股带来的跟踪偏离度和跟踪误差。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4、投资绩效评估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（1）每日，基金经理分析基金的跟踪偏离度。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（2）每月末，量化投资部对本基金的运行情况进行量化评估。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每月末，基金经理根据评估报告分析当月的投资操作、组合状况和跟踪误差等情况，重点分析基金的偏离度和跟踪误差产生原因、现金控制情况、标的指数成份股调整前后的操作、以及成份股未来可能发生的变化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正常市场情况下，本基金日均跟踪偏离度的绝对值不超过0.1%，年跟踪误差不超过2%。如因指数编制规则调整或其他因素导致跟踪偏离度和跟踪误差超过上述范围，基金管理人应采取合理措施避免跟踪偏离度、跟踪误差进一步扩大。</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（六）标的指数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本基金的标的指数为上证180公司治理指数。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上证180公司治理指数由上海证券交易所委托中证指数有限公司管理。上证180公司治理指数的所有权归属上海证券交易所。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自指数编制机构停止标的指数的编制及发布至解决方案确定期间，基金管理人应按照指数编制机构提供的最近一个交易日的指数信息遵循基金份额持有人利益优先原则维持基金投资运作。</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（七）业绩比较基准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业绩比较基准为标的指数。若基金标的指数发生变更，基金业绩比较基准随之变更，由基金管理人根据标的指数变更情形履行对应适当程序，并在调整实施前依照《信息披露办法》的有关规定在中国证监会指定媒介上刊登公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（八）风险收益特征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属股票基金，风险与收益高于混合基金、债券基金与货币市场基金。本基金为指数型基金，紧密跟踪标的指数，具有和标的指数所代表的股票市场相似的风险收益特征，属于证券投资基金中风险较高、收益较高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（九）投资限制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本基金的投资组合将遵循以下限制：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1、进入全国银行间同业市场的债券回购融入的资金余额不得超过基金资产净值的40%；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3、本基金投资权证，在任何交易日买入的总金额，不超过上一交易日基金资产净值的0.5%，基金持有的全部权证的市值不超过基金资产净值的 3%，本基金管理人管理的全部基金持有同一权证的比例不超过该权证的10%。投资于其他权证的投资比例，遵从法律法规或监管部门的相关规定。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5、本基金与私募类证券资管产品及中国证监会认定的其他主体为交易对手开展逆回购交易的，可接受质押品的资质要求应当与本基金合同约定的投资范围保持一致；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6、本基金不得违反基金合同中有关投资范围、投资策略、投资比例的规定；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8、法律法规或监管部门对上述比例限制另有规定的，从其规定。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3个月内使基金的投资组合比例符合基金合同的约定。在符合相关法律法规规定的前提下，除上述第4、5项外，因证券市场波动、上市公司合并、基金规模变动、标的指数成分股调整、基金申购或赎回带来现金等非本基金管理人的因素致使基金的投资组合不符合上述规定的投资比例的，基金管理人应当在10个交易日内进行调整。法律法规或监管部门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若法律法规或监管部门取消上述限制，履行适当程序后，本基金投资可不受上述规定限制。</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（十）禁止行为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为维护基金份额持有人的合法权益，本基金禁止从事下列行为：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4、买卖其他基金份额，但是国务院另有规定的除外；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5、向基金管理人、基金托管人出资或者买卖基金管理人、基金托管人发行的股票或者债券；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6、买卖与基金管理人、基金托管人有控股关系的股东或者与基金管理人、基金托管人有其他重大利害关系的公司发行的证券或者承销期内承销的证券；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8、依照法律法规有关规定，由中国证监会规定禁止的其他活动。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对于因上述5、6 项情形导致无法投资的标的指数成份股或备选成份股，基金管理人将在严格控制跟踪误差的前提下，将结合使用其他合理方法进行适当替代。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若法律法规或监管部门取消上述禁止性规定，履行适当程序后，本基金投资可不受上述规定限制。</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（十一）基金管理人代表基金行使股东权利的处理原则及方法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1、基金管理人按照国家有关规定代表基金独立行使股东权利，保护基金份额持有人的利益；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2、不谋求对上市公司的控股，不参与所投资上市公司的经营管理；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3、有利于基金财产的安全与增值；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（十二）基金的融资、融券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本基金可以根据有关法律法规和政策的规定进行融资、融券。</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（十三）基金投资组合报告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基金托管人中国农业银行股份有限公司根据本基金合同约定，于2026年07月17日复核了本报告中的财务指标、净值表现和投资组合报告等内容，保证复核内容不存在虚假记载、误导性陈述或者重大遗漏。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本报告期自2026年04月01日起至2026年06月30日止。本报告中财务资料未经审计。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1、报告期末基金资产组合情况</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214,166,911.33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96.49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214,166,911.33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96.49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7,793,806.45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1,051.63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221,961,769.41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注：上述股票投资包括可退替代款估值增值，而5.2的合计项中不含可退替代款估值增值。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2、报告期末按行业分类的股票投资组合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 报告期末指数投资按行业分类的境内股票投资组合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24,952,102.19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11.36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87,385,347.69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39.79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14,370,434.94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6.54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4,594,473.78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9,649,793.81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12,591,104.46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5.73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58,067,456.02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26.44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883,677.17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1,391,089.00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213,885,479.06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97.39</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 报告期末积极投资按行业分类的境内股票投资组合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281,432.27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281,432.27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0.13</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 报告期末按行业分类的港股通投资股票投资组合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3、期末按公允价值占基金资产净值比例大小排序的股票投资明细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 报告期末指数投资按公允价值占基金资产净值比例大小排序的前十名股票投资明细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600519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贵州茅台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16,626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19,709,956.74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8.97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600036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招商银行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456,982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16,222,861.00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7.39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601318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中国平安</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283,335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13,526,412.90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6.16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601899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紫金矿业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438,100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11,013,834.00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601398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工商银行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1,474,151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10,422,247.57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688008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澜起科技</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30,476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9,444,512.40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长江电力</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325,140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8,606,455.80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601166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兴业银行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450,062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7,453,026.72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600183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生益科技</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6,710,580.00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600276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恒瑞医药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118,700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6,177,148.00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 报告期末积极投资按公允价值占基金资产净值比例大小排序的前五名股票投资明细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688808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联讯仪器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85,553.82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688820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盛合晶微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44,569.35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688797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C臻宝</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39,836.95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688635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长进光子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32,051.76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688785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恒运昌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28,715.30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4、报告期末按债券品种分类的债券投资组合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5、报告期末按公允价值占基金资产净值比例大小排序的前五名债券投资明细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8、报告期末按公允价值占基金资产净值比例大小排序的前五名权证投资明细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9、报告期末本基金投资的股指期货交易情况说明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9.1 报告期末本基金投资的股指期货持仓和损益明细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9.2 本基金投资股指期货的投资政策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10、报告期末本基金投资的国债期货交易情况说明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10.1 本期国债期货投资政策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10.2 报告期末本基金投资的国债期货持仓和损益明细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10.3 本期国债期货投资评价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11、投资组合报告附注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2026年06月05日,国家金融监督管理总局公示行政处罚决定书,给予中国工商银行股份有限公司105万元人民币的行政处罚。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2025年12月18日,国家外汇管理局北京市分局公示京汇罚[2025]49号行政处罚决定书,给予中国工商银行股份有限公司罚没共计1142.59万元人民币的行政处罚。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2025年12月19日,央行公示银罚决字[2025]110号行政处罚决定书,给予中国工商银行股份有限公司3961.5万元人民币的行政处罚，并没收违法所得434.57万元。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2025年12月05日,国家金融监督管理总局公示行政处罚决定书,给予兴业银行股份有限公司720万元人民币的行政处罚。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2025年09月12日,国家金融监督管理总局公示行政处罚决定书,给予招商银行股份有限公司60万元人民币的行政处罚。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遵循指数化投资理念，绝大部分资产采用完全复制法跟踪指数，以完全按照标的指数成份股组成及其权重构建基金股票投资组合为原则，进行被动式指数化投资。本基金对上述主体发行证券的投资遵守本基金管理人基金投资管理相关制度及被动式指数化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11.2 基金投资的前十名股票是否超出基金合同约定的备选股票库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基金投资的前十名股票中，没有超出基金合同约定的备选股票库之外的股票。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11.3 其他资产构成</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1,051.63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1,051.63</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11.4 报告期末持有的处于转股期的可转换债券明细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11.5 报告期末股票中存在流通受限情况的说明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报告期末指数投资前十名股票中存在流通受限情况的说明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报告期末积极投资前五名股票中存在流通受限情况的说明</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流通受限部分的公允价值（元）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流通受限情况</w:t>
            </w:r>
            <w:r>
              <w:rPr>
                <w:rFonts w:ascii="宋体" w:hAnsi="宋体"/>
                <w:color w:val="000000"/>
                <w:kern w:val="0"/>
                <w:sz w:val="24"/>
                <w:szCs w:val="24"/>
              </w:rPr>
              <w:br/>
              <w:t>说明</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688808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联讯仪器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85,553.82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688820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盛合晶微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44,569.35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688797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C臻宝</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39,836.95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688635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长进光子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32,051.76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688785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恒运昌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28,715.30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11.6 投资组合报告附注的其他文字描述部分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由于四舍五入的原因，分项之和与合计项之间可能存在尾差。</w:t>
      </w:r>
    </w:p>
    <w:p>
      <w:pPr>
        <w:pStyle w:val="Heading1"/>
        <w:snapToGrid w:val="0"/>
        <w:spacing w:before="240" w:beforeLines="0" w:after="0"/>
        <w:rPr>
          <w:rFonts w:ascii="宋体" w:hAnsi="宋体"/>
          <w:szCs w:val="30"/>
        </w:rPr>
      </w:pPr>
      <w:r>
        <w:br w:type="page"/>
      </w:r>
      <w:bookmarkStart w:id="26" w:name="_Toc256000012"/>
      <w:bookmarkStart w:id="27" w:name="_Toc256000039"/>
      <w:r>
        <w:rPr>
          <w:rFonts w:ascii="宋体" w:hAnsi="宋体"/>
          <w:sz w:val="30"/>
        </w:rPr>
        <w:t>十二、基金的业绩</w:t>
      </w:r>
      <w:bookmarkEnd w:id="27"/>
      <w:bookmarkEnd w:id="2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基金业绩截止日为2026年06月30日，所载财务数据未经审计。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1、基金份额净值增长率及其与同期业绩比较基准收益率的比较</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-4.77%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-6.44%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1.67%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-7.53%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-9.65%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9.36%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2.64%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20.30%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18.21%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-5.11%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2.98%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-10.18%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-13.85%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3.67%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5.43%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2020年度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21.73%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7.89%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13.84%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2019年度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26.69%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21.79%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4.90%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2018年度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-19.34%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-20.66%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2017年度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22.96%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20.51%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2.45%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2016年度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-6.48%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-8.36%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2015年度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-3.27%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2.51%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-5.38%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2.54%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2014年度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69.15%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65.33%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3.82%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2013年度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-7.74%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-10.14%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2.40%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2012年度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14.17%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11.97%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2.20%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2011年度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-19.79%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2010年度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-18.07%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-19.79%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2009年度（自基金合同生效起至2009年12月31日）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1.61%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14.24%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-12.63%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-0.48%</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注：本基金的业绩比较基准为上证180公司治理指数。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上证180公司治理交易型开放式指数证券投资基金</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份额累计净值增长率与业绩比较基准收益率的历史走势对比图</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(2009年09月25日至2026年06月30日)</w:t>
      </w:r>
    </w:p>
    <w:p>
      <w:pPr>
        <w:autoSpaceDE w:val="0"/>
        <w:autoSpaceDN w:val="0"/>
        <w:adjustRightInd w:val="0"/>
        <w:snapToGrid w:val="0"/>
        <w:spacing w:after="0" w:line="360" w:lineRule="auto"/>
        <w:jc w:val="center"/>
        <w:rPr>
          <w:rFonts w:ascii="宋体" w:hAnsi="宋体"/>
          <w:szCs w:val="24"/>
        </w:rPr>
      </w:pPr>
      <w:r>
        <w:rPr>
          <w:rFonts w:ascii="宋体" w:hAnsi="宋体"/>
          <w:kern w:val="0"/>
          <w:sz w:val="24"/>
        </w:rPr>
        <w:pict>
          <v:shape id="_x0000_i1027" type="#_x0000_t75" style="height:268.27pt;width:439.5pt">
            <v:imagedata r:id="rId15"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注：本基金建仓期为自基金合同生效日起的3个月。截至建仓期结束，本基金各项资产配置比例符合基金合同及招募说明书有关投资比例的约定。</w:t>
      </w:r>
    </w:p>
    <w:p>
      <w:pPr>
        <w:pStyle w:val="Heading1"/>
        <w:snapToGrid w:val="0"/>
        <w:spacing w:before="240" w:beforeLines="0" w:after="0"/>
        <w:rPr>
          <w:rFonts w:ascii="宋体" w:hAnsi="宋体"/>
          <w:szCs w:val="30"/>
        </w:rPr>
      </w:pPr>
      <w:r>
        <w:br w:type="page"/>
      </w:r>
      <w:bookmarkStart w:id="28" w:name="_Toc256000013"/>
      <w:bookmarkStart w:id="29" w:name="_Toc256000040"/>
      <w:r>
        <w:rPr>
          <w:rFonts w:ascii="宋体" w:hAnsi="宋体"/>
          <w:sz w:val="30"/>
        </w:rPr>
        <w:t>十三、基金的财产</w:t>
      </w:r>
      <w:bookmarkEnd w:id="29"/>
      <w:bookmarkEnd w:id="2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（一）基金资产总值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基金资产总值是指基金拥有的各类有价证券、银行存款本息、基金应收款项以及其他资产的价值总和。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基金资产净值是指基金资产总值减去基金负债后的金额。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（三）基金财产的账户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（四）基金财产的保管与处分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其他费用。基金管理人、基金托管人以其自有财产承担法律责任，其债权人不得对基金财产行使请求冻结、扣押和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基金管理人、基金托管人因依法解散、被依法撤销或者被依法宣告破产等原因进行清算的，基金财产不属于其清算财产。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基金财产的债权，不得与基金管理人、基金托管人固有财产的债务相抵销；不同基金财产的债权债务，不得相互抵销。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除依据《基金法》、基金合同及其他有关规定处分外，基金财产不得被处分。非因基金财产本身承担的债务，不得对基金财产强制执行。</w:t>
      </w:r>
    </w:p>
    <w:p>
      <w:pPr>
        <w:pStyle w:val="Heading1"/>
        <w:snapToGrid w:val="0"/>
        <w:spacing w:before="240" w:beforeLines="0" w:after="0"/>
        <w:rPr>
          <w:rFonts w:ascii="宋体" w:hAnsi="宋体"/>
          <w:szCs w:val="30"/>
        </w:rPr>
      </w:pPr>
      <w:r>
        <w:br w:type="page"/>
      </w:r>
      <w:bookmarkStart w:id="30" w:name="_Toc256000014"/>
      <w:bookmarkStart w:id="31" w:name="_Toc256000041"/>
      <w:r>
        <w:rPr>
          <w:rFonts w:ascii="宋体" w:hAnsi="宋体"/>
          <w:sz w:val="30"/>
        </w:rPr>
        <w:t>十四、基金资产的估值</w:t>
      </w:r>
      <w:bookmarkEnd w:id="31"/>
      <w:bookmarkEnd w:id="3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（一）估值目的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基金资产的估值目的是客观、准确地反映基金相关金融资产的公允价值，并为基金份额提供计价依据。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（二）估值日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本基金的估值日为相关的证券交易场所的正常营业日，以及国家法律法规规定需要对外披露基金净值的非营业日。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基金依法拥有的股票、债券、权证及其他基金资产。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（1）上市股票的估值：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（2）未上市股票的估值：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 首次发行未上市的股票，采用估值技术确定公允价值，在估值技术难以可靠计量公允价值的情况下，按成本价估值；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 送股、转增股、配股和公开增发新股等发行未上市的股票，按估值日在证券交易所上市的同一股票的市价进行估值；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 首次公开发行有明确锁定期的股票，同一股票在交易所上市后，按估值日在证券交易所上市的同一股票的市价进行估值；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 非公开发行的且在发行时明确一定期限锁定期的股票，按监管机构或行业协会有关规定确定公允价值。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（3）本基金投资存托凭证的估值核算依照境内上市交易的股票执行。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任何情况下，基金管理人如采用本项第（1）－（3）小项规定的方法对基金资产进行估值，均应被认为采用了适当的估值方法。但是，如果基金管理人认为按本项第（1）－（3）小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（5）国家有最新规定的，按其规定进行估值。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2、债券估值方法：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（1）交易所市场上市交易或挂牌转让的固定收益品种（另有规定的除外），选取第三方估值机构提供的相应品种当日的估值净价进行估值。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证券交易所市场挂牌交易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（3）首次发行未上市债券采用估值技术确定的公允价值进行估值，在估值技术难以可靠计量公允价值的情况下，按成本估值。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（4）交易所以大宗交易方式转让的资产支持证券，采用估值技术确定公允价值，在估值技术难以可靠计量公允价值的情况下，按成本进行后续计量。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（5）在全国银行间债券市场交易的债券、资产支持证券等固定收益品种，采用估值技术确定公允价值。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（6）同一债券同时在两个或两个以上市场交易的，按债券所处的市场分别估值。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任何情况下，基金管理人如采用本项第（1）－（6）小项规定的方法对基金资产进行估值，均应被认为采用了适当的估值方法。但是，如果基金管理人认为按本项第（1）－（6）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（8）国家有最新规定的，按其规定进行估值。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3、权证估值办法：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（2）首次发行未上市的权证，采用估值技术确定公允价值，在估值技术难以可靠计量公允价值的情况下，按成本估值。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（3）因持有股票而享有的配股权，以及停止交易、但未行权的权证，采用估值技术确定公允价值进行估值。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（5）国家有最新规定的，按其规定进行估值。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4、其他有价证券等资产按国家有关规定进行估值。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（五）估值程序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日常估值由基金管理人进行。基金份额净值由基金管理人完成估值后，将估值结果以书面形式报给基金托管人，基金托管人按基金合同规定的估值方法、时间、程序进行复核，基金托管人复核无误后签章返回给基金管理人，由基金管理人依据基金合同和有关法律法规的规定予以公布。月末、年中和年末估值复核与基金会计账目的核对同时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（六）估值错误的处理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基金管理人和基金托管人将采取必要、适当、合理的措施确保基金资产估值的准确性、及时性。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基金合同的当事人应按照以下约定处理：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1、差错类型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如果由于基金管理人或基金托管人或注册登记机构或代销机构或投资者自身的过错造成差错，导致其他当事人遭受损失的，差错的责任人应当对由于该差错遭受损失的当事人（“受损方”）按下述“差错处理原则”给予赔偿，承担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2、差错处理原则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（2）差错的责任方对可能导致有关当事人的直接损失负责，不对间接损失负责，并且仅对差错的有关直接当事人负责，不对第三方负责；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（4）差错调整采用尽量恢复至假设未发生差错的正确情形的方式；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差错责任方拒绝进行赔偿时，如果因基金管理人的行为造成基金财产损失时，基金托管人应为基金的利益向基金管理人追偿，如果因基金托管人的行为造成基金财产损失时，基金管理人应为基金的利益向基金托管人追偿。基金管理人和基金托管人之外的第三方造成基金财产的损失，并拒绝进行赔偿时，由基金管理人负责向差错方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如果出现差错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（7）按法律法规规定的其他原则处理差错。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3、差错处理程序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差错被发现后，有关的当事人应当及时进行处理，处理的程序如下：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（1）查明差错发生的原因，列明所有的当事人，并根据差错发生的原因确定差错的责任方；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（2）根据差错处理原则或当事人协商的方法对因差错造成的损失进行评估；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（3）根据差错处理原则或当事人协商的方法由差错的责任方进行更正和赔偿损失；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（4）根据差错处理的方法，需要修改基金注册登记机构交易数据的，由基金注册登记机构进行更正，并就差错的更正向有关当事人进行确认。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4、基金份额净值差错处理的原则和方法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基金份额净值小数点后3位以内（含第3位）发生差错时，视为基金份额净值错误；基金份额净值出现错误时，基金管理人应当立即予以纠正，通报基金托管人，并采取合理的措施防止损失进一步扩大；当错误达到或超过基金资产净值的0.25%时，基金管理人应当及时通知基金托管人并报中国证监会；错误偏差达到基金份额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 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 若基金管理人计算的基金份额净值已由基金托管人复核确认后公告，而且基金托管人未对计算过程提出疑义或要求基金管理人书面说明，份额净值出错且造成基金份额持有人损失的，应根据法律法规的规定对投资者或基金支付赔偿金，就实际向投资者或基金支付的赔偿金额，其中基金管理人承担50%，基金托管人承担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 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 由于基金管理人提供的信息错误（包括但不限于基金申购或赎回金额等），进而导致基金份额净值计算错误而引起的基金份额持有人和基金的损失，由基金管理人负责赔付。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（3）基金管理人和基金托管人由于各自技术系统设置而产生的净值计算尾差，以基金管理人计算结果为准。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（4）前述内容如法律法规或者监管部门另有规定的，从其规定。如果行业有通行做法，双方当事人应本着平等和保护基金份额持有人利益的原则进行协商。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1、基金投资所涉及的证券交易所遇法定节假日或因其他原因暂停营业时；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2、因不可抗力或其他情形致使基金管理人、基金托管人无法准确评估基金资产价值时；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4、中国证监会和基金合同认定的其他情形。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（八）基金净值的确认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用于基金信息披露的基金资产净值和基金份额净值由基金管理人负责计算，基金托管人负责进行复核。基金管理人应于每个工作日交易结束后将当日的净值计算结果发送给基金托管人。基金托管人对净值计算结果复核确认后发送给基金管理人，由基金管理人依据基金合同和有关法律法规的规定对基金净值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基金份额净值的计算精确到0.001元，小数点后第四位四舍五入。国家另有规定的，从其规定。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（九）特殊情形的处理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1、基金管理人或基金托管人按股票估值方法的第（4）项、债券估值方法的第（7）项、权证估值方法的第（4）项进行估值时，所造成的误差不作为基金资产估值错误处理。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可以免除赔偿责任。但基金管理人、基金托管人应积极采取必要的措施消除由此造成的影响。</w:t>
      </w:r>
    </w:p>
    <w:p>
      <w:pPr>
        <w:pStyle w:val="Heading1"/>
        <w:snapToGrid w:val="0"/>
        <w:spacing w:before="240" w:beforeLines="0" w:after="0"/>
        <w:rPr>
          <w:rFonts w:ascii="宋体" w:hAnsi="宋体"/>
          <w:szCs w:val="30"/>
        </w:rPr>
      </w:pPr>
      <w:r>
        <w:br w:type="page"/>
      </w:r>
      <w:bookmarkStart w:id="32" w:name="_Toc256000015"/>
      <w:bookmarkStart w:id="33" w:name="_Toc256000042"/>
      <w:r>
        <w:rPr>
          <w:rFonts w:ascii="宋体" w:hAnsi="宋体"/>
          <w:sz w:val="30"/>
        </w:rPr>
        <w:t>十五、基金的收益与分配</w:t>
      </w:r>
      <w:bookmarkEnd w:id="33"/>
      <w:bookmarkEnd w:id="3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（一）基金利润的构成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1、买卖证券差价；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2、基金投资所得红利、股息、债券利息；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3、银行存款利息；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4、已实现的其他合法收入。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因运用基金财产带来的成本或费用的节约应计入收益。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（二）基金净收益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基金净收益为基金利润扣除按国家有关规定可以在基金利润中扣除的费用后的余额。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（三）收益分配原则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本基金收益分配应遵循下列原则：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1、本基金的每份基金份额享有同等分配权；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2、收益分配时所发生的银行转账或其他手续费用由基金投资者自行承担；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3、若基金合同生效日起不满3个月可不进行收益分配；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4、当基金净值增长率超过标的指数同期增长率达到1%以上时，可进行收益分配；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以使收益分配后基金份额净值增长率尽可能贴近标的指数同期增长率为原则进行收益分配。基于本基金的性质和特点，本基金收益分配不须以弥补浮动亏损为前提，收益分配后有可能使除息后的基金份额净值低于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收益每年最多分配12次，每次基金收益分配比例不低于可供分配利润的5%；基金的收益分配比例应当以收益分配基准日可供分配利润为基准计算。收益分配基准日可供分配利润指收益分配基准日资产负债表中未分配利润与未分配利润中已实现利润的孰低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7、本基金收益分配仅采取现金分红一种收益分配方式；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8、法律法规或监管机构另有规定的，从其规定。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（四）基金收益分配数额的确定原则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1、在收益评价日，基金管理人计算基金净值增长率和标的指数同期增长率。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净值增长率为收益评价日基金份额净值与基金上市前一日基金份额净值之比减去1乘以100%（期间如发生基金份额折算，则以基金份额折算日为初始日重新计算）；标的指数同期增长率为收益评价日标的指数收盘值与基金上市前一日标的指数收盘值之比减去1乘以100%（期间如发生基金份额折算，则以基金份额折算日为初始日重新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基金管理人将以此计算截至收益评价日基金净值增长率与标的指数净值增长率的差额，当差额超过1%时，基金管理人有权进行收益分配。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2、计算截至收益分配基准日本基金的可供分配利润，并根据前述原则确定收益分配比例及收益分配数额。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（五）收益分配方案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基金收益分配方案中应载明基金收益分配对象、分配时间、分配数额及比例、分配方式、支付方式等内容。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（六）收益分配的时间和程序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1、本基金收益分配方案由基金管理人拟定、由基金托管人复核，依照《信息披露办法》的有关规定在指定媒介公告。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2、在分配方案公布后(依据具体方案的规定)，基金管理人就支付的现金红利向基金托管人发送划款指令，基金托管人按照基金管理人的指令及时进行分红资金的划付。</w:t>
      </w:r>
    </w:p>
    <w:p>
      <w:pPr>
        <w:pStyle w:val="Heading1"/>
        <w:snapToGrid w:val="0"/>
        <w:spacing w:before="240" w:beforeLines="0" w:after="0"/>
        <w:rPr>
          <w:rFonts w:ascii="宋体" w:hAnsi="宋体"/>
          <w:szCs w:val="30"/>
        </w:rPr>
      </w:pPr>
      <w:r>
        <w:br w:type="page"/>
      </w:r>
      <w:bookmarkStart w:id="34" w:name="_Toc256000016"/>
      <w:bookmarkStart w:id="35" w:name="_Toc256000043"/>
      <w:r>
        <w:rPr>
          <w:rFonts w:ascii="宋体" w:hAnsi="宋体"/>
          <w:sz w:val="30"/>
        </w:rPr>
        <w:t>十六、基金的费用与税收</w:t>
      </w:r>
      <w:bookmarkEnd w:id="35"/>
      <w:bookmarkEnd w:id="3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（一）基金费用的种类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3、基金合同生效后的信息披露费用；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4、基金上市费及年费；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5、基金收益分配中发生的费用；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6、基金份额持有人大会费用；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7、基金合同生效后与基金有关的会计师费和律师费；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8、基金的证券交易费用；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9、基金财产拨划支付的银行费用；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10、按照国家有关规定可以在基金财产中列支的其他费用。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上述基金费用由基金管理人在法律法规规定的范围内按照合理价格确定，法律法规另有规定时从其规定。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（二）基金费用计提方法、计提标准和支付方式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1、与基金运作有关的费用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在通常情况下，基金管理费按前一日基金资产净值的年费率计提。计算方法如下：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H＝E×年管理费率÷当年天数，本基金年管理费率为0.5%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在通常情况下，基金托管费按前一日基金资产净值的年费率计提。计算方法如下：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H＝E×年托管费率÷当年天数，本基金年托管费率为0.1%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（3）除管理费和托管费之外的基金费用由基金托管人根据其他有关法律法规及相应协议的规定，按费用支出金额支付，列入或摊入当期基金费用。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2、与基金销售有关的费用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（三）不列入基金费用的项目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基金收取认购费的，可以从认购费中列支。标的指数许可使用费由基金管理人承担，不得从基金财产中列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（四）基金管理费和托管费的调整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可根据基金发展情况调整基金管理费率和基金托管费率。降低基金管理费率和基金托管费率，无须召开基金份额持有人大会。基金管理人必须依照有关规定最迟于新的费率实施日前2日在指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（五）基金税收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基金和基金份额持有人根据国家法律法规的规定，履行纳税义务。</w:t>
      </w:r>
    </w:p>
    <w:p>
      <w:pPr>
        <w:pStyle w:val="Heading1"/>
        <w:snapToGrid w:val="0"/>
        <w:spacing w:before="240" w:beforeLines="0" w:after="0"/>
        <w:rPr>
          <w:rFonts w:ascii="宋体" w:hAnsi="宋体"/>
          <w:szCs w:val="30"/>
        </w:rPr>
      </w:pPr>
      <w:r>
        <w:br w:type="page"/>
      </w:r>
      <w:bookmarkStart w:id="36" w:name="_Toc256000017"/>
      <w:bookmarkStart w:id="37" w:name="_Toc256000044"/>
      <w:r>
        <w:rPr>
          <w:rFonts w:ascii="宋体" w:hAnsi="宋体"/>
          <w:sz w:val="30"/>
        </w:rPr>
        <w:t>十七、基金的会计与审计</w:t>
      </w:r>
      <w:bookmarkEnd w:id="37"/>
      <w:bookmarkEnd w:id="3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（一）基金会计政策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1、基金管理人为本基金的会计责任方；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2、本基金的会计年度为公历每年的1月1日至12月31日；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3、本基金的会计核算以人民币为记账本位币，以人民币元为记账单位；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4、会计制度执行国家有关的会计制度；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5、本基金独立建账、独立核算；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6、基金管理人及基金托管人分别保留完整的会计账目、凭证并进行日常的会计核算，按照有关规定编制基金会计报表；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7、基金托管人定期与基金管理人就基金的会计核算、报表编制等进行核对并书面确认。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（二）基金的审计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1、基金管理人聘请具有证券、期货相关从业资格的会计师事务所及其注册会计师对本基金年度财务报表及其他规定事项进行审计。会计师事务所及其注册会计师与基金管理人、基金托管人相互独立。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2、会计师事务所更换经办注册会计师时，应事先征得基金管理人同意。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3、基金管理人(或基金托管人)认为有充足理由更换会计师事务所，经基金托管人(或基金管理人)同意后可以更换。更换会计师事务所需按照《信息披露办法》的有关规定在指定媒介公告。</w:t>
      </w:r>
    </w:p>
    <w:p>
      <w:pPr>
        <w:pStyle w:val="Heading1"/>
        <w:snapToGrid w:val="0"/>
        <w:spacing w:before="240" w:beforeLines="0" w:after="0"/>
        <w:rPr>
          <w:rFonts w:ascii="宋体" w:hAnsi="宋体"/>
          <w:szCs w:val="30"/>
        </w:rPr>
      </w:pPr>
      <w:r>
        <w:br w:type="page"/>
      </w:r>
      <w:bookmarkStart w:id="38" w:name="_Toc256000018"/>
      <w:bookmarkStart w:id="39" w:name="_Toc256000045"/>
      <w:r>
        <w:rPr>
          <w:rFonts w:ascii="宋体" w:hAnsi="宋体"/>
          <w:sz w:val="30"/>
        </w:rPr>
        <w:t>十八、基金的信息披露</w:t>
      </w:r>
      <w:bookmarkEnd w:id="39"/>
      <w:bookmarkEnd w:id="3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本基金的信息披露应符合《基金法》、《运作办法》、《信息披露办法》、《流动性规定》、基金合同及其他有关规定。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本基金信息披露义务人承诺公开披露的基金信息，不得有下列行为：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2、对证券投资业绩进行预测；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4、诋毁其他基金管理人、基金托管人或者基金份额销售机构；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5、登载任何自然人、法人和非法人组织的祝贺性、恭维性或推荐性的文字；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本基金公开披露的信息采用阿拉伯数字；除特别说明外，货币单位为人民币元。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（一）公开披露的基金信息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公开披露的基金信息包括：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1、招募说明书、基金合同、托管协议、基金产品资料概要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基金募集申请经中国证监会核准后，基金管理人在基金份额发售3日前，将招募说明书、基金合同摘要登载在指定报刊和网站上；基金管理人、基金托管人应当将基金合同、托管协议登载在网站上。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基金管理人应当就基金份额发售的具体事宜编制基金份额发售公告，并在披露招募说明书的当日登载于指定报刊和网站上。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基金管理人应当在基金合同生效的次日在指定报刊和网站上登载基金合同生效公告。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4、基金开始申购、赎回公告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基金管理人应于申购开始日、赎回开始日前2日在指定报刊和网站上公告。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5、基金份额上市交易公告书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基金份额获准在证券交易所上市交易的，基金管理人应当在基金份额上市交易3个工作日前，将基金份额上市交易公告书登载在指定报刊和网站上。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6、基金净值信息公告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本基金合同生效后，在开始办理基金份额申购或者赎回前，基金管理人应当至少每周在指定网站披露一次基金份额净值和基金份额累计净值。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在开始办理基金份额申购或者赎回后，基金管理人应当在不晚于每个开放日的次日，通过指定网站、申购赎回代理机构网站或者营业网点披露开放日的基金份额净值和基金份额累计净值。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基金管理人应当在不晚于半年度和年度最后一日的次日，在指定网站披露半年度和年度最后一日的基金份额净值和基金份额累计净值。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7、申购赎回清单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在开始办理基金份额申购或者赎回之后，基金管理人应当在每个开放日，通过指定网站、申购赎回代理机构网站或者营业网点公告当日的申购赎回清单。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8、基金定期报告，包括基金年度报告、基金中期报告和基金季度报告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基金合同生效不足2个月的，基金管理人可以不编制当期季度报告、中期报告或者年度报告。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9、临时报告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本基金发生重大事件，有关信息披露义务人应当在2日内编制临时报告书，并登载在指定报刊和指定网站上。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(1)基金份额持有人大会的召开及决定的事项；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(3)转换基金运作方式、基金合并；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(4)更换基金管理人、基金托管人、注册登记机构，基金改聘会计师事务所；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(6)基金管理人、基金托管人的法定名称、住所发生变更；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(8)基金募集期延长或提前结束募集；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(10)基金管理人的董事在最近12个月内变更超过50%，基金管理人、基金托管人专门基金托管部门的主要业务人员在最近12个月内变动超过30%；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(11)涉及基金财产、基金管理业务、基金托管业务的诉讼或仲裁；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 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 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(14)基金收益分配事项；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(15)管理费、托管费、申购费、赎回费等费用计提标准、计提方式和费率发生变更；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(16)基金份额净值计价错误达基金份额净值0.5%；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(17)本基金开始办理申购、赎回；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(18)本基金暂停接受申购、赎回申请或重新接受申购、赎回申请；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(19)基金变更标的指数；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(20)基金暂停上市、恢复上市或终止上市；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(21)基金推出新业务或服务；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(22)发生涉及基金申购、赎回事项调整或潜在影响投资者赎回等重大事项时；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(23)基金信息披露义务人认为可能对基金份额持有人权益或者基金份额的价格产生重大影响的其他事项或中国证监会规定的其他事项。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10、澄清公告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基金份额持有人大会决定的事项，应当依法报中国证监会备案，并予以公告。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12、中国证监会规定的其他信息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(二)信息披露事务管理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基金信息披露义务人公开披露基金信息，应当符合中国证监会相关基金信息披露内容与格式准则等法律法规的规定。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当按照相关法律法规、中国证监会的规定和《基金合同》的约定，对基金管理人编制的基金资产净值、基金份额净值、基金份额累计净值、申购赎回清单、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基金管理人、基金托管人应当在指定报刊中选择披露信息的报刊。基金管理人、基金托管人应当向中国证监会基金电子披露网站报送拟披露的基金信息，并保证相关报送信息的真实、准确、完整、及时。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依法在指定媒介上披露信息外，还可以根据需要在其他公共媒介披露信息，但是其他公共媒介不得早于指定媒介和基金上市交易的证券交易所网站披露信息，并且在不同媒介上披露同一信息的内容应当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为基金信息披露义务人公开披露的基金信息出具审计报告、法律意见书的专业机构，应当制作工作底稿，并将相关档案至少保存到《基金合同》终止后十年。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（三）信息披露文件的存放与查阅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依法必须披露的信息发布后，基金管理人、基金托管人应当按照相关法律法规规定将信息置备于各自住所和基金上市交易的证券交易所，供社会公众查阅、复制。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（四）本基金信息披露事项以法律法规规定及本章节约定的内容为准。</w:t>
      </w:r>
    </w:p>
    <w:p>
      <w:pPr>
        <w:pStyle w:val="Heading1"/>
        <w:snapToGrid w:val="0"/>
        <w:spacing w:before="240" w:beforeLines="0" w:after="0"/>
        <w:rPr>
          <w:rFonts w:ascii="宋体" w:hAnsi="宋体"/>
          <w:szCs w:val="30"/>
        </w:rPr>
      </w:pPr>
      <w:r>
        <w:br w:type="page"/>
      </w:r>
      <w:bookmarkStart w:id="40" w:name="_Toc256000019"/>
      <w:bookmarkStart w:id="41" w:name="_Toc256000046"/>
      <w:r>
        <w:rPr>
          <w:rFonts w:ascii="宋体" w:hAnsi="宋体"/>
          <w:sz w:val="30"/>
        </w:rPr>
        <w:t>十九、风险揭示</w:t>
      </w:r>
      <w:bookmarkEnd w:id="41"/>
      <w:bookmarkEnd w:id="4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基金在投资运作过程中可能面临各种风险，既包括市场风险，也包括基金自身的管理风险、技术风险和合规风险等。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基金份额持有人须了解并承受以下风险：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（一）投资本基金的特有风险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1、标的指数回报与股票市场平均回报偏离的风险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标的指数并不能完全代表整个股票市场。标的指数成份股的平均回报率与整个股票市场的平均回报率可能存在偏离。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2、标的指数波动的风险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标的指数成份股的价格可能受到政治因素、经济因素、上市公司经营状况、投资者心理和交易制度等各种因素的影响而波动，导致指数波动，从而使基金收益水平发生变化，产生风险。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3、基金投资组合回报与标的指数回报偏离的风险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以下因素可能使基金投资组合的收益率与标的指数的收益率发生偏离：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1)由于标的指数调整成份股或变更编制方法，使本基金在相应的组合调整中产生跟踪偏离度与跟踪误差。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2)由于标的指数成份股发生配股、增发等行为导致成份股在标的指数中的权重发生变化，使本基金在相应的组合调整中产生跟踪偏离度和跟踪误差。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3)标的指数成份股派发现金红利、新股市值配售收益将导致基金收益率超过标的指数收益率，产生正的跟踪偏离度。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4)由于标的指数成份股停牌、摘牌或流动性差等原因使本基金无法及时调整投资组合或承担冲击成本而产生跟踪偏离度和跟踪误差。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5)因法律法规的限制或其他限制，本基金不能投资于部分标的指数成分股。在使用替代方法，如投资同行业中相关性较高的股票以替代上述投资受限股票时，会产生一定的跟踪偏离度和跟踪误差。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6）基金有投资成本、各种费用及税收，而指数编制不考虑费用和税收，这将导致基金收益率落后于标的指数收益率，产生负的跟踪偏离度。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7)在本基金指数化投资过程中，基金管理人的管理能力，例如跟踪指数的水平、技术手段、买入卖出的时机选择等，都会对本基金的收益产生影响，从而影响本基金对标的指数的跟踪程度。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4、标的指数变更的风险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尽管可能性很小，但根据基金合同规定，如出现变更标的指数的情形，本基金将变更标的指数。基于原标的指数的投资政策将会改变，投资组合将随之调整，基金的收益风险特征将与新的标的指数保持一致，投资者须承担此项调整带来的风险与成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5、跟踪误差控制未达约定目标的风险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本基金力争控制本基金日均跟踪偏离度的绝对值不超过0.1%，年跟踪误差不超过2%。但因标的指数编制规则调整或其他因素可能导致跟踪误差超过上述范围，本基金净值表现与指数价格走势可能发生较大偏离。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6、指数编制机构停止服务的风险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投资人将面临更换基金标的指数、转换运作方式，与其他基金合并或者终止基金合同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7、成份股停牌的风险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标的指数成份股可能因各种原因临时或长期停牌，发生成份股停牌时可能面临如下风险：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（1）基金可能因无法及时调整投资组合而导致跟踪偏离度和跟踪误差扩大。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（2）停牌成份股可能因其权重占比、市场复牌预期、现金替代标识等因素影响本基金二级市场价格的折溢价水平。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若成份股停牌时间较长，在约定时间内仍未能及时买入或卖出的，则该部分款项将按照约定方式进行结算（具体见招募说明书“十、基金份额的申购与赎回”之“（七）申购赎回清单的内容与格式”相关约定），由此可能影响投资者的投资损益并使基金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极端情况下，标的指数成份股可能大面积停牌，基金可能无法及时卖出成份股以获取足额的符合要求的赎回对价，由此基金管理人可能采取在申购赎回清单中设置较低的赎回份额上限或者暂停赎回的措施，投资者将面临无法赎回全部或部分基金份额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当标的指数成份股发生明显负面事件面临退市，且指数编制机构暂未作出调整的，基金管理人应当按照持有人利益优先的原则，履行内部决策程序后及时对相关成份股进行调整，可能影响投资者的投资损益并使基金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8、基金份额二级市场交易价格折溢价的风险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尽管本基金将通过有效的套利机制使基金份额二级市场交易价格的折溢价控制在一定范围内，但基金份额在证券交易所的交易价格受诸多因素影响，存在不同于基金份额净值的情形，即存在价格折溢价的风险。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9、参考IOPV决策和IOPV计算错误的风险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或基金管理人委托的其他机构计算并通过证券交易所发布基金份额参考净值（IOPV），仅供投资者交易、申购、赎回基金份额时参考。IOPV与实时的基金份额净值可能存在差异，IOPV计算可能出现错误，投资者若参考IOPV进行投资决策可能导致损失，需投资者自行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10、退市风险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因本基金不再符合证券交易所上市条件被终止上市，或被基金份额持有人大会决议提前终止上市，导致基金份额不能继续进行二级市场交易的风险。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11、投资者申购失败的风险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申购赎回清单中，可能仅允许对部分成份股使用现金替代，且设置现金替代比例上限，因此，投资者在进行申购时，可能存在因个别成份股涨停、临时停牌等原因而无法买入申购所需的足够的成份股，导致申购失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12、投资者赎回失败的风险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投资者在提出赎回申请时，如基金组合中不具备足额的符合条件的赎回对价，可能导致赎回失败的情形。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能根据成份股市值规模变化等因素调整最小申购赎回单位，由此可能导致投资者按原最小申购赎回单位申购并持有的基金份额，可能无法按照新的最小申购赎回单位全部赎回，而只能在二级市场卖出全部或部分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13、基金份额赎回对价的变现风险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本基金赎回对价主要为组合证券，在组合证券变现过程中，由于市场变化、部分成份股流动性差等因素，导致投资者变现后的价值与赎回时赎回对价的价值有差异，存在变现风险。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1、本基金交易方式带来的流动性风险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开放方式运作，基金管理人在开放日办理基金份额的申购和赎回，具体办理时间为上海证券交易所的交易日,开放时间为上午9:30-11:30和下午1:00-3:00。但基金管理人根据法律法规、中国证监会的要求或基金合同的规定公告暂停申购、赎回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2、投资市场、行业及资产的流动性风险评估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3、实施备用的流动性风险管理工具的情形、程序及对投资者的潜在影响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本基金在面临大规模赎回的情况下有可能造成流动性风险。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出现流动性风险，基金管理人经与基金托管人协商，在确保投资者得到公平对待的前提下，可实施备用的流动性风险管理工具，包括但不限于暂停接受赎回申请、延缓支付赎回对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对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（三）投资科创板股票的特定风险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（3）退市风险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科创板退市制度较主板更为严格，且不再设置暂停上市、恢复上市和重新上市环节，上市公司退市风险更大。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（4）系统性风险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（5）政策风险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（四）投资存托凭证的特定风险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（五）本基金法律文件风险收益特征表述与销售机构基金风险评价可能不一致的风险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1、第三方机构服务的风险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本基金的多项服务委托第三方机构办理，存在以下风险：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1)申购赎回代理券商因多种原因，导致代理申购、赎回业务受到限制、暂停或终止，由此影响对投资者申购赎回服务的风险。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注册登记机构可能调整结算制度，如实施货银对付制度，对投资者基金份额、组合证券及资金的结算方式发生变化，制度调整可能给投资者带来理解偏差的风险。同样的风险还可能来自于证券交易所及其他代理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3)证券交易所、注册登记机构、基金托管人及其他代理机构可能违约，导致基金或投资者利益受损的风险。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2、管理风险与操作风险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等相关当事人的业务发展状况、人员配备、管理水平与内部控制等对基金收益水平存在影响。因业务扩张过快、行业内过度竞争、对主要业务人员过度依赖等可能会产生影响投资者利益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相关当事人在业务各环节操作过程中，可能因内部控制存在缺陷或者人为因素造成操作失误或违反操作规程等引致风险，例如，申购赎回清单编制错误、越权违规交易、欺诈行为及交易错误等风险。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3、技术风险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在本基金的投资、交易、服务与后台运作等业务过程中，可能因为技术系统的故障或差错导致投资者的利益受到影响。这种技术风险可能来自基金管理人、基金托管人、证券交易所、注册登记机构及代销机构等。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4、不可抗力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战争、自然灾害等不可抗力可能导致基金资产有遭受损失的风险。基金管理人、基金托管人、证券交易所、注册登记机构和代销机构等可能因不可抗力无法正常工作，从而影响基金的各项业务按正常时限完成。</w:t>
      </w:r>
    </w:p>
    <w:p>
      <w:pPr>
        <w:pStyle w:val="Heading1"/>
        <w:snapToGrid w:val="0"/>
        <w:spacing w:before="240" w:beforeLines="0" w:after="0"/>
        <w:rPr>
          <w:rFonts w:ascii="宋体" w:hAnsi="宋体"/>
          <w:szCs w:val="30"/>
        </w:rPr>
      </w:pPr>
      <w:r>
        <w:br w:type="page"/>
      </w:r>
      <w:bookmarkStart w:id="42" w:name="_Toc256000020"/>
      <w:bookmarkStart w:id="43" w:name="_Toc256000047"/>
      <w:r>
        <w:rPr>
          <w:rFonts w:ascii="宋体" w:hAnsi="宋体"/>
          <w:sz w:val="30"/>
        </w:rPr>
        <w:t>二十、基金合同的终止与基金财产的清算</w:t>
      </w:r>
      <w:bookmarkEnd w:id="43"/>
      <w:bookmarkEnd w:id="4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（一）基金合同的终止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有下列情形之一的，基金合同经中国证监会核准后将终止：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2、基金管理人职责终止，而在6个月内没有新的基金管理人承接的；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3、基金托管人职责终止，而在6个月内没有新的基金托管人承接的；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5、法律法规、中国证监会规定的或基金合同约定的其他情形。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基金合同终止时，基金管理人应予公告并组织清算小组对基金财产进行清算。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1、基金合同终止后，成立基金财产清算组，基金财产清算组在中国证监会的监督下进行基金财产清算。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2、基金财产清算组成员由基金管理人、基金托管人、具有从事证券相关业务资格的注册会计师、律师以及中国证监会指定的人员组成。基金财产清算组可以聘用必要的工作人员。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3、基金财产清算组负责基金财产的保管、清理、估价、变现和分配。基金财产清算组可以依法进行必要的民事活动。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基金合同终止，应当按法律法规和基金合同的有关规定对基金财产进行清算。基金财产清算程序主要包括：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（1）基金合同终止后，发布基金财产清算公告；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（2）基金合同终止时，由基金财产清算组统一接管基金财产；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（4）对基金财产进行估价和变现；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（6）聘请会计师事务所对清算报告进行审计；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（8）将基金清算结果报告中国证监会；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（9）公布基金财产清算结果；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清算费用是指基金财产清算组在进行基金清算过程中发生的所有合理费用，清算费用由基金财产清算组优先从基金财产中支付。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（四）基金财产的清偿、分配顺序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基金财产按照下列顺序清偿和分配：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1、支付清算费用；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2、交纳所欠税款；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3、清偿基金债务；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基金财产未按前款1-3项规定清偿前，不分配给基金份额持有人。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基金财产清算账册及有关文件由基金托管人保存15年以上。</w:t>
      </w:r>
    </w:p>
    <w:p>
      <w:pPr>
        <w:pStyle w:val="Heading1"/>
        <w:snapToGrid w:val="0"/>
        <w:spacing w:before="240" w:beforeLines="0" w:after="0"/>
        <w:rPr>
          <w:rFonts w:ascii="宋体" w:hAnsi="宋体"/>
          <w:szCs w:val="30"/>
        </w:rPr>
      </w:pPr>
      <w:r>
        <w:br w:type="page"/>
      </w:r>
      <w:bookmarkStart w:id="44" w:name="_Toc256000021"/>
      <w:bookmarkStart w:id="45" w:name="_Toc256000048"/>
      <w:r>
        <w:rPr>
          <w:rFonts w:ascii="宋体" w:hAnsi="宋体"/>
          <w:sz w:val="30"/>
        </w:rPr>
        <w:t>二十一、基金合同内容摘要</w:t>
      </w:r>
      <w:bookmarkEnd w:id="45"/>
      <w:bookmarkEnd w:id="4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（一）基金合同当事人及权利义务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根据《基金法》及其他有关法律法规，基金管理人的权利为：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（1）自本基金合同生效之日起，依照有关法律法规和本基金合同的规定独立运用基金财产；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（2）依照合同获得基金管理费以及法律法规规定或监管部门批准的其他收入；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（3）根据法律法规和基金合同之规定销售基金份额；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（4）根据法律法规和基金合同的规定制定基金收益分配方案；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（5）依照有关规定行使因基金财产投资于证券所产生的权利；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（6）在符合有关法律法规和本基金合同的前提下，制订和调整有关基金认购、申购、赎回、非交易过户、转托管等业务的规则，决定基金的除调高托管费和管理费之外的费率结构和收费方式；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根据本基金合同及有关规定监督基金托管人，对于基金托管人违反了本基金合同或有关法律法规规定的行为，对基金财产、其他基金当事人的利益造成重大损失的情形，应及时呈报中国证监会和银行业监督管理机构，并采取必要措施保护基金及相关基金当事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（8）在基金合同约定的范围内，拒绝或暂停受理申购、赎回申请；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（9）自行担任基金注册登记机构或选择、更换注册登记机构，并对注册登记机构的代理行为进行必要的监督和检查；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（10）选择、更换代销机构，并依据销售代理协议和有关法律法规，对其行为进行必要的监督和检查；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（11）在基金托管人更换时，提名新的基金托管人；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（14）选择、更换律师事务所、会计师事务所、证券经纪商或其他为基金提供服务的外部机构；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（15）根据国家有关规定，在法律法规允许的前提下，以基金的名义依法为基金融资；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（16）法律法规、基金合同以及依据基金合同制定的其它法律文件规定的其他权利。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根据《基金法》及其他有关法律法规，基金管理人的义务为：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（1）依法募集基金，办理或者委托经由中国证监会认定的其他机构代为办理基金份额的发售、申购、赎回和注册登记事宜；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（3）自基金合同生效之日起，以诚实信用、勤勉尽责的原则管理和运用基金财产；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（5）建立健全内部风险控制、监察与稽核、财务管理及人事管理等制度，保证所管理的基金财产和基金管理人的财产相互独立，对所管理的不同基金财产分别管理，分别记账，进行证券投资；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（6）除依据《基金法》、基金合同及其他有关规定外，不得为自己及任何第三人谋取利益，不得委托第三人运作基金财产；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（7）依法接受基金托管人的监督；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（8）计算并公告基金净值信息，确定基金份额申购、赎回对价；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（9）采取适当合理的措施使计算基金份额认购价格以及申购、赎回对价的方法符合基金合同等法律文件的规定；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（10）按规定受理基金份额的申购和赎回申请，及时、足额交付投资者申购之基金份额或赎回之对价；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（13）严格按照《基金法》、基金合同及其他有关规定，履行信息披露及报告义务；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（14）保守基金商业秘密，不得泄露基金投资计划、投资意向等。除《基金法》、基金合同及其他有关规定另有规定外，在基金信息公开披露前应予保密，不得向他人泄露；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（15）按照基金合同的约定确定基金收益分配方案，及时向基金份额持有人分配收益；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（17）保存基金财产管理业务活动的记录、账册、报表和其他相关资料；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（19）组织并参加基金财产清算小组，参与基金财产的保管、清理、估价、变现和分配；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（20）因违反基金合同导致基金财产的损失或损害基金份额持有人合法权益，应当承担赔偿责任，其赔偿责任不因其退任而免除；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（21）基金托管人违反基金合同造成基金财产损失时，应为基金份额持有人利益向基金托管人追偿；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（22）按规定向基金托管人提供基金份额持有人名册资料；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（24）面临解散、依法被撤销或者被依法宣告破产时，及时报告中国证监会并通知基金托管人；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（25）执行生效的基金份额持有人大会的决定；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（26）不从事任何有损基金及其他基金合同当事人利益的活动；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（27）依照法律法规为基金的利益对被投资公司行使股东权利，为基金的利益行使因基金财产投资于证券所产生的权利，不谋求对上市公司的控股和直接管理；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（28）法律法规、基金合同规定的以及中国证监会要求的其他义务。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根据《基金法》及其他有关法律法规，基金托管人的权利为：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（1）依照基金合同的约定获得基金托管费；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（2）监督基金管理人对本基金的投资运作；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（3）自本基金合同生效之日起，依照法律法规和基金合同、托管协议的规定保管基金财产；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（4）在基金管理人更换时，提名新任基金管理人；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基金合同当事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（6）依法提议召开或召集基金份额持有人大会；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（7）按规定取得基金份额持有人名册；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（8）法律法规规定的其他权利。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根据《基金法》及其他有关法律法规，基金托管人的义务为：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（1）以诚实信用、勤勉尽责的原则安全保管基金财产；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（2）设立专门的基金托管部，具有符合要求的营业场所，配备足够的、合格的熟悉基金托管业务的专职人员，负责基金财产托管事宜；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（4）除依据《基金法》、基金合同及其他有关规定外，不得为自己及任何第三人谋取利益，不得委托第三人托管基金财产；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（5）保管由基金管理人代表基金签订的与基金有关的重大合同及有关凭证；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（6）按规定开设基金财产的资金账户和证券账户,按照基金合同的约定，根据基金管理人的投资指令，及时办理清算、交割事宜；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（7）保守基金商业秘密。除《基金法》、基金合同及其他有关规定另有规定外，在基金信息公开披露前应予保密，不得向他人泄露；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（9）保存基金托管业务活动的记录、账册、报表和其他相关资料不少于15年；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（10）按照基金合同的约定，根据基金管理人的投资指令，及时办理清算、交割事宜；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（11）办理与基金托管业务活动有关的信息披露事项；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（12）复核、审查基金管理人计算的基金资产净值、基金份额净值和基金份额申购、赎回对价；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（13）按照规定监督基金管理人的投资运作；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（14）按规定制作相关账册并与基金管理人核对；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（15）依据基金管理人的指令或有关规定向基金份额持有人支付基金收益和交付赎回对价；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（16）按照规定召集基金份额持有人大会或配合基金份额持有人依法自行召集基金份额持有人大会；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（17）因违反基金合同导致基金财产损失，应承担赔偿责任，其赔偿责任不因其退任而免除；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（18）按规定监督基金管理人按照法律法规规定和基金合同履行其义务，基金管理人因违反基金合同造成基金财产损失时，应为基金向基金管理人追偿；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（19）根据本基金合同和托管协议规定建立并保存基金份额持有人名册；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（20）参加基金财产清算组，参与基金财产的保管、清理、估价、变现和分配；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（21）面临解散、依法被撤销、破产或者由接管人接管其资产时，及时报告中国证监会和中国银监会，并通知基金管理人；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（22）执行生效的基金份额持有人大会的决定；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（23）不从事任何有损基金及其他基金合同当事人利益的活动；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（24）法律法规、基金合同规定的以及中国证监会要求的其他义务。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根据《基金法》及其他有关法律法规，基金份额持有人的权利为：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（1）分享基金财产收益；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（2）参与分配清算后的剩余基金财产；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（3）依法转让或者申请赎回其持有的基金份额；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（4）按照规定要求召开基金份额持有人大会；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（6）查阅或者复制公开披露的基金信息资料；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（8）对基金管理人、基金托管人、代销机构损害其合法权益的行为依法提起诉讼；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（9）法律法规和基金合同规定的其他权利。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根据《基金法》及其他有关法律法规，基金份额持有人的义务为：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（1）遵守法律法规、基金合同及其他有关规定；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（2）交付基金认购、申购对价及缴纳法律法规、基金合同和招募说明书规定的费用；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（3）在持有的基金份额范围内，承担基金亏损或者基金合同终止的有限责任；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（4）不从事任何有损基金及其他基金份额持有人合法权益的活动；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（5）执行生效的基金份额持有人大会决议；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（6）遵守基金管理人、基金托管人及基金销售机构和注册登记机构的相关交易及业务规则；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（7）返还在基金交易过程中因任何原因，自基金管理人、基金托管人、代销机构以及其他基金份额持有人处获得的不当得利；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（8）法律法规和基金合同规定的其他义务。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本基金合同当事各方的权利义务以本基金合同为依据，不因基金财产账户名称而有所改变。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1、基金份额持有人大会由基金份额持有人或基金份额持有人的合法授权代表共组成。基金份额持有人持有的每一基金份额拥有平等的投票权。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联接基金的基金份额持有人可以凭所持有的联接基金份额出席或者委派代表出席本基金的份额持有人大会并参与表决，其持有的享有表决权的基金份额数和表决票数为，在本基金基金份额持有人大会的权益登记日，联接基金持有本基金份额的总数乘以该持有人所持有的联接基金份额占联接基金总份额的比例，计算结果按照四舍五入的方法，保留到整数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2、召开事由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出现或需要决定下列事由之一的，经基金管理人、基金托管人或持有基金份额10%以上(“以上”含本数，下同)的基金份额持有人(以基金管理人收到提议当日的基金份额计算，下同)提议时，应当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1)终止基金合同；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2)转换基金运作方式；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4)变更基金投资目标、投资范围或投资策略；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5)变更基金份额持有人大会议事程序；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6)更换基金管理人、基金托管人；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7)提高基金管理人、基金托管人的报酬标准。但根据法律法规的要求提高该等报酬标准的除外；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8)本基金与其他基金的合并；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9)终止基金上市，但因基金不再具备上市条件而被上海证券交易所终止上市的除外；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10)对基金合同当事人权利、义务产生重大影响的其他事项；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11)法律法规、基金合同或中国证监会规定的其他情形。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（2）出现以下情形之一的，可由基金管理人和基金托管人协商后修改，不需召开基金份额持有人大会：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1)调低基金管理费率、基金托管费率和其他应由基金承担的费用；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2)因相应的法律法规发生变动并属于基金合同必须遵照进行变更的情形；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3)基金合同的变更并不涉及本基金合同当事人权利义务关系发生变化的；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4)因为当事人名称、住所、法定代表人变更，当事人分立、合并等原因导致基金合同内容必须作出相应变动的；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5)基金合同的修改对基金份额持有人利益无实质性不利影响的；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6)经中国证监会允许，基金管理人、交易所和注册登记机构在法律法规、基金合同规定的范围内调整有关基金认购、申购、赎回、交易、转托管、非交易过户等业务的规则；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7)按照法律法规、基金合同和中国证监会规定不需要召开基金份额持有人大会的其他情形的。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3、召集人和召集方式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（1）除法律法规或本基金合同另有约定外，基金份额持有人大会由基金管理人召集。基金管理人未按规定召集或者不能召集时，由基金托管人召集。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4、召开基金份额持有人大会的通知时间、通知内容、通知方式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1)会议召开的时间、地点和出席方式；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2)会议拟审议的主要事项；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3)会议形式；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5)有权出席基金份额持有人大会的权益登记日；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6)授权委托证明的内容要求(包括但不限于代理人身份、代理权限和代理有效期限等)、送达时间和地点；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7)表决方式；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8)会务常设联系人姓名、电话；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9)出席会议者必须准备的文件和必须履行的手续；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10)召集人需要通知的其他事项。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采用通讯方式开会并进行表决的情况下，由召集人决定通讯方式和书面表决方式，并在会议通知中说明本次基金份额持有人大会所采取的具体通讯方式、委托的公证机关及其联系方式和联系人、书面表达意见的寄交的截止时间和收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5、基金份额持有人出席会议的方式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1)基金份额持有人大会的召开方式包括现场开会和通讯方式开会。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2)现场开会由基金份额持有人本人出席或通过授权委托证明委派其代理人出席，现场开会时基金管理人和基金托管人的授权代表应当出席，基金管理人或基金托管人拒不派代表出席的，不影响表决效力。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3)通讯方式开会指按照本基金合同的相关规定以通讯的书面方式进行表决。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4)会议的召开方式由召集人确定，但决定基金管理人更换或基金托管人更换、终止基金合同的事宜必须以现场开会方式召开基金份额持有人大会。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（2）召开基金份额持有人大会的条件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在同时符合以下条件时，现场会议方可举行：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 经核对、汇总，到会者出示的在权益登记日持有基金份额的凭证显示，全部有效凭证所对应的基金份额应占权益登记日基金总份额的50%以上；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 亲自出席会议的基金份额持有人出具的身份证明及持有基金份额的凭证和受托出席会议者出具的代理人身份证明、委托人持有基金份额的凭证及授权委托证明等文件符合有关法律法规和基金合同及会议通知的规定，并且持有基金份额的凭证与注册登记机构记录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未能满足上述条件的情况下，则召集人可另行确定并公告重新开会的时间(至少应在25个工作日后)和地点，但确定有权出席会议的基金份额持有人资格的权益登记日不变。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在同时符合以下条件时，通讯会议方可举行：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 召集人按本基金合同规定公布会议通知后，在2个工作日内连续公布相关提示性公告；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 召集人在基金托管人(如果基金托管人为召集人，则为基金管理人)和公证机关的监督下按照会议通知规定的方式收取和统计基金份额持有人的书面表决意见，基金管理人或基金托管人经通知拒不参加收取和统计书面表决意见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 本人直接出具书面意见或授权他人代表出具书面意见的基金份额持有人所代表的基金份额应占权益登记日基金总份额的50%以上；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 直接出具书面意见的基金份额持有人或受托代表他人出具书面意见的代表，同时提交的持有基金份额的凭证和受托出席会议者出具的委托人持有基金份额的凭证和授权委托证明等文件符合法律法规、基金合同和会议通知的规定，并与注册登记机构记录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如果开会条件达不到上述的条件，则召集人可另行确定并公告重新表决的时间(至少应在25个工作日后)，且确定有权出席会议的基金份额持有人资格的权益登记日不变。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6、议事内容与程序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（1）议事内容及提案权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1)议事内容为本基金合同规定的召开基金份额持有人大会事由所涉及的内容。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单独或合并持有权益登记日本基金总份额10%以上的基金份额持有人可以在大会召集人发出会议通知前就召开事由向大会召集人提交需由基金份额持有人大会审议表决的提案；也可以在会议通知发出后向大会召集人提交临时提案，临时提案应当在大会召开日前35日提交召集人。召集人对于临时提案应当在大会召开日前30日公告。否则，会议的召开日期应当顺延并保证至少与临时提案公告日期有30日的间隔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3)对于基金份额持有人提交的提案(包括临时提案)，大会召集人应当按照以下原则对提案进行审核：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5)基金份额持有人大会的召集人发出召开会议的通知后，如果需要对原有提案进行修改，应当最迟在基金份额持有人大会召开日前30日公告。否则，会议的召开日期应当顺延并保证至少与公告日期有30日的间隔期。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在现场开会的方式下，首先由大会主持人按照规定程序宣布会议议事程序及注意事项，确定和公布监票人，然后由大会主持人宣读提案，经讨论后进行表决，经合法执业的律师见证后形成大会决议。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基金管理人和基金托管人不出席或主持基金份额持有人大会，不影响基金份额持有人大会作出的决议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召集人应当制作出席会议人员的签名册。签名册载明参加会议人员姓名(或单位名称)、身份证号码、持有或代表有表决权的基金份额数量、委托人姓名(或单位名称)等事项。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2)通讯方式开会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表决开会的方式下，首先由召集人提前30日公布提案，在所通知的表决截止日期第2个工作日在公证机构和基金托管人(如果基金托管人为召集人，则为基金管理人)监督下由召集人统计全部有效表决并形成决议，基金管理人或基金托管人经通知拒不参加收取和统计书面表决意见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（3）基金份额持有人大会不得对未事先公告的议事内容进行表决。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7、决议形成的条件、表决方式、程序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（1）基金份额持有人所持每一基金份额享有平等的表决权。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（2）基金份额持有人大会决议分为一般决议和特别决议：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1)一般决议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一般决议须经出席会议的基金份额持有人及其代理人所持表决权的50%以上通过方为有效，除下列2)所规定的须以特别决议通过事项以外的其他事项均以一般决议的方式通过；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2)特别决议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特别决议须经出席会议的基金份额持有人及代理人所持表决权的三分之二以上通过方为有效；更换基金管理人、更换基金托管人、转换基金运作方式、终止基金合同必须以特别决议通过方为有效。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（3）基金份额持有人大会决定的事项，应当依法报中国证监会核准，或者备案，并予以公告。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（5）基金份额持有人大会采取记名方式进行投票表决。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（6）基金份额持有人大会的各项提案或同一项提案内并列的各项议题应当分开审议、逐项表决。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2)监票人应当在基金份额持有人表决后立即进行清点，由大会主持人当场公布计票结果。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4)计票过程应由公证机关予以公证。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（2）通讯方式开会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方式开会的情况下，计票方式为：由大会召集人授权的两名监督员在基金托管人授权代表(如果基金托管人为召集人，则为基金管理人授权代表)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担任监督计票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9、基金份额持有人大会决议报中国证监会核准或备案后的公告时间、方式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通过的一般决议和特别决议，召集人应当自通过之日起5日内报中国证监会核准或者备案。关于本部分第2条所规定的第1)-9)项召开事由的基金份额持有人大会决议经中国证监会核准生效后方可执行，关于本部分第2条所规定的第10)、11)项召开事由的基金份额持有人大会决议经中国证监会核准或出具无异议意见后方可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（2）生效的基金份额持有人大会决议对全体基金份额持有人、基金管理人、基金托管人均有约束力。基金管理人、基金托管人和基金份额持有人应当执行生效的基金份额持有人大会的决定。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（3）基金份额持有人大会决议应自生效之日起2日内在指定媒介公告。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（4）如果采用通讯方式进行表决，在公告基金份额持有人大会决议时，必须将公证书全文、公证机关、公证员姓名等一同公告。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10、法律法规或中国证监会对基金份额持有人大会另有规定的，从其规定。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（三）基金合同的变更与终止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（1）下列涉及到基金合同内容变更的事项应召开基金份额持有人大会并经基金份额持有人大会决议同意：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1)转换基金运作方式；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3)变更基金投资目标、投资范围或投资策略；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4)变更基金份额持有人大会议事程序；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5)更换基金管理人、基金托管人；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6)提高基金管理人、基金托管人的报酬标准。但根据法律法规的要求提高该等报酬标准的除外；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7)本基金与其他基金的合并；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8)对基金合同当事人权利、义务产生重大影响，需召开基金份额持有人大会的变更基金合同等其他事项；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9)法律法规、基金合同或中国证监会规定的其他情形。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但出现下列情况时，可不经基金份额持有人大会决议，由基金管理人和基金托管人同意变更后公布经修订的基金合同，并报中国证监会备案：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1)调低基金管理费率、基金托管费率和其他应由基金承担的费用；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 因相应的法律法规发生变动并属于基金合同必须遵照进行变更的情形；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 基金合同的变更并不涉及本基金合同当事人权利义务关系发生变化的；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 因为当事人名称、住所、法定代表人变更，当事人分立、合并等原因导致基金合同内容必须作出相应变动的；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 基金合同的修改对基金份额持有人利益无实质性不利影响的；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6)经中国证监会允许，基金管理人、交易所和注册登记机构在法律法规、基金合同规定的范围内调整有关基金认购、申购、赎回、交易、转托管、非交易过户等业务的规则；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7)按照法律法规、基金合同和中国证监会规定不需要召开基金份额持有人大会的其他情形的。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（2）关于变更基金合同的基金份额持有人大会决议经中国证监会核准或备案，并经中国证监会核准或出具无异议意见之日起生效。基金管理人应在上述基金份额持有人大会决议生效后2日内在指定媒介上公告。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2、基金合同的终止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有下列情形之一的，本基金合同经中国证监会核准后将终止：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（2）基金管理人职责终止，而在6个月内没有新的基金管理人承接的；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（3）基金托管人职责终止，而在6个月内没有新的基金托管人承接的；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（四）争议的处理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本基金合同适用中华人民共和国法律并从其解释。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（五）基金合同存放地和投资者取得基金合同的方式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本基金合同正本一式六份，除上报相关监管部门两份外，基金管理人和基金托管人各持有两份。每份均具有同等的法律效力。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本基金合同可印制成册，供基金投资者在基金管理人、基金托管人办公场所查阅。基金合同条款及内容应以基金合同正本为准。</w:t>
      </w:r>
    </w:p>
    <w:p>
      <w:pPr>
        <w:pStyle w:val="Heading1"/>
        <w:snapToGrid w:val="0"/>
        <w:spacing w:before="240" w:beforeLines="0" w:after="0"/>
        <w:rPr>
          <w:rFonts w:ascii="宋体" w:hAnsi="宋体"/>
          <w:szCs w:val="30"/>
        </w:rPr>
      </w:pPr>
      <w:r>
        <w:br w:type="page"/>
      </w:r>
      <w:bookmarkStart w:id="46" w:name="_Toc256000022"/>
      <w:bookmarkStart w:id="47" w:name="_Toc256000049"/>
      <w:r>
        <w:rPr>
          <w:rFonts w:ascii="宋体" w:hAnsi="宋体"/>
          <w:sz w:val="30"/>
        </w:rPr>
        <w:t>二十二、托管协议的内容摘要</w:t>
      </w:r>
      <w:bookmarkEnd w:id="47"/>
      <w:bookmarkEnd w:id="4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（一）托管协议当事人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成立日期：2005年8月4日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批准设立机关及批准设立文号：中国证监会证监基金字【2005】128号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注册资本：贰亿元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经营范围：基金募集、基金销售、资产管理和中国证监会许可的其它业务。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名称：中国农业银行股份有限公司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注册地址：北京市东城区建国门内大街69号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办公地址：北京市西城区复兴门内大街28号凯晨世贸中心东座9F</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邮政编码：100031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法定代表人：谷澍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成立时间：2009年1月15日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注册资本：32,479,411.7万元人民币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 券投资托管业务；代理开放式基金业务；电话银行、手机银行、网上银行业务；金融衍生产品交易业务；经国务院银行业监督管理机构等监管部门批准的其他业务。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（二）基金托管人对基金管理人的业务监督和核查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以上证180公司治理指数成份股（含存托凭证）、备选成份股（含存托凭证）为主要投资对象，把全部或接近全部的基金资产用于跟踪标的指数的表现，正常情况下指数化投资比例，即投资于标的指数成份股（含存托凭证）和备选成份股（含存托凭证）的资产比例，不低于基金资产净值的95%。此外，为更好地实现投资目标，本基金也可少量投资于新股（含存托凭证）、债券及中国证监会允许基金投资的其它金融工具。如因标的指数成份股调整、基金份额申购赎回清单内现金替代、现金差额等因素导致基金投资比例不符合上述标准的，基金管理人将在10个交易日内进行调整。法律法规或监管机构日后允许本基金投资的其他品种（如股指期货等），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2、基金托管人根据有关法律法规的规定及基金合同的约定，对基金投资、融资、融券比例进行监督。基金托管人按下述比例和调整期限进行监督：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（1）进入全国银行间同业市场的债券回购融入的资金余额不得超过基金资产净值的40%；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（3）本基金投资权证，在任何交易日买入的总金额，不超过上一交易日基金资产净值的0.5%，基金持有的全部权证的市值不超过基金资产净值的 3%，本基金管理人管理的全部基金持有同一权证的比例不超过该权证的10%。投资于其他权证的投资比例，遵从法律法规或监管部门的相关规定。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（6）本基金不得违反基金合同中有关投资范围、投资策略、投资比例的规定；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（8）法律法规或监管部门对上述比例限制另有规定的，从其规定。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第（4）、（5）项外，因证券市场波动、上市公司合并、基金规模变动、标的指数成分股调整、基金申购或赎回带来现金等非本基金管理人的因素致使基金投资组合不符合上述规定的投资比例的，基金管理人应当在10个交易日内进行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基金管理人应当自基金合同生效之日起3个月内使基金的投资组合比例符合基金合同的有关约定。法律法规或监管部门另有规定的，从其规定。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上述投资组合限制条款中，若属法律法规的强制性规定，则当法律法规或监管部门取消上述限制，在履行适当程序后，本基金投资可不受上述规定限制。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基金托管人对基金投资的监督和检查自基金合同生效之日起开始。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根据有关法律法规的规定及基金合同的约定，对本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并约定各交易对手所适用的交易结算方式。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3个工作日内与基金托管人协商解决。基金管理人收到基金托管人书面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或交易方式进行交易时，基金托管人应及时提醒基金管理人，基金托管人不承担由此造成的任何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（三）基金管理人对基金托管人的业务核查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（四）基金财产的保管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1、基金财产保管的原则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（1）基金财产应独立于基金管理人、基金托管人的固有财产。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（2）基金托管人应安全保管基金财产。未经基金管理人依据合法程序作出的合法合规指令，基金托管人不得自行运用、处分、分配基金的任何财产。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（3）基金托管人按照规定开设基金财产的资金账户和证券账户。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（5）基金托管人根据基金管理人的指令，按照基金合同和本协议的约定保管基金财产，如有特殊情况双方可另行协商解决。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对于因为基金认（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（7）除依据法律法规和基金合同的规定外，基金托管人不得委托第三人托管基金财产。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2、基金募集期间及募集资金的验资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募集期满或基金停止募集时，募集的基金份额总额、基金募集金额、基金份额持有人人数符合《基金法》、《运作办法》等有关规定后，基金管理人应将募集到的全部资金划入基金托管人为基金开立的基金资金账户，网下股票认购所募集到的股票划入以基金托管人和基金联名方式开立的证券账户下，同时在规定时间内，聘请具有从事证券相关业务资格的会计师事务所进行验资，出具验资报告。出具的验资报告由参加验资的2名或2名以上中国注册会计师签字方为有效。基金托管人在收到资金和股票当日出具确认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（2）若基金募集期限届满，未能达到基金合同生效的条件，由基金管理人按规定办理退款和募集股票解冻的事宜，基金托管人应提供充分协助。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3、基金资金账户的开立和管理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（1）基金托管人应负责本基金的资金账户的开设和管理。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或收取现金差额、支付或收取现金替代款、支付或收取现金替代款的多退少补、支付基金收益，均需通过本基金的资金账户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（4）基金资金账户的开立和管理应符合相关法律法规的有关规定。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（5）在符合法律法规规定的条件下，基金托管人可以通过基金托管人专用账户办理基金资产的支付。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4、基金证券账户和结算备付金账户的开立和管理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（1）基金托管人在中国证券登记结算有限责任公司上海分公司、深圳分公司为基金开立基金托管人与基金联名的证券账户。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（4）基金证券账户的开立和证券账户卡的保管由基金托管人负责，账户资产的管理和运用由基金管理人负责。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5、投资人申购或赎回时现金替代、现金差额的查收与划付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基金托管人应根据注册登记机构的交收指令办理本基金因申购、赎回产生的现金替代、现金差额的结算。现金替代的退款和补款由基金管理人负责办理。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6、债券托管专户的开设和管理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基金管理人负责以基金的名义申请并取得进入全国银行间同业拆借市场的交易资格，并代表基金进行交易；基金托管人根据中国人民银行、中央国债登记结算有限责任公司的有关规定，在中央国债登记结算有限责任公司开立债券托管与结算账户，并代表基金进行银行间市场债券的结算。基金管理人和基金托管人同时代表基金签订全国银行间债券市场债券回购主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7、其他账户的开立和管理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（1）因业务发展需要而开立的其他账户，可以根据法律法规和基金合同的规定，在基金管理人和基金托管人商议后由基金托管人负责开立。新账户按有关规则使用并管理。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（2）法律法规等有关规定对相关账户的开立和管理另有规定的，从其规定办理。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8、基金财产投资的有关有价凭证等的保管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托管人以外机构实际有效控制的证券不承担保管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9、与基金财产有关的重大合同的保管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（五）基金资产估值、基金资产净值计算与复核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1、基金资产净值的计算及复核程序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基金资产净值是指基金资产总值减去负债后的金额。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基金份额净值是指基金资产净值除以基金份额总数。基金份额净值的计算，精确到0.001元，小数点后第四位四舍五入，由此产生的误差计入基金财产。国家另有规定的，从其规定。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每工作日计算基金资产净值及基金份额净值，并按规定公告。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（2）复核程序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基金管理人每工作日对基金资产进行估值后，将基金份额净值结果发送基金托管人，经基金托管人复核无误后，由基金管理人对外公布。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2、基金资产估值方法和特殊情形的处理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基金依法拥有的股票、债券、权证及其他基金资产。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 上市股票的估值：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 未上市股票的估值。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A、首次发行未上市的股票，采用估值技术确定公允价值，在估值技术难以可靠计量公允价值的情况下，按成本价估值；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B、送股、转增股、配股和增发等方式发行的股票，按估值日在证券交易所上市的同一股票的市价进行估值；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C、首次公开发行有明确锁定期的股票，同一股票在交易所上市后，按估值日在证券交易所上市的同一股票的市价进行估值；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D、非公开发行的且在发行时明确一定期限锁定期的股票，按监管机构或行业协会有关规定确定公允价值。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③本基金投资存托凭证的估值核算依照境内上市交易的股票执行。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在任何情况下，基金管理人如采用本项第①－③小项规定的方法对基金资产进行估值，均应被认为采用了适当的估值方法。但是，如果基金管理人认为按本项第①－③小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⑤国家有最新规定的，按其规定进行估值。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2）债券估值办法：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①交易所市场上市交易或挂牌转让的固定收益品种（另有规定的除外），选取第三方估值机构提供的相应品种当日的估值净价进行估值。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 在证券交易所市场挂牌交易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 首次发行未上市债券采用估值技术确定的公允价值进行估值，在估值技术难以可靠计量公允价值的情况下，按成本估值。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 交易所以大宗交易方式转让的资产支持证券，采用估值技术确定公允价值，在估值技术难以可靠计量公允价值的情况下，按成本进行后续计量。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 在全国银行间债券市场交易的债券、资产支持证券等固定收益品种，采用估值技术确定公允价值。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⑥ 同一债券同时在两个或两个以上市场交易的，按债券所处的市场分别估值。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⑦ 在任何情况下，基金管理人如采用本项第①－⑥小项规定的方法对基金资产进行估值，均应被认为采用了适当的估值方法。但是，如果基金管理人认为按本项第①－⑥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⑧ 国家有最新规定的，按其规定进行估值。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3）权证估值方法：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 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 首次发行未上市的权证，采用估值技术确定公允价值，在估值技术难以可靠计量公允价值的情况下，按成本估值。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 因持有股票而享有的配股权，以及停止交易、但未行权的权证，采用估值技术确定公允价值进行估值。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 在任何情况下，基金管理人如采用本项第①－③项规定的方法对基金资产进行估值，均应被认为采用了适当的估值方法。但是，如果基金管理人认为按本项第①－③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 国家有最新规定的，按其规定进行估值。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4）其他有价证券等资产按国家有关规定进行估值。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基金管理人、基金托管人按股票估值方法的第④项、债券估值方法的第⑦项、权证估值方法的第④项进行估值时，所造成的误差不作为基金份额净值错误处理。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3、基金份额净值错误的处理方式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基金份额净值小数点后3位以内(含第3位)发生差错时，视为基金份额净值错误；基金份额净值出现错误时，基金管理人应当立即予以纠正，通报基金托管人，并采取合理的措施防止损失进一步扩大；错误偏差达到或超过基金资产净值的0.25%时，基金管理人应当及时通知基金托管人并报中国证监会；错误偏差达到基金份额净值的0.50%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若基金管理人计算的基金份额净值已由基金托管人复核确认后公告，而且基金托管人未对计算过程提出疑义或要求基金管理人书面说明，份额净值出错且造成基金份额持有人损失的，应根据法律法规的规定对投资者或基金支付赔偿金，就实际向投资者或基金支付的赔偿金额，其中基金管理人承担50%，基金托管人承担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由于基金管理人提供的信息错误（包括但不限于基金申购或赎回金额等），基金托管人在采取必要的措施后仍不能发现该错误，进而导致基金份额净值计算错误而引起的基金份额持有人和基金的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可以免除赔偿责任。但基金管理人、基金托管人应积极采取必要的措施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（4）基金管理人和基金托管人由于各自技术系统设置而产生的净值计算尾差，以基金管理人计算结果为准。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（5）前述内容如法律法规或监管机关另有规定的，从其规定处理。如果行业有通行做法，双方当事人应本着平等和保护基金份额持有人利益的原则进行协商。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4、暂停估值与公告基金份额净值的情形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（1）基金投资所涉及的证券交易所遇法定节假日或因其他原因暂停营业时；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（2）因不可抗力或其他情形致使基金管理人、基金托管人无法准确评估基金资产价值时；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（4）中国证监会和基金合同认定的其他情形。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按国家有关部门规定的会计制度执行。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6、基金账册的建立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7、基金财务报表与定期报告的编制和复核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（1）财务报表的编制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基金财务报表由基金管理人和基金托管人每月分别独立编制。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（2）报表复核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在报表或定期报告完成当日，对报表盖章后，以加密传真方式或双方书面商定的其他方式将有关报表提供基金托管人复核。基金托管人在复核过程中，发现相关各方的报表存在不符时，基金管理人和基金托管人应共同查明原因，进行调整，调整以相关各方认可的账务处理方式为准。核对无误后，基金托管人在基金管理人提供的报告上加盖托管业务部业务专用章，或者出具加盖托管业务部业务专用章的复核意见书，相关各方各自留存一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（3）财务报表的编制与复核时间安排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1）报表的编制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每月结束后5个工作日内完成月度报表的编制；在季度结束之日起15个工作日内完成季度报告的编制；在上半年结束之日起两个月内完成基金中期报告的编制；在每年结束之日起三个月内完成基金年度报告的编制。基金年度报告中的财务会计报告应当经过具有证券相关业务资格的会计师事务所审计。基金合同生效不足两个月的，基金管理人可以不编制当期季度报告、中期报告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2）报表的复核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基金管理人应留足充分的时间，便于基金托管人复核相关报表及报告。中期报告复核时间为20日，年度报告复核时间为30日。基金托管人复核完毕，应出具相应的复核确认书。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8、基金管理人应每周向基金托管人提供基金业绩比较基准的基础数据和编制结果。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（六）基金份额持有人名册的登记与保管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名册由注册登记机构编制，由基金管理人审核并提交基金托管人保管。基金托管人有权要求基金管理人提供任意一个交易日或全部交易日的基金份额持有人名册，基金管理人应及时提供，不得拖延或拒绝提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本协议适用中华人民共和国法律并从其解释。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（八）托管协议的变更与终止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本协议双方当事人经协商一致，可以对协议进行修改。修改后的新协议，其内容不得与基金合同的规定有任何冲突。基金托管协议的变更报中国证监会核准后生效。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2、基金托管协议终止的情形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（2）基金托管人解散、依法被撤销、破产或由其他基金托管人接管基金资产；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（3）基金管理人解散、依法被撤销、破产或由其他基金管理人接管基金管理权；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（4）发生法律法规或基金合同规定的终止事项。</w:t>
      </w:r>
    </w:p>
    <w:p>
      <w:pPr>
        <w:pStyle w:val="Heading1"/>
        <w:snapToGrid w:val="0"/>
        <w:spacing w:before="240" w:beforeLines="0" w:after="0"/>
        <w:rPr>
          <w:rFonts w:ascii="宋体" w:hAnsi="宋体"/>
          <w:szCs w:val="30"/>
        </w:rPr>
      </w:pPr>
      <w:r>
        <w:br w:type="page"/>
      </w:r>
      <w:bookmarkStart w:id="48" w:name="_Toc256000023"/>
      <w:bookmarkStart w:id="49" w:name="_Toc256000050"/>
      <w:r>
        <w:rPr>
          <w:rFonts w:ascii="宋体" w:hAnsi="宋体"/>
          <w:sz w:val="30"/>
        </w:rPr>
        <w:t>二十三、对基金份额持有人的服务</w:t>
      </w:r>
      <w:bookmarkEnd w:id="49"/>
      <w:bookmarkEnd w:id="4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对本基金份额持有人的服务主要由基金管理人、发售代理机构以及申购赎回代理券商提供。本基金管理人根据基金份额持有人的需要和市场的变化，有权增加或变更服务项目。主要服务内容如下：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投资者如果想查询基金净值、相关公告、基金产品与服务等信息，请拨打本基金管理人客户服务电话（400-700-5000，021-61055000）或登录本基金管理人网站（www.fund001.com）进行咨询、查询。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服务联系方式：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本基金管理人的互联网地址及电子信箱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电子信箱：services@jysld.com</w:t>
      </w:r>
    </w:p>
    <w:p>
      <w:pPr>
        <w:pStyle w:val="Heading1"/>
        <w:snapToGrid w:val="0"/>
        <w:spacing w:before="240" w:beforeLines="0" w:after="0"/>
        <w:rPr>
          <w:rFonts w:ascii="宋体" w:hAnsi="宋体"/>
          <w:szCs w:val="30"/>
        </w:rPr>
      </w:pPr>
      <w:r>
        <w:br w:type="page"/>
      </w:r>
      <w:bookmarkStart w:id="50" w:name="_Toc256000024"/>
      <w:bookmarkStart w:id="51" w:name="_Toc256000051"/>
      <w:r>
        <w:rPr>
          <w:rFonts w:ascii="宋体" w:hAnsi="宋体"/>
          <w:sz w:val="30"/>
        </w:rPr>
        <w:t>二十四、其他应披露事项</w:t>
      </w:r>
      <w:bookmarkEnd w:id="51"/>
      <w:bookmarkEnd w:id="5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基金合同如有未尽事宜，由基金合同当事人各方按有关法律法规协商解决。</w:t>
      </w:r>
    </w:p>
    <w:tbl>
      <w:tblPr>
        <w:tblW w:w="5000" w:type="pct"/>
        <w:tblInd w:w="0" w:type="dxa"/>
        <w:tblLayout w:type="fixed"/>
        <w:tblCellMar>
          <w:top w:w="0" w:type="dxa"/>
          <w:left w:w="0" w:type="dxa"/>
          <w:bottom w:w="0" w:type="dxa"/>
          <w:right w:w="0" w:type="dxa"/>
        </w:tblCellMar>
        <w:tblLook w:val="0000"/>
      </w:tblPr>
      <w:tblGrid>
        <w:gridCol w:w="605"/>
        <w:gridCol w:w="3629"/>
        <w:gridCol w:w="2823"/>
        <w:gridCol w:w="1613"/>
      </w:tblGrid>
      <w:tr>
        <w:tblPrEx>
          <w:tblW w:w="5000" w:type="pct"/>
          <w:tblInd w:w="0" w:type="dxa"/>
          <w:tblLayout w:type="fixed"/>
          <w:tblCellMar>
            <w:top w:w="0" w:type="dxa"/>
            <w:left w:w="0" w:type="dxa"/>
            <w:bottom w:w="0" w:type="dxa"/>
            <w:right w:w="0" w:type="dxa"/>
          </w:tblCellMar>
          <w:tblLook w:val="0000"/>
        </w:tblPrEx>
        <w:trPr>
          <w:cantSplit/>
          <w:trHeight w:val="375"/>
        </w:trPr>
        <w:tc>
          <w:tcPr>
            <w:tcW w:w="30"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披露日期</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上证180公司治理交易型开放式指数证券投资基金2025年第3季度报告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2025-11-24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交银施罗德基金管理有限公司关于旗下上交所ETF申购赎回清单版本更新的公告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2025-11-24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2025-12-20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上证180公司治理交易型开放式指数证券投资基金2025年第4季度报告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2026-01-21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交银施罗德基金管理有限公司关于上证180公司治理交易型开放式指数证券投资基金变更扩位证券简称的公告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2026-02-06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2026-02-09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交银施罗德基金管理有限公司关于上证180公司治理交易型开放式指数证券投资基金调整基金份额参考净值（IOPV）计算机构的公告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2026-02-10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2026-02-10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上证180公司治理交易型开放式指数证券投资基金2025年年度报告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上证180公司治理交易型开放式指数证券投资基金2026年第1季度报告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交银施罗德基金管理有限公司关于终止中证金牛（北京）基金销售有限公司办理相关销售业务的公告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上证180公司治理交易型开放式指数证券投资基金2026年第2季度报告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2026-07-20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上证180公司治理交易型开放式指数证券投资基金2026年中期报告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2026-08-31</w:t>
            </w:r>
          </w:p>
        </w:tc>
      </w:tr>
    </w:tbl>
    <w:p>
      <w:pPr>
        <w:pStyle w:val="Heading1"/>
        <w:snapToGrid w:val="0"/>
        <w:spacing w:before="240" w:beforeLines="0" w:after="0"/>
        <w:rPr>
          <w:rFonts w:ascii="宋体" w:hAnsi="宋体"/>
          <w:szCs w:val="30"/>
        </w:rPr>
      </w:pPr>
      <w:r>
        <w:br w:type="page"/>
      </w:r>
      <w:bookmarkStart w:id="52" w:name="_Toc256000025"/>
      <w:bookmarkStart w:id="53" w:name="_Toc256000052"/>
      <w:r>
        <w:rPr>
          <w:rFonts w:ascii="宋体" w:hAnsi="宋体"/>
          <w:sz w:val="30"/>
        </w:rPr>
        <w:t>二十五、招募说明书的存放及查阅方式</w:t>
      </w:r>
      <w:bookmarkEnd w:id="53"/>
      <w:bookmarkEnd w:id="5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募说明书存放在基金管理人、基金托管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投资者还可以直接登录基金管理人的网站(www.fund001.com)查阅和下载招募说明书。</w:t>
      </w:r>
    </w:p>
    <w:p>
      <w:pPr>
        <w:pStyle w:val="Heading1"/>
        <w:snapToGrid w:val="0"/>
        <w:spacing w:before="240" w:beforeLines="0" w:after="0"/>
        <w:rPr>
          <w:rFonts w:ascii="宋体" w:hAnsi="宋体"/>
          <w:szCs w:val="30"/>
        </w:rPr>
      </w:pPr>
      <w:r>
        <w:br w:type="page"/>
      </w:r>
      <w:bookmarkStart w:id="54" w:name="_Toc256000026"/>
      <w:bookmarkStart w:id="55" w:name="_Toc256000053"/>
      <w:r>
        <w:rPr>
          <w:rFonts w:ascii="宋体" w:hAnsi="宋体"/>
          <w:sz w:val="30"/>
        </w:rPr>
        <w:t>二十六、备查文件</w:t>
      </w:r>
      <w:bookmarkEnd w:id="55"/>
      <w:bookmarkEnd w:id="5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以下备查文件存放在基金管理人的办公场所，在办公时间可供免费查阅。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（一）中国证监会核准上证180公司治理交易型开放式指数证券投资基金募集的文件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（二）《上证180公司治理交易型开放式指数证券投资基金基金合同》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（三）《上证180公司治理交易型开放式指数证券投资基金托管协议》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（四）基金管理人业务资格批件、营业执照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（五）基金托管人业务资格批件、营业执照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（六）关于申请募集上证180公司治理交易型开放式指数证券投资基金之法律意见书</w:t>
      </w:r>
    </w:p>
    <w:sectPr>
      <w:footerReference w:type="default" r:id="rId16"/>
      <w:pgSz w:w="11920" w:h="16840"/>
      <w:pgMar w:top="1360" w:right="1580" w:bottom="280" w:left="1680" w:header="0" w:footer="1186" w:gutter="0"/>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0002A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o:spid="_x0000_s2049" type="#_x0000_t202" style="height:11pt;margin-left:293.4pt;margin-top:782.6pt;mso-height-relative:page;mso-position-horizontal-relative:page;mso-position-vertical-relative:page;mso-width-relative:page;position:absolute;width:21.6pt;z-index:-251658240"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2</w:t>
                </w:r>
                <w:r>
                  <w:rPr>
                    <w:rFonts w:ascii="Times New Roman" w:hAnsi="Times New Roman"/>
                    <w:kern w:val="0"/>
                    <w:sz w:val="18"/>
                    <w:szCs w:val="1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0" type="#_x0000_t202" style="height:11pt;margin-left:291.25pt;margin-top:773.85pt;mso-height-relative:page;mso-position-horizontal-relative:page;mso-position-vertical-relative:page;mso-width-relative:page;position:absolute;width:33.5pt;z-index:-251657216"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1" type="#_x0000_t202" style="height:11pt;margin-left:291.25pt;margin-top:773.85pt;mso-height-relative:page;mso-position-horizontal-relative:page;mso-position-vertical-relative:page;mso-width-relative:page;position:absolute;width:33.5pt;z-index:-251656192"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128</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napToGrid w:val="0"/>
      <w:spacing w:before="0" w:after="0"/>
      <w:ind w:left="0" w:right="0" w:firstLine="0"/>
      <w:jc w:val="right"/>
      <w:rPr>
        <w:rFonts w:ascii="宋体" w:hAnsi="宋体" w:hint="eastAsia"/>
      </w:rPr>
    </w:pPr>
    <w:r>
      <w:rPr>
        <w:rFonts w:ascii="宋体" w:hAnsi="宋体" w:hint="eastAsia"/>
      </w:rPr>
      <w:t>上证180公司治理交易型开放式指数证券投资基金</w:t>
    </w:r>
    <w:r>
      <w:rPr>
        <w:rFonts w:ascii="宋体" w:hAnsi="宋体" w:hint="eastAsia"/>
      </w:rPr>
      <w:t>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hint="eastAsia"/>
      </w:rPr>
    </w:pPr>
  </w:p>
  <w:p>
    <w:pPr>
      <w:pStyle w:val="Header"/>
      <w:jc w:val="right"/>
      <w:rPr>
        <w:rFonts w:hint="eastAsia"/>
      </w:rPr>
    </w:pPr>
  </w:p>
  <w:p>
    <w:pPr>
      <w:pStyle w:val="Header"/>
      <w:snapToGrid w:val="0"/>
      <w:spacing w:before="0" w:after="0"/>
      <w:ind w:left="0" w:right="0" w:firstLine="0"/>
      <w:jc w:val="right"/>
      <w:rPr>
        <w:rFonts w:ascii="宋体" w:hAnsi="宋体" w:hint="eastAsia"/>
      </w:rPr>
    </w:pPr>
    <w:r>
      <w:rPr>
        <w:rFonts w:ascii="宋体" w:hAnsi="宋体" w:hint="eastAsia"/>
      </w:rPr>
      <w:t>上证180公司治理交易型开放式指数证券投资基金</w:t>
    </w:r>
    <w:r>
      <w:rPr>
        <w:rFonts w:ascii="宋体" w:hAnsi="宋体" w:hint="eastAsia"/>
      </w:rPr>
      <w:t>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lsdException w:name="header" w:semiHidden="0"/>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semiHidden="0"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0" w:unhideWhenUsed="0" w:qFormat="1"/>
    <w:lsdException w:name="Salutation"/>
    <w:lsdException w:name="Date"/>
    <w:lsdException w:name="Body Text First Indent"/>
    <w:lsdException w:name="Body Text First Indent 2"/>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semiHidden="0"/>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uiPriority="0" w:unhideWhenUsed="0"/>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100" w:beforeLines="100" w:after="100" w:afterLines="100" w:line="360" w:lineRule="auto"/>
      <w:jc w:val="center"/>
      <w:outlineLvl w:val="0"/>
    </w:pPr>
    <w:rPr>
      <w:b/>
      <w:bCs/>
      <w:kern w:val="44"/>
      <w:sz w:val="28"/>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Cambria" w:hAnsi="Cambria"/>
      <w:b/>
      <w:bCs/>
      <w:sz w:val="32"/>
      <w:szCs w:val="32"/>
    </w:rPr>
  </w:style>
  <w:style w:type="paragraph" w:styleId="Heading4">
    <w:name w:val="heading 4"/>
    <w:basedOn w:val="Normal"/>
    <w:next w:val="Normal"/>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Style w:val="TableNormal"/>
      <w:tblCellMar>
        <w:top w:w="0" w:type="dxa"/>
        <w:left w:w="108" w:type="dxa"/>
        <w:bottom w:w="0" w:type="dxa"/>
        <w:right w:w="108" w:type="dxa"/>
      </w:tblCellMar>
    </w:tblPr>
  </w:style>
  <w:style w:type="paragraph" w:styleId="CommentSubject">
    <w:name w:val="annotation subject"/>
    <w:basedOn w:val="CommentText"/>
    <w:next w:val="CommentText"/>
    <w:link w:val="Char0"/>
    <w:uiPriority w:val="99"/>
    <w:unhideWhenUsed/>
    <w:rPr>
      <w:b/>
      <w:bCs/>
    </w:rPr>
  </w:style>
  <w:style w:type="paragraph" w:styleId="CommentText">
    <w:name w:val="annotation text"/>
    <w:basedOn w:val="Normal"/>
    <w:link w:val="Char"/>
    <w:unhideWhenUsed/>
    <w:pPr>
      <w:jc w:val="left"/>
    </w:pPr>
  </w:style>
  <w:style w:type="paragraph" w:styleId="DocumentMap">
    <w:name w:val="Document Map"/>
    <w:basedOn w:val="Normal"/>
    <w:link w:val="Char4"/>
    <w:uiPriority w:val="99"/>
    <w:unhideWhenUsed/>
    <w:rPr>
      <w:rFonts w:ascii="宋体"/>
      <w:sz w:val="18"/>
      <w:szCs w:val="18"/>
    </w:rPr>
  </w:style>
  <w:style w:type="paragraph" w:styleId="BalloonText">
    <w:name w:val="Balloon Text"/>
    <w:basedOn w:val="Normal"/>
    <w:semiHidden/>
    <w:rPr>
      <w:sz w:val="18"/>
      <w:szCs w:val="18"/>
    </w:rPr>
  </w:style>
  <w:style w:type="paragraph" w:styleId="Footer">
    <w:name w:val="footer"/>
    <w:basedOn w:val="Normal"/>
    <w:link w:val="Char5"/>
    <w:uiPriority w:val="99"/>
    <w:unhideWhenUsed/>
    <w:pPr>
      <w:tabs>
        <w:tab w:val="center" w:pos="4153"/>
        <w:tab w:val="right" w:pos="8306"/>
      </w:tabs>
      <w:snapToGrid w:val="0"/>
      <w:jc w:val="left"/>
    </w:pPr>
    <w:rPr>
      <w:kern w:val="0"/>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snapToGrid w:val="0"/>
      <w:jc w:val="center"/>
    </w:pPr>
    <w:rPr>
      <w:kern w:val="0"/>
      <w:sz w:val="18"/>
      <w:szCs w:val="18"/>
    </w:rPr>
  </w:style>
  <w:style w:type="paragraph" w:styleId="TOC1">
    <w:name w:val="toc 1"/>
    <w:basedOn w:val="Normal"/>
    <w:next w:val="Normal"/>
    <w:uiPriority w:val="39"/>
    <w:unhideWhenUsed/>
    <w:pPr>
      <w:spacing w:after="0" w:line="320" w:lineRule="auto"/>
    </w:pPr>
    <w:rPr>
      <w:rFonts w:eastAsia="宋体"/>
      <w:sz w:val="24"/>
    </w:rPr>
  </w:style>
  <w:style w:type="paragraph" w:styleId="Subtitle">
    <w:name w:val="Subtitle"/>
    <w:basedOn w:val="Normal"/>
    <w:next w:val="Normal"/>
    <w:link w:val="Char3"/>
    <w:qFormat/>
    <w:pPr>
      <w:spacing w:before="240" w:after="60" w:line="312" w:lineRule="auto"/>
      <w:jc w:val="center"/>
      <w:outlineLvl w:val="1"/>
    </w:pPr>
    <w:rPr>
      <w:rFonts w:ascii="Cambria" w:hAnsi="Cambria"/>
      <w:b/>
      <w:bCs/>
      <w:kern w:val="28"/>
      <w:sz w:val="32"/>
      <w:szCs w:val="32"/>
    </w:rPr>
  </w:style>
  <w:style w:type="paragraph" w:styleId="TOC2">
    <w:name w:val="toc 2"/>
    <w:basedOn w:val="Normal"/>
    <w:next w:val="Normal"/>
    <w:uiPriority w:val="39"/>
    <w:unhideWhenUsed/>
    <w:pPr>
      <w:ind w:left="480" w:leftChars="200"/>
    </w:pPr>
  </w:style>
  <w:style w:type="character" w:styleId="Hyperlink">
    <w:name w:val="Hyperlink"/>
    <w:uiPriority w:val="99"/>
    <w:unhideWhenUsed/>
    <w:rPr>
      <w:color w:val="0000FF"/>
      <w:u w:val="single"/>
    </w:rPr>
  </w:style>
  <w:style w:type="character" w:styleId="CommentReference">
    <w:name w:val="annotation reference"/>
    <w:unhideWhenUsed/>
    <w:rPr>
      <w:sz w:val="21"/>
      <w:szCs w:val="21"/>
    </w:rPr>
  </w:style>
  <w:style w:type="table" w:styleId="TableGrid">
    <w:name w:val="Table Grid"/>
    <w:basedOn w:val="TableNormal"/>
    <w:uiPriority w:val="59"/>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5">
    <w:name w:val="Light Shading Accent 5"/>
    <w:basedOn w:val="TableNormal"/>
    <w:uiPriority w:val="60"/>
    <w:rPr>
      <w:color w:val="31849B"/>
    </w:rPr>
    <w:tblPr>
      <w:tblStyle w:val="TableNormal"/>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blStyle w:val="TableNormal"/>
      </w:tblPr>
      <w:tcPr>
        <w:tcBorders>
          <w:top w:val="nil"/>
          <w:left w:val="nil"/>
          <w:bottom w:val="nil"/>
          <w:right w:val="nil"/>
          <w:insideH w:val="nil"/>
          <w:insideV w:val="nil"/>
          <w:tl2br w:val="nil"/>
          <w:tr2bl w:val="nil"/>
        </w:tcBorders>
        <w:shd w:val="clear" w:color="auto" w:fill="D2EAF1"/>
      </w:tcPr>
    </w:tblStylePr>
    <w:tblStylePr w:type="band1Horz">
      <w:tblPr>
        <w:tblStyle w:val="TableNormal"/>
      </w:tblPr>
      <w:tcPr>
        <w:tcBorders>
          <w:top w:val="nil"/>
          <w:left w:val="nil"/>
          <w:bottom w:val="nil"/>
          <w:right w:val="nil"/>
          <w:insideH w:val="nil"/>
          <w:insideV w:val="nil"/>
          <w:tl2br w:val="nil"/>
          <w:tr2bl w:val="nil"/>
        </w:tcBorders>
        <w:shd w:val="clear" w:color="auto" w:fill="D2EAF1"/>
      </w:tcPr>
    </w:tblStylePr>
  </w:style>
  <w:style w:type="paragraph" w:customStyle="1" w:styleId="20">
    <w:name w:val="20"/>
    <w:basedOn w:val="Heading1"/>
    <w:next w:val="Normal"/>
    <w:uiPriority w:val="39"/>
    <w:qFormat/>
    <w:pPr>
      <w:widowControl/>
      <w:spacing w:before="480" w:beforeLines="0" w:line="276" w:lineRule="auto"/>
      <w:jc w:val="left"/>
      <w:outlineLvl w:val="9"/>
    </w:pPr>
    <w:rPr>
      <w:rFonts w:ascii="Cambria" w:eastAsia="宋体" w:hAnsi="Cambria" w:cs="Times New Roman"/>
      <w:color w:val="365F91"/>
      <w:kern w:val="0"/>
      <w:szCs w:val="28"/>
    </w:rPr>
  </w:style>
  <w:style w:type="paragraph" w:customStyle="1" w:styleId="XBRLTitle6">
    <w:name w:val="XBRLTitle6"/>
    <w:basedOn w:val="Subtitle"/>
    <w:next w:val="Heading4"/>
    <w:qFormat/>
    <w:pPr>
      <w:keepNext/>
      <w:keepLines/>
      <w:numPr>
        <w:ilvl w:val="5"/>
        <w:numId w:val="1"/>
      </w:numPr>
      <w:ind w:left="0" w:firstLine="0"/>
      <w:jc w:val="left"/>
    </w:pPr>
    <w:rPr>
      <w:bCs w:val="0"/>
      <w:sz w:val="24"/>
    </w:rPr>
  </w:style>
  <w:style w:type="paragraph" w:customStyle="1" w:styleId="22">
    <w:name w:val="22"/>
    <w:uiPriority w:val="99"/>
    <w:semiHidden/>
    <w:rPr>
      <w:kern w:val="2"/>
      <w:sz w:val="21"/>
      <w:szCs w:val="22"/>
      <w:lang w:val="en-US" w:eastAsia="zh-CN" w:bidi="ar-SA"/>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Header0">
    <w:name w:val="Header_0"/>
    <w:uiPriority w:val="99"/>
    <w:unhideWhenUsed/>
    <w:rsid w:val="005D30BA"/>
    <w:pPr>
      <w:pBdr>
        <w:bottom w:val="single" w:sz="6" w:space="1" w:color="auto"/>
      </w:pBdr>
      <w:tabs>
        <w:tab w:val="center" w:pos="4153"/>
        <w:tab w:val="right" w:pos="8306"/>
      </w:tabs>
      <w:snapToGrid w:val="0"/>
      <w:jc w:val="left"/>
    </w:pPr>
    <w:rPr>
      <w:sz w:val="18"/>
      <w:szCs w:val="18"/>
    </w:rPr>
  </w:style>
  <w:style w:type="paragraph" w:customStyle="1" w:styleId="XBRLTitle1">
    <w:name w:val="XBRLTitle1"/>
    <w:basedOn w:val="Heading1"/>
    <w:next w:val="Heading2"/>
    <w:qFormat/>
    <w:pPr>
      <w:numPr>
        <w:ilvl w:val="0"/>
        <w:numId w:val="1"/>
      </w:numPr>
      <w:spacing w:before="340" w:beforeLines="50" w:after="330" w:afterLines="50" w:line="240" w:lineRule="auto"/>
    </w:pPr>
    <w:rPr>
      <w:rFonts w:ascii="Cambria" w:hAnsi="Cambria"/>
    </w:rPr>
  </w:style>
  <w:style w:type="paragraph" w:customStyle="1" w:styleId="XBRLTitle2">
    <w:name w:val="XBRLTitle2"/>
    <w:basedOn w:val="Subtitle"/>
    <w:next w:val="Heading4"/>
    <w:qFormat/>
    <w:pPr>
      <w:keepNext/>
      <w:keepLines/>
      <w:numPr>
        <w:ilvl w:val="1"/>
        <w:numId w:val="1"/>
      </w:numPr>
      <w:jc w:val="left"/>
    </w:pPr>
    <w:rPr>
      <w:bCs w:val="0"/>
      <w:sz w:val="24"/>
    </w:rPr>
  </w:style>
  <w:style w:type="paragraph" w:customStyle="1" w:styleId="XBRLTitle3">
    <w:name w:val="XBRLTitle3"/>
    <w:basedOn w:val="Subtitle"/>
    <w:next w:val="Heading4"/>
    <w:qFormat/>
    <w:pPr>
      <w:keepNext/>
      <w:keepLines/>
      <w:numPr>
        <w:ilvl w:val="2"/>
        <w:numId w:val="1"/>
      </w:numPr>
      <w:ind w:left="0" w:firstLine="0"/>
      <w:jc w:val="left"/>
    </w:pPr>
    <w:rPr>
      <w:bCs w:val="0"/>
      <w:sz w:val="24"/>
    </w:rPr>
  </w:style>
  <w:style w:type="paragraph" w:customStyle="1" w:styleId="XBRLTitle5">
    <w:name w:val="XBRLTitle5"/>
    <w:basedOn w:val="Subtitle"/>
    <w:next w:val="Heading4"/>
    <w:qFormat/>
    <w:pPr>
      <w:keepNext/>
      <w:keepLines/>
      <w:numPr>
        <w:ilvl w:val="4"/>
        <w:numId w:val="1"/>
      </w:numPr>
      <w:ind w:left="0" w:firstLine="0"/>
      <w:jc w:val="left"/>
    </w:pPr>
    <w:rPr>
      <w:bCs w:val="0"/>
      <w:sz w:val="24"/>
    </w:rPr>
  </w:style>
  <w:style w:type="paragraph" w:customStyle="1" w:styleId="XBRLTitle4">
    <w:name w:val="XBRLTitle4"/>
    <w:basedOn w:val="Subtitle"/>
    <w:next w:val="Heading4"/>
    <w:qFormat/>
    <w:pPr>
      <w:keepNext/>
      <w:keepLines/>
      <w:numPr>
        <w:ilvl w:val="3"/>
        <w:numId w:val="1"/>
      </w:numPr>
      <w:ind w:left="0" w:firstLine="0"/>
      <w:jc w:val="left"/>
    </w:pPr>
    <w:rPr>
      <w:bCs w:val="0"/>
      <w:sz w:val="24"/>
    </w:rPr>
  </w:style>
  <w:style w:type="character" w:customStyle="1" w:styleId="Char1">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
    <w:name w:val="批注文字 Char"/>
    <w:link w:val="CommentText"/>
    <w:rPr>
      <w:kern w:val="2"/>
      <w:sz w:val="21"/>
      <w:szCs w:val="22"/>
    </w:rPr>
  </w:style>
  <w:style w:type="character" w:customStyle="1" w:styleId="Char0">
    <w:name w:val="批注主题 Char"/>
    <w:link w:val="CommentSubject"/>
    <w:uiPriority w:val="99"/>
    <w:semiHidden/>
    <w:rPr>
      <w:b/>
      <w:bCs/>
      <w:kern w:val="2"/>
      <w:sz w:val="21"/>
      <w:szCs w:val="22"/>
    </w:rPr>
  </w:style>
  <w:style w:type="character" w:customStyle="1" w:styleId="Char2">
    <w:name w:val="页眉 Char"/>
    <w:link w:val="Header"/>
    <w:uiPriority w:val="99"/>
    <w:rPr>
      <w:sz w:val="18"/>
      <w:szCs w:val="18"/>
    </w:rPr>
  </w:style>
  <w:style w:type="character" w:customStyle="1" w:styleId="Char3">
    <w:name w:val="副标题 Char"/>
    <w:link w:val="Subtitle"/>
    <w:rPr>
      <w:rFonts w:ascii="Cambria" w:hAnsi="Cambria" w:cs="Times New Roman"/>
      <w:b/>
      <w:bCs/>
      <w:kern w:val="28"/>
      <w:sz w:val="32"/>
      <w:szCs w:val="32"/>
    </w:rPr>
  </w:style>
  <w:style w:type="character" w:customStyle="1" w:styleId="Char4">
    <w:name w:val="文档结构图 Char"/>
    <w:link w:val="DocumentMap"/>
    <w:uiPriority w:val="99"/>
    <w:semiHidden/>
    <w:rPr>
      <w:rFonts w:ascii="宋体"/>
      <w:kern w:val="2"/>
      <w:sz w:val="18"/>
      <w:szCs w:val="18"/>
    </w:rPr>
  </w:style>
  <w:style w:type="character" w:customStyle="1" w:styleId="Char5">
    <w:name w:val="页脚 Char"/>
    <w:link w:val="Footer"/>
    <w:uiPriority w:val="99"/>
    <w:rPr>
      <w:sz w:val="18"/>
      <w:szCs w:val="18"/>
    </w:rPr>
  </w:style>
  <w:style w:type="character" w:customStyle="1" w:styleId="2Char">
    <w:name w:val="标题 2 Char"/>
    <w:link w:val="Heading2"/>
    <w:uiPriority w:val="9"/>
    <w:semiHidden/>
    <w:rPr>
      <w:rFonts w:ascii="Cambria" w:eastAsia="宋体" w:hAnsi="Cambria" w:cs="Times New Roman"/>
      <w:b/>
      <w:bCs/>
      <w:kern w:val="2"/>
      <w:sz w:val="32"/>
      <w:szCs w:val="32"/>
    </w:rPr>
  </w:style>
  <w:style w:type="character" w:customStyle="1" w:styleId="4Char">
    <w:name w:val="标题 4 Char"/>
    <w:link w:val="Heading4"/>
    <w:uiPriority w:val="9"/>
    <w:semiHidden/>
    <w:rPr>
      <w:rFonts w:ascii="Cambria" w:eastAsia="宋体" w:hAnsi="Cambria" w:cs="Times New Roman"/>
      <w:b/>
      <w:bCs/>
      <w:kern w:val="2"/>
      <w:sz w:val="28"/>
      <w:szCs w:val="28"/>
    </w:rPr>
  </w:style>
  <w:style w:type="character" w:customStyle="1" w:styleId="1Char">
    <w:name w:val="标题 1 Char"/>
    <w:link w:val="Heading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image" Target="media/image1.png"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image" Target="media/image2.png" /><Relationship Id="rId15" Type="http://schemas.openxmlformats.org/officeDocument/2006/relationships/image" Target="media/image3.png" /><Relationship Id="rId16" Type="http://schemas.openxmlformats.org/officeDocument/2006/relationships/footer" Target="footer5.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lgn="ctr" cap="flat" cmpd="sng" w="9525">
          <a:solidFill>
            <a:schemeClr val="phClr">
              <a:shade val="95000"/>
              <a:satMod val="105000"/>
            </a:schemeClr>
          </a:solidFill>
          <a:prstDash val="solid"/>
        </a:ln>
        <a:ln algn="ctr" cap="flat" cmpd="sng" w="25400">
          <a:solidFill>
            <a:schemeClr val="phClr"/>
          </a:solidFill>
          <a:prstDash val="solid"/>
        </a:ln>
        <a:ln algn="ctr" cap="flat" cmpd="sng" w="38100">
          <a:solidFill>
            <a:schemeClr val="phClr"/>
          </a:solidFill>
          <a:prstDash val="solid"/>
        </a:ln>
      </a:lnStyleLst>
      <a:effectStyleLst>
        <a:effectStyle>
          <a:effectLst>
            <a:outerShdw blurRad="40000" dir="5400000" dist="20000" rotWithShape="0">
              <a:srgbClr val="000000">
                <a:alpha val="38000"/>
              </a:srgbClr>
            </a:outerShdw>
          </a:effectLst>
        </a:effectStyle>
        <a:effectStyle>
          <a:effectLst>
            <a:outerShdw blurRad="40000" dir="5400000" dist="23000" rotWithShape="0">
              <a:srgbClr val="000000">
                <a:alpha val="35000"/>
              </a:srgbClr>
            </a:outerShdw>
          </a:effectLst>
        </a:effectStyle>
        <a:effectStyle>
          <a:effectLst>
            <a:outerShdw blurRad="40000" dir="5400000" dist="23000" rotWithShape="0">
              <a:srgbClr val="000000">
                <a:alpha val="35000"/>
              </a:srgbClr>
            </a:outerShdw>
          </a:effectLst>
          <a:scene3d>
            <a:camera prst="orthographicFront">
              <a:rot lat="0" lon="0" rev="0"/>
            </a:camera>
            <a:lightRig dir="t" rig="threePt">
              <a:rot lat="0" lon="0" rev="1200000"/>
            </a:lightRig>
          </a:scene3d>
          <a:sp3d>
            <a:bevelT h="25400" w="635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b="180000" l="50000" r="50000" t="-80000"/>
          </a:path>
        </a:gradFill>
        <a:gradFill rotWithShape="1">
          <a:gsLst>
            <a:gs pos="0">
              <a:schemeClr val="phClr">
                <a:tint val="80000"/>
                <a:satMod val="300000"/>
              </a:schemeClr>
            </a:gs>
            <a:gs pos="100000">
              <a:schemeClr val="phClr">
                <a:shade val="30000"/>
                <a:satMod val="200000"/>
              </a:schemeClr>
            </a:gs>
          </a:gsLst>
          <a:path path="circle">
            <a:fillToRect b="50000" l="50000" r="50000" t="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129</Pages>
  <Words>13948</Words>
  <Characters>79510</Characters>
  <Application>Microsoft Office Word</Application>
  <DocSecurity>0</DocSecurity>
  <Lines>662</Lines>
  <Paragraphs>186</Paragraphs>
  <ScaleCrop>false</ScaleCrop>
  <Company>Microsoft</Company>
  <LinksUpToDate>false</LinksUpToDate>
  <CharactersWithSpaces>93272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系统用户</cp:lastModifiedBy>
  <cp:revision>12</cp:revision>
  <cp:lastPrinted>2013-02-18T03:10:00Z</cp:lastPrinted>
  <dcterms:created xsi:type="dcterms:W3CDTF">2017-10-27T08:43:00Z</dcterms:created>
  <dcterms:modified xsi:type="dcterms:W3CDTF">2018-01-18T14:20:53Z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