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交银施罗德臻享多资产三个月持有期混合型基金中基金（FOF）招募说明书（更新）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基金托管人：招商银行股份有限公司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324920538"/>
      <w:bookmarkStart w:id="1" w:name="_Toc256000000"/>
      <w:bookmarkStart w:id="2" w:name="_Toc496884613"/>
      <w:bookmarkStart w:id="3" w:name="_Toc256000026"/>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臻享多资产三个月持有期混合型基金中基金（FOF）（以下简称“本基金”）经2025年8月4日中国证券监督管理委员会（以下简称“中国证监会”）证监许可【2025】1679号文准予募集注册。本基金基金合同于2025年11月13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投资人在投资本基金前，需全面认识本基金产品的风险收益特征和产品特性，充分考虑自身的风险承受能力，理性判断市场，对投资本基金的意愿、时机、数量等投资行为作出独立决策。投资人根据所持有基金份额享受基金的收益，但同时也需承担相应的投资风险。本基金为基金中基金，由于本基金主要投资于经中国证监会依法核准或注册的公开募集证券投资基金的基金份额，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信用风险；本基金的特有风险；基金合同提前终止的风险；本基金法律文件风险收益特征表述与销售机构基金风险评价可能不一致的风险；投资本基金的其他风险等等。本基金为混合型基金中基金，其预期风险与预期收益理论上高于债券型基金、债券型基金中基金、货币市场基金和货币型基金中基金，低于股票型基金和股票型基金中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内地与香港股票市场交易互联互通机制允许买卖的规定范围内的香港联合交易所有限公司（以下简称“香港联合交易所”）上市的股票（以下简称“港股通股票”）及交易型开放式基金（以下简称“港股通ETF”）的，会面临港股通机制下因投资环境、投资标的、市场制度以及交易规则等差异带来的特有风险，包括但不限于港股市场股价波动较大的风险（港股市场实行T+0回转交易，且对个股不设涨跌幅限制，港股通股票及港股通ETF价格可能表现出比A股更为剧烈的股价波动）、汇率风险（汇率波动可能对基金的投资收益造成损失）、港股通机制下交易日不连贯可能带来的风险（在内地开市香港休市的情形下，港股通不能正常交易，港股通股票及港股通ETF不能及时卖出，可能带来一定的流动性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本基金可根据投资策略需要或不同配置地市场环境的变化，选择将部分基金资产投资于港股通股票及港股通ETF或选择不将基金资产投资于港股通股票及港股通ETF，基金资产并非必然投资港股通股票及港股通ETF。</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科创板股票，会面临科创板机制下因投资标的、市场制度以及交易规则等差异带来的特有风险，包括但不限于市场风险、流动性风险、退市风险、集中度风险、系统性风险、政策风险等。具体风险请查阅本基金招募说明书“风险揭示”章节的具体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基金可根据投资策略需要或市场环境的变化，选择将部分基金资产投资于科创板股票或选择不将基金资产投资于科创板股票，基金资产并非必然投资于科创板股票。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持有的每份基金份额最短持有期限为三个月，在最短持有期限内该份基金份额不可赎回，自最短持有期限届满的下一工作日起（含该日）可赎回。对于每笔认购的基金份额而言，最短持有期限自基金合同生效之日起（含该日）至三个月后月度对日的前一日；对于每笔申购的基金份额而言，最短持有期限自该笔申购份额确认日（含该日）至三个月后月度对日的前一日。因此，对于基金份额持有人而言，存在投资本基金后三个月内无法赎回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份额持有人多次认购或申购本基金导致持有多笔不同期限的本基金基金份额时，基金份额持有人在赎回时需特别关注申请赎回的基金份额数量，若申请赎回的基金份额超过了该基金份额持有人持续持有超过三个月的基金份额数量，则基金份额持有人的赎回申请将全部被予以拒绝。基金份额持有人需承担赎回申请失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本基金可投资公开募集基础设施证券投资基金，可能面临以下风险：基金价格波动风险、基础设施项目运营风险、基金份额交易价格折溢价风险、流动性风险、政策调整风险、市场风险和终止上市风险等。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"_Toc256000026"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_Toc256000026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rPr>
        <w:t>一、绪言</w:t>
      </w:r>
      <w:r>
        <w:rPr>
          <w:rStyle w:val="18"/>
        </w:rPr>
        <w:tab/>
      </w:r>
      <w:r>
        <w:fldChar w:fldCharType="begin"/>
      </w:r>
      <w:r>
        <w:rPr>
          <w:rStyle w:val="18"/>
        </w:rPr>
        <w:instrText xml:space="preserve"> PAGEREF _Toc256000027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二、释义</w:t>
      </w:r>
      <w:r>
        <w:rPr>
          <w:rStyle w:val="18"/>
        </w:rPr>
        <w:tab/>
      </w:r>
      <w:r>
        <w:fldChar w:fldCharType="begin"/>
      </w:r>
      <w:r>
        <w:rPr>
          <w:rStyle w:val="18"/>
        </w:rPr>
        <w:instrText xml:space="preserve"> PAGEREF _Toc256000028 \h </w:instrText>
      </w:r>
      <w:r>
        <w:fldChar w:fldCharType="separate"/>
      </w:r>
      <w:r>
        <w:rPr>
          <w:rStyle w:val="18"/>
        </w:rPr>
        <w:t>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_Toc256000029 \h </w:instrText>
      </w:r>
      <w:r>
        <w:fldChar w:fldCharType="separate"/>
      </w:r>
      <w:r>
        <w:rPr>
          <w:rStyle w:val="18"/>
        </w:rPr>
        <w:t>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_Toc256000030 \h </w:instrText>
      </w:r>
      <w:r>
        <w:fldChar w:fldCharType="separate"/>
      </w:r>
      <w:r>
        <w:rPr>
          <w:rStyle w:val="18"/>
        </w:rPr>
        <w:t>18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_Toc256000031 \h </w:instrText>
      </w:r>
      <w:r>
        <w:fldChar w:fldCharType="separate"/>
      </w:r>
      <w:r>
        <w:rPr>
          <w:rStyle w:val="18"/>
        </w:rPr>
        <w:t>25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_Toc256000032 \h </w:instrText>
      </w:r>
      <w:r>
        <w:fldChar w:fldCharType="separate"/>
      </w:r>
      <w:r>
        <w:rPr>
          <w:rStyle w:val="18"/>
        </w:rPr>
        <w:t>28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七、基金合同的生效</w:t>
      </w:r>
      <w:r>
        <w:rPr>
          <w:rStyle w:val="18"/>
        </w:rPr>
        <w:tab/>
      </w:r>
      <w:r>
        <w:fldChar w:fldCharType="begin"/>
      </w:r>
      <w:r>
        <w:rPr>
          <w:rStyle w:val="18"/>
        </w:rPr>
        <w:instrText xml:space="preserve"> PAGEREF _Toc256000033 \h </w:instrText>
      </w:r>
      <w:r>
        <w:fldChar w:fldCharType="separate"/>
      </w:r>
      <w:r>
        <w:rPr>
          <w:rStyle w:val="18"/>
        </w:rPr>
        <w:t>29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_Toc256000034 \h </w:instrText>
      </w:r>
      <w:r>
        <w:fldChar w:fldCharType="separate"/>
      </w:r>
      <w:r>
        <w:rPr>
          <w:rStyle w:val="18"/>
        </w:rPr>
        <w:t>30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九、基金的投资</w:t>
      </w:r>
      <w:r>
        <w:rPr>
          <w:rStyle w:val="18"/>
        </w:rPr>
        <w:tab/>
      </w:r>
      <w:r>
        <w:fldChar w:fldCharType="begin"/>
      </w:r>
      <w:r>
        <w:rPr>
          <w:rStyle w:val="18"/>
        </w:rPr>
        <w:instrText xml:space="preserve"> PAGEREF _Toc256000035 \h </w:instrText>
      </w:r>
      <w:r>
        <w:fldChar w:fldCharType="separate"/>
      </w:r>
      <w:r>
        <w:rPr>
          <w:rStyle w:val="18"/>
        </w:rPr>
        <w:t>44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十、基金的业绩</w:t>
      </w:r>
      <w:r>
        <w:rPr>
          <w:rStyle w:val="18"/>
        </w:rPr>
        <w:tab/>
      </w:r>
      <w:r>
        <w:fldChar w:fldCharType="begin"/>
      </w:r>
      <w:r>
        <w:rPr>
          <w:rStyle w:val="18"/>
        </w:rPr>
        <w:instrText xml:space="preserve"> PAGEREF _Toc256000036 \h </w:instrText>
      </w:r>
      <w:r>
        <w:fldChar w:fldCharType="separate"/>
      </w:r>
      <w:r>
        <w:rPr>
          <w:rStyle w:val="18"/>
        </w:rPr>
        <w:t>55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十一、基金的财产</w:t>
      </w:r>
      <w:r>
        <w:rPr>
          <w:rStyle w:val="18"/>
        </w:rPr>
        <w:tab/>
      </w:r>
      <w:r>
        <w:fldChar w:fldCharType="begin"/>
      </w:r>
      <w:r>
        <w:rPr>
          <w:rStyle w:val="18"/>
        </w:rPr>
        <w:instrText xml:space="preserve"> PAGEREF _Toc256000037 \h </w:instrText>
      </w:r>
      <w:r>
        <w:fldChar w:fldCharType="separate"/>
      </w:r>
      <w:r>
        <w:rPr>
          <w:rStyle w:val="18"/>
        </w:rPr>
        <w:t>58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十二、基金资产的估值</w:t>
      </w:r>
      <w:r>
        <w:rPr>
          <w:rStyle w:val="18"/>
        </w:rPr>
        <w:tab/>
      </w:r>
      <w:r>
        <w:fldChar w:fldCharType="begin"/>
      </w:r>
      <w:r>
        <w:rPr>
          <w:rStyle w:val="18"/>
        </w:rPr>
        <w:instrText xml:space="preserve"> PAGEREF _Toc256000038 \h </w:instrText>
      </w:r>
      <w:r>
        <w:fldChar w:fldCharType="separate"/>
      </w:r>
      <w:r>
        <w:rPr>
          <w:rStyle w:val="18"/>
        </w:rPr>
        <w:t>59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十三、基金收益与分配</w:t>
      </w:r>
      <w:r>
        <w:rPr>
          <w:rStyle w:val="18"/>
        </w:rPr>
        <w:tab/>
      </w:r>
      <w:r>
        <w:fldChar w:fldCharType="begin"/>
      </w:r>
      <w:r>
        <w:rPr>
          <w:rStyle w:val="18"/>
        </w:rPr>
        <w:instrText xml:space="preserve"> PAGEREF _Toc256000039 \h </w:instrText>
      </w:r>
      <w:r>
        <w:fldChar w:fldCharType="separate"/>
      </w:r>
      <w:r>
        <w:rPr>
          <w:rStyle w:val="18"/>
        </w:rPr>
        <w:t>67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十四、基金的费用与税收</w:t>
      </w:r>
      <w:r>
        <w:rPr>
          <w:rStyle w:val="18"/>
        </w:rPr>
        <w:tab/>
      </w:r>
      <w:r>
        <w:fldChar w:fldCharType="begin"/>
      </w:r>
      <w:r>
        <w:rPr>
          <w:rStyle w:val="18"/>
        </w:rPr>
        <w:instrText xml:space="preserve"> PAGEREF _Toc256000040 \h </w:instrText>
      </w:r>
      <w:r>
        <w:fldChar w:fldCharType="separate"/>
      </w:r>
      <w:r>
        <w:rPr>
          <w:rStyle w:val="18"/>
        </w:rPr>
        <w:t>69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十五、基金的会计与审计</w:t>
      </w:r>
      <w:r>
        <w:rPr>
          <w:rStyle w:val="18"/>
        </w:rPr>
        <w:tab/>
      </w:r>
      <w:r>
        <w:fldChar w:fldCharType="begin"/>
      </w:r>
      <w:r>
        <w:rPr>
          <w:rStyle w:val="18"/>
        </w:rPr>
        <w:instrText xml:space="preserve"> PAGEREF _Toc256000041 \h </w:instrText>
      </w:r>
      <w:r>
        <w:fldChar w:fldCharType="separate"/>
      </w:r>
      <w:r>
        <w:rPr>
          <w:rStyle w:val="18"/>
        </w:rPr>
        <w:t>72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十六、基金的信息披露</w:t>
      </w:r>
      <w:r>
        <w:rPr>
          <w:rStyle w:val="18"/>
        </w:rPr>
        <w:tab/>
      </w:r>
      <w:r>
        <w:fldChar w:fldCharType="begin"/>
      </w:r>
      <w:r>
        <w:rPr>
          <w:rStyle w:val="18"/>
        </w:rPr>
        <w:instrText xml:space="preserve"> PAGEREF _Toc256000042 \h </w:instrText>
      </w:r>
      <w:r>
        <w:fldChar w:fldCharType="separate"/>
      </w:r>
      <w:r>
        <w:rPr>
          <w:rStyle w:val="18"/>
        </w:rPr>
        <w:t>73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十七、侧袋机制</w:t>
      </w:r>
      <w:r>
        <w:rPr>
          <w:rStyle w:val="18"/>
        </w:rPr>
        <w:tab/>
      </w:r>
      <w:r>
        <w:fldChar w:fldCharType="begin"/>
      </w:r>
      <w:r>
        <w:rPr>
          <w:rStyle w:val="18"/>
        </w:rPr>
        <w:instrText xml:space="preserve"> PAGEREF _Toc256000043 \h </w:instrText>
      </w:r>
      <w:r>
        <w:fldChar w:fldCharType="separate"/>
      </w:r>
      <w:r>
        <w:rPr>
          <w:rStyle w:val="18"/>
        </w:rPr>
        <w:t>80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十八、风险揭示</w:t>
      </w:r>
      <w:r>
        <w:rPr>
          <w:rStyle w:val="18"/>
        </w:rPr>
        <w:tab/>
      </w:r>
      <w:r>
        <w:fldChar w:fldCharType="begin"/>
      </w:r>
      <w:r>
        <w:rPr>
          <w:rStyle w:val="18"/>
        </w:rPr>
        <w:instrText xml:space="preserve"> PAGEREF _Toc256000044 \h </w:instrText>
      </w:r>
      <w:r>
        <w:fldChar w:fldCharType="separate"/>
      </w:r>
      <w:r>
        <w:rPr>
          <w:rStyle w:val="18"/>
        </w:rPr>
        <w:t>83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十九、基金合同的变更、终止与基金财产的清算</w:t>
      </w:r>
      <w:r>
        <w:rPr>
          <w:rStyle w:val="18"/>
        </w:rPr>
        <w:tab/>
      </w:r>
      <w:r>
        <w:fldChar w:fldCharType="begin"/>
      </w:r>
      <w:r>
        <w:rPr>
          <w:rStyle w:val="18"/>
        </w:rPr>
        <w:instrText xml:space="preserve"> PAGEREF _Toc256000045 \h </w:instrText>
      </w:r>
      <w:r>
        <w:fldChar w:fldCharType="separate"/>
      </w:r>
      <w:r>
        <w:rPr>
          <w:rStyle w:val="18"/>
        </w:rPr>
        <w:t>101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二十、基金合同内容摘要</w:t>
      </w:r>
      <w:r>
        <w:rPr>
          <w:rStyle w:val="18"/>
        </w:rPr>
        <w:tab/>
      </w:r>
      <w:r>
        <w:fldChar w:fldCharType="begin"/>
      </w:r>
      <w:r>
        <w:rPr>
          <w:rStyle w:val="18"/>
        </w:rPr>
        <w:instrText xml:space="preserve"> PAGEREF _Toc256000046 \h </w:instrText>
      </w:r>
      <w:r>
        <w:fldChar w:fldCharType="separate"/>
      </w:r>
      <w:r>
        <w:rPr>
          <w:rStyle w:val="18"/>
        </w:rPr>
        <w:t>103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二十一、托管协议的内容摘要</w:t>
      </w:r>
      <w:r>
        <w:rPr>
          <w:rStyle w:val="18"/>
        </w:rPr>
        <w:tab/>
      </w:r>
      <w:r>
        <w:fldChar w:fldCharType="begin"/>
      </w:r>
      <w:r>
        <w:rPr>
          <w:rStyle w:val="18"/>
        </w:rPr>
        <w:instrText xml:space="preserve"> PAGEREF _Toc256000047 \h </w:instrText>
      </w:r>
      <w:r>
        <w:fldChar w:fldCharType="separate"/>
      </w:r>
      <w:r>
        <w:rPr>
          <w:rStyle w:val="18"/>
        </w:rPr>
        <w:t>120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二十二、对基金份额持有人的服务</w:t>
      </w:r>
      <w:r>
        <w:rPr>
          <w:rStyle w:val="18"/>
        </w:rPr>
        <w:tab/>
      </w:r>
      <w:r>
        <w:fldChar w:fldCharType="begin"/>
      </w:r>
      <w:r>
        <w:rPr>
          <w:rStyle w:val="18"/>
        </w:rPr>
        <w:instrText xml:space="preserve"> PAGEREF _Toc256000048 \h </w:instrText>
      </w:r>
      <w:r>
        <w:fldChar w:fldCharType="separate"/>
      </w:r>
      <w:r>
        <w:rPr>
          <w:rStyle w:val="18"/>
        </w:rPr>
        <w:t>139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二十三、其他应披露事项</w:t>
      </w:r>
      <w:r>
        <w:rPr>
          <w:rStyle w:val="18"/>
        </w:rPr>
        <w:tab/>
      </w:r>
      <w:r>
        <w:fldChar w:fldCharType="begin"/>
      </w:r>
      <w:r>
        <w:rPr>
          <w:rStyle w:val="18"/>
        </w:rPr>
        <w:instrText xml:space="preserve"> PAGEREF _Toc256000049 \h </w:instrText>
      </w:r>
      <w:r>
        <w:fldChar w:fldCharType="separate"/>
      </w:r>
      <w:r>
        <w:rPr>
          <w:rStyle w:val="18"/>
        </w:rPr>
        <w:t>141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二十四、招募说明书的存放及查阅方式</w:t>
      </w:r>
      <w:r>
        <w:rPr>
          <w:rStyle w:val="18"/>
        </w:rPr>
        <w:tab/>
      </w:r>
      <w:r>
        <w:fldChar w:fldCharType="begin"/>
      </w:r>
      <w:r>
        <w:rPr>
          <w:rStyle w:val="18"/>
        </w:rPr>
        <w:instrText xml:space="preserve"> PAGEREF _Toc256000050 \h </w:instrText>
      </w:r>
      <w:r>
        <w:fldChar w:fldCharType="separate"/>
      </w:r>
      <w:r>
        <w:rPr>
          <w:rStyle w:val="18"/>
        </w:rPr>
        <w:t>143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二十五、备查文件</w:t>
      </w:r>
      <w:r>
        <w:rPr>
          <w:rStyle w:val="18"/>
        </w:rPr>
        <w:tab/>
      </w:r>
      <w:r>
        <w:fldChar w:fldCharType="begin"/>
      </w:r>
      <w:r>
        <w:rPr>
          <w:rStyle w:val="18"/>
        </w:rPr>
        <w:instrText xml:space="preserve"> PAGEREF _Toc256000051 \h </w:instrText>
      </w:r>
      <w:r>
        <w:fldChar w:fldCharType="separate"/>
      </w:r>
      <w:r>
        <w:rPr>
          <w:rStyle w:val="18"/>
        </w:rPr>
        <w:t>144</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27"/>
      <w:bookmarkStart w:id="5" w:name="_Toc256000001"/>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臻享多资产三个月持有期混合型基金中基金（FOF）招募说明书》（以下简称“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证券投资基金运作指引第2号——基金中基金指引》、《公开募集开放式证券投资基金流动性风险管理规定》（以下简称“《流动性风险管理规定》”）和其他相关法律法规的规定以及《交银施罗德臻享多资产三个月持有期混合型基金中基金（FOF）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28"/>
      <w:bookmarkStart w:id="7" w:name="_Toc256000002"/>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1、基金或本基金：指交银施罗德臻享多资产三个月持有期混合型基金中基金（FOF）</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3、基金托管人：指招商银行股份有限公司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4、基金合同、《基金合同》：指《交银施罗德臻享多资产三个月持有期混合型基金中基金（FOF）基金合同》及对基金合同的任何有效修订和补充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5、托管协议：指基金管理人与基金托管人就本基金签订之《交银施罗德臻享多资产三个月持有期混合型基金中基金（FOF）托管协议》及对该托管协议的任何有效修订和补充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6、招募说明书、《招募说明书》或本招募说明书：指《交银施罗德臻享多资产三个月持有期混合型基金中基金（FOF）招募说明书》及其更新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7、基金产品资料概要：指《交银施罗德臻享多资产三个月持有期混合型基金中基金（FOF）基金产品资料概要》及其更新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8、基金份额发售公告：指《交银施罗德臻享多资产三个月持有期混合型基金中基金（FOF）基金份额发售公告》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11、《销售办法》：指《公开募集证券投资基金销售机构监督管理办法》及颁布机关对其不时做出的修订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16、银行业监督管理机构：指中国人民银行和/或国家金融监督管理总局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21、投资人、投资者：指个人投资者、机构投资者、合格境外投资者以及法律法规或中国证监会允许购买证券投资基金的其他投资人的合称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最短持有期限：基金份额持有人持有的每份基金份额最短持有期限为三个月，在最短持有期限内该份基金份额不可赎回，自最短持有期限届满的下一工作日起（含该日）可赎回。对于每笔认购的基金份额而言，最短持有期限自基金合同生效之日起（含该日）至三个月后月度对日的前一日；对于每笔申购的基金份额而言，最短持有期限自该笔申购份额确认日（含该日）至三个月后月度对日的前一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月度对日：指某一特定日期在后续日历月度中的对应日期，若该日历月度中不存在对应日期的，则该月度对日为该特定日期在后续日历月度中对应月度的最后一日。如该月度对日为非工作日的，则顺延至下一个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38、开放日：指为投资人办理基金份额申购、赎回或其他业务的工作日（若该工作日为非港股通交易日，则本基金可不开放）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40、《业务规则》：指中国证券登记结算有限责任公司相关业务规则及其不时做出的修订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50、基金资产总值：指基金拥有的各类有价证券、证券投资基金份额、银行存款本息、基金应收款项及其他资产的价值总和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54、港股通：指内地投资者委托内地证券公司，经由内地证券交易所在香港设立的证券交易服务公司，向香港联合交易所进行申报，买卖规定范围内的香港联合交易所上市的股票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56、销售服务费：指从基金财产中计提的，用于本基金市场推广、销售以及基金份额持有人服务的费用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57、A类基金份额：指在投资人认购/申购时收取认购/申购费用且不从本类别基金资产中计提销售服务费的基金份额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58、C类基金份额：指在投资人认购/申购时不收取认购/申购费用，并从本类别基金资产中计提销售服务费的基金份额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迪先生:基金经理。上海财经大学金融工程与投资管理博士、上海海事大学硕士。11年证券投资行业从业经验。2015年加入交银施罗德基金管理有限公司，曾任量化投资部研究员，多元资产管理部投资经理。现任交银施罗德盈享多资产六个月持有期混合型基金中基金（FOF）（2026年06月16日至今）、交银施罗德沃享稳健三个月持有期混合型基金中基金（FOF）（2026年04月28日至今）、交银施罗德穗享多资产六个月持有期混合型基金中基金（FOF）（2026年01月20日至今）、交银施罗德臻享多资产三个月持有期混合型基金中基金（FOF）（2025年11月13日至今）、交银施罗德安享稳健养老目标一年持有期混合型基金中基金（FOF）（2025年07月12日至今）、交银施罗德慧选睿信一年持有期混合型基金中基金（FOF）（2025年05月08日至今）、交银施罗德招享一年持有期混合型基金中基金（FOF）（2024年10月31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名称：招商银行股份有限公司（以下简称“招商银行”）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设立日期：1987年3月31日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注册资本：252.20亿元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行长：王小青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资产托管业务批准文号：证监基金字[2002]83号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资产托管部信息披露负责人：张姗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2、发展概况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于1987年在深圳创建，是中国境内第一家完全由企业法人持股的股份制商业银行，成立39年来逐步发展成为沪港两地上市，拥有商业银行、金融租赁、基金管理、人寿保险、境外投行、消费金融、理财子公司、金融资产投资等金融牌照的银行集团。成立以来，招商银行始终坚持创新驱动、特色鲜明、科技领先、服务优质，以自身转型发展助力社会经济高质量发展，全力服务居民和企业客户财富增长、资产安全、资金融通。截至2026年6月30日，本集团总资产137,852.80亿元人民币，高级法下资本充足率16.59%，权重法下资本充足率15.06%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2002年8月，招商银行成立基金托管部；2005年8月，经报中国证监会同意，更名为资产托管部，现下设基金券商团队、银保信托团队、养老金团队、业务管理团队、产品研发团队、风险管理团队、系统与数据团队、项目支持团队、运营管理团队、基金外包业务团队10个职能团队，现有员工262人。2002年11月，经中国人民银行和中国证监会批准获得证券投资基金托管业务资格，成为国内第一家获得该项业务资格上市银行；2003年4月，正式办理基金托管业务。招商银行作为托管业务资质最全的商业银行之一，拥有证券投资基金托管资格、基本养老保险基金托管机构资格、受托投资管理托管业务托管资格、保险资金托管业务资格、企业年金基金托管业务资格、合格境外机构投资者托管（QFII）资格、合格境内机构投资者托管（QDII）资格、私募基金业务外包服务资格、存托凭证试点存托业务等业务资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资产托管结合自身在托管行业深耕24年的专业能力和创新精神，推出“招商银行托管+”服务品牌，以“践行价值银行战略，致力于成为专业更精、科技更强、服务更佳的客户首选全球托管银行”品牌愿景为指引，以“值得信赖的专家、贴心服务的管家、让价值持续增加、客户的体验更佳”的“4+目标”，以创新的“服务产品化”为方法论，全方位助力资管机构实现可持续的高质量发展。招商银行资产托管围绕资管全场景，打造了“如风运营”“大观投研”“见微数据”三个服务子品牌，不断创新托管系统、服务和产品：在业内率先推出“网上托管银行系统”、托管业务综合系统和“6S”托管服务标准，首家发布私募基金绩效分析报告，开办国内首个托管银行网站，推出国内首个托管大数据平台，成功托管国内第一只券商集合资产管理计划、第一只FOF、第一只信托资金计划、第一只股权私募基金、第一家实现货币市场基金赎回资金T+1到账、第一只境外银行QDII基金、第一只红利ETF基金、第一只“1+N”基金专户理财、第一家大小非解禁资产、第一单TOT保管，实现从单一托管服务商向全面投资者服务机构的转变，得到了同业认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招商银行资产托管业务持续稳健发展，社会影响力不断提升,近年来获得业内各类奖项荣誉。2016年5月 “托管通”荣获《银行家》2016中国金融创新 “十佳金融产品创新奖”； 6月荣获《财资》“中国最佳托管银行奖”，成为国内唯一获得该奖项的托管银行；7月荣获中国资产管理“金贝奖”“最佳资产托管银行”、《21世纪经济报道》“2016最佳资产托管银行”。2017年5月荣获《亚洲银行家》“中国年度托管银行奖”；6月荣获《财资》“中国最佳托管银行奖”；“全功能网上托管银行2.0”荣获《银行家》2017中国金融创新“十佳金融产品创新奖”。2018年1月荣获中央国债登记结算有限责任公司“2017年度优秀资产托管机构”奖；同月，托管大数据平台风险管理系统荣获2016-2017年度银监会系统“金点子”方案一等奖，以及中央金融团工委、全国金融青联第五届“双提升”金点子方案二等奖；3月荣获《中国基金报》“最佳基金托管银行”奖；5月荣获国际财经权威媒体《亚洲银行家》“中国年度托管银行奖”；12月荣获2018东方财富风云榜“2018年度最佳托管银行”、“20年最值得信赖托管银行”奖。2019年3月荣获《中国基金报》“2018年度最佳基金托管银行”奖；6月荣获《财资》“中国最佳托管机构”“中国最佳养老金托管机构”“中国最佳零售基金行政外包”三项大奖；12月荣获2019东方财富风云榜“2019年度最佳托管银行”奖。2020年1月，荣获中央国债登记结算有限责任公司“2019年度优秀资产托管机构”奖项；6月荣获《财资》“中国境内最佳托管机构”“最佳公募基金托管机构”“最佳公募基金行政外包机构”三项大奖；10月荣获《中国基金报》第二届中国公募基金英华奖“2019年度最佳基金托管银行”奖。2021年1月，荣获中央国债登记结算有限责任公司“2020年度优秀资产托管机构”奖项；同月荣获2020东方财富风云榜“2020年度最受欢迎托管银行”奖项；2021年10月，《证券时报》“2021年度杰出资产托管银行天玑奖”；2021年12月，荣获《中国基金报》第三届中国公募基金英华奖“2020年度最佳基金托管银行”；2022年1月荣获中央国债登记结算有限责任公司“2021年度优秀资产托管机构、估值业务杰出机构”奖项；9月荣获《财资》“中国最佳托管银行”“最佳公募基金托管银行”“最佳理财托管银行”三项大奖；12月荣获《证券时报》“2022年度杰出资产托管银行天玑奖”；2023年1月荣获中央国债登记结算有限责任公司“2022年度优秀资产托管机构”、银行间市场清算所股份有限公司“2022年度优秀托管机构”、全国银行间同业拆借中心“2022年度银行间本币市场托管业务市场创新奖”三项大奖；2023年4月，荣获《中国基金报》第二届中国基金业创新英华奖“托管创新奖”；2023年9月，荣获《中国基金报》中国基金业英华奖“公募基金25年基金托管示范银行（全国性股份行）”；2023年12月，荣获《东方财富风云榜》“2023年度托管银行风云奖”。2024年1月，荣获中央国债登记结算有限责任公司“2023年度优秀资产托管机构”、“2023年度估值业务杰出机构”、“2023年度债市领军机构”、“2023年度中债绿债指数优秀承销机构”四项大奖；2024年2月，荣获泰康养老保险股份有限公司“2023年度最佳年金托管合作伙伴”奖。2024年4月，荣获中国基金报“中国基金业英华奖-ETF20周年特别评选“优秀ETF托管人””奖。2024年6月，荣获上海清算所“2023年度优秀托管机构”奖。2024年8月，在《21世纪经济报道》主办的2024资产管理年会暨十七届21世纪【金贝】资产管理竞争力研究案例发布盛典上，“招商银行托管+”荣获“2024卓越影响力品牌”奖项；2024年9月，在2024财联社中国金融业“拓扑奖”评选中，荣获银行业务类奖项“2024年资产托管银行‘拓扑奖’”；2024年12月，荣获《中国证券报》“ETF金牛生态圈卓越托管机构（银行）奖”；2024年12月，荣获《2024东方财富风云际会》“年度托管银行风云奖”。2025年1月，荣获中央国债登记结算有限责任公司“2024年度优秀资产托管机构”奖项、上海清算所“2024年度优秀托管机构”奖项；2025年2月，荣获全国银行间同业拆借中心“2024年度市场创新业务机构”奖项；2025年3月，荣获《中国基金报》2025年指数生态圈英华典型案例“指数产品托管机构”奖项；2025年6月，荣获《亚洲银行家》“中国最佳托管银行”“中国最佳股份制托管银行”奖项。2025年8月，在《21世纪经济报道》主办的2025资产管理年会暨十八届21世纪【金贝】资产管理竞争力案例发布盛典上，“招商银行托管+”荣获“2025卓越影响力品牌”奖项。2025年12月，荣获《2025东方财富风云际会》“年度托管银行风云奖”。2026年1月，荣获中央国债登记结算有限责任公司“2025年度优秀资产托管机构”奖项。2026年4月，荣获上海清算所“2025年度优秀托管机构”奖项。2026年7月，荣获《亚洲银行家》“中国最佳托管银行”“中国最佳股份制托管银行”奖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缪建民先生，招商银行董事长、非执行董事，2020年9月起担任招商银行董事、董事长。中央财经大学经济学博士，高级经济师。中国共产党第十九届、二十届中央委员会候补委员。招商局集团有限公司董事长。曾任中国人寿保险（集团）公司副董事长、总裁，中国人民保险集团股份有限公司副董事长、总裁、董事长，曾兼任中国人民财产保险股份有限公司董事长，中国人保资产管理有限公司董事长，中国人民健康保险股份有限公司董事长，中国人民保险（香港）有限公司董事长，人保资本投资管理有限公司董事长，中国人民养老保险有限责任公司董事长，中国人民人寿保险股份有限公司董事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小青先生，招商银行党委书记、行长，复旦大学政治经济学博士。曾任中国人保资产管理有限公司总裁助理、副总裁兼财务负责人，招商基金管理有限公司总经理、董事长，招商银行行长助理兼深圳分行行长、招商银行副行长，招商局金融控股有限公司总经理。曾兼任招商信诺人寿保险有限公司董事长、招商信诺资产管理有限公司董事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颖女士，招商银行副行长，南京大学政治经济学专业硕士，经济师。王颖女士1997年1月加入招商银行，历任招商银行北京分行行长助理、副行长，天津分行行长，深圳分行行长，招商银行行长助理。2023年11月起任招商银行副行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孙乐女士，招商银行资产托管部总经理，硕士研究生毕业，2001年8月加入招商银行至今，历任招商银行合肥分行风险控制部副经理、经理、信贷管理部总经理助理、副总经理、总经理、公司银行部总经理、中小企业金融部总经理、投行与金融市场部总经理；无锡分行行长助理、副行长；南京分行副行长；2021年10月起先后任招商银行资产托管部负责人、资产托管部总经理，具有20余年银行从业经验，在风险管理、信贷管理、公司金融、资产托管等领域有深入的研究和丰富的实务经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截至2026年6月30日，招商银行股份有限公司累计托管1875只证券投资基金。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（四）托管人的内部控制制度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 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确保托管业务严格遵守国家有关法律法规和行业监管制度，坚持守法经营、规范运作的经营理念；形成科学合理的决策机制、执行机制和监督机制，防范和化解经营风险，确保托管业务的稳健运行和托管资产的安全；建立有利于查错防弊、堵塞漏洞、消除隐患，保证业务稳健运行的风险控制制度，确保托管业务信息真实、准确、完整、及时；确保内控机制、体制的不断改进和各项业务制度、流程的不断完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 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招商银行资产托管业务建立三级内部控制及风险防范体系：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一级内部控制及风险防范是在招商银行总行风险管控层面对风险进行预防和控制；总行风险管理部、法律合规部、审计部独立对资产托管业务进行评估监督，并提出内控提升管理建议。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二级内部控制及风险防范是招商银行资产托管部设立风险合规管理相关团队，负责部门内部风险预防和控制，及时发现内部控制缺陷，提出整改方案，跟踪整改情况，并直接向部门总经理室报告。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三级内部控制及风险防范是招商银行资产托管部在设置专业岗位时，遵循内控制衡原则，视业务的风险程度制定相应监督制衡机制。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 内部控制原则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（1）全面性原则。内部控制覆盖各项业务过程和操作环节、覆盖所有团队和岗位，并由全部人员参与。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（2）审慎性原则。托管组织体系的构成、内部管理制度的建立均以防范风险、审慎经营为出发点，体现“内控优先”的要求。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（3）独立性原则。招商银行资产托管部各团队、各岗位职责保持相对独立，不同托管资产之间、托管资产和自有资产之间相互分离。内部控制的检查、评价部门独立于内部控制的建立和执行部门。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有效性原则。内部控制有效性包含内部控制设计的有效性、内部控制执行的有效性。内部控制设计的有效性是指内部控制的设计覆盖了所有应关注的重要风险，且设计的风险应对措施适当。内部控制执行的有效性是指内部控制能够按照设计要求严格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（5）适应性原则。内部控制适应招商银行托管业务风险管理的需要，并能够随着托管业务经营战略、经营方针、经营理念等内部环境的变化和国家法律、法规、政策制度等外部环境的改变及时进行修订和完善。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（6）防火墙原则。招商银行资产托管部办公场地与我行其他业务场地隔离，办公网和业务网物理分离，部门业务网和全行业务网防火墙策略分离，以达到风险防范的目的。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（7）重要性原则。内部控制在实现全面控制的基础上，关注重要托管业务重要事项和高风险环节。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（8）制衡性原则。内部控制能够实现在托管组织体系、机构设置、权责分配及业务流程等方面相互制约、相互监督，同时兼顾运营效率。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 内部控制措施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完善的制度建设。招商银行资产托管部从资产托管业务内控管理、产品受理、会计核算、资金清算、岗位管理、档案管理和信息管理等方面制定一系列规章制度，建立了三层制度体系，即：基本规定、业务管理办法和业务操作规程。制度结构层次清晰、管理要求明确，满足风险管理全覆盖的要求，保证资产托管业务科学化、制度化、规范化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（2）业务信息风险控制。招商银行资产托管部在数据传输和保存方面有严格的加密和备份措施，采用加密、直连方式传输数据，数据执行异地实时备份，所有的业务信息须经过严格的授权方能进行访问。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（3）客户资料风险控制。招商银行资产托管部对业务办理过程中获取的客户资料严格保密，除法律法规和其他有关规定、监管机构及审计要求外，不向任何机构、部门或个人泄露。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信息技术系统风险控制。招商银行对信息技术系统机房、权限管理实行双人双岗双责，电脑机房24小时值班并设置门禁，所有电脑设置密码及相应权限。业务网和办公网、托管业务网与全行业务网双分离制度，与外部业务机构实行防火墙保护，对信息技术系统采取两地三中心的应急备份管理措施等，保证信息技术系统的安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（5）人力资源控制。招商银行资产托管部通过建立良好的企业文化和员工培训、激励机制、加强人力资源管理及建立人才梯级队伍及人才储备机制，有效地进行人力资源管理。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中华人民共和国证券投资基金法》《公开募集证券投资基金运作管理办法》等有关法律法规的规定及基金合同、托管协议的约定，对基金投资范围、投资比例、投资组合等情况的合法性、合规性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为基金投资运作所提供的基金清算和核算服务环节中，基金托管人对基金管理人发送的投资指令、基金管理人对各基金费用的提取与支付情况进行检查监督，对违反法律法规、基金合同的指令拒绝执行，并立即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如发现基金管理人依据交易程序已经生效的投资指令违反法律、行政法规和其他有关规定，或者违反基金合同约定，及时以书面形式通知基金管理人进行整改，整改的时限应符合法律法规及基金合同允许的调整期限。基金管理人收到通知后应及时核对确认并以书面形式向基金托管人发出回函并改正。基金管理人对基金托管人通知的违规事项未能在限期内纠正的，基金托管人应报告中国证监会。</w:t>
      </w:r>
    </w:p>
    <w:p>
      <w:pPr>
        <w:pStyle w:val="2"/>
        <w:snapToGrid w:val="0"/>
        <w:spacing w:before="240" w:beforeLines="0" w:after="0"/>
        <w:rPr>
          <w:rFonts w:ascii="宋体" w:hAnsi="宋体"/>
          <w:szCs w:val="30"/>
        </w:rPr>
      </w:pPr>
      <w:r>
        <w:br w:type="page"/>
      </w:r>
      <w:bookmarkStart w:id="12" w:name="_Toc256000031"/>
      <w:bookmarkStart w:id="13" w:name="_Toc256000005"/>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个人投资者可以通过基金管理人网上直销交易平台办理开户、本基金的申购、赎回及定期定额投资等业务，具体交易细则请参阅基金管理人网站。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办公地址：上海市银城中路68号时代金融中心18-20楼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经办律师：丁媛、李晓露</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名称：安永华明会计师事务所（特殊普通合伙）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住所：北京市东城区东长安街1号东方广场安永大楼17层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办公地址：北京市东城区东长安街1号东方广场安永大楼17层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执行事务合伙人：毛鞍宁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电话：（010）58153000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传真：（010）85188298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联系人：蒋燕华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经办注册会计师：蒋燕华、费泽旭</w:t>
      </w:r>
    </w:p>
    <w:p>
      <w:pPr>
        <w:pStyle w:val="2"/>
        <w:snapToGrid w:val="0"/>
        <w:spacing w:before="240" w:beforeLines="0" w:after="0"/>
        <w:rPr>
          <w:rFonts w:ascii="宋体" w:hAnsi="宋体"/>
          <w:szCs w:val="30"/>
        </w:rPr>
      </w:pPr>
      <w:r>
        <w:br w:type="page"/>
      </w:r>
      <w:bookmarkStart w:id="14" w:name="_Toc256000032"/>
      <w:bookmarkStart w:id="15" w:name="_Toc256000006"/>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本基金由基金管理人依照《基金法》、《运作办法》、《销售办法》、基金合同及其他有关规定，并经中国证监会2025年8月4日证监许可【2025】1679号文准予募集注册。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本基金为契约型开放式混合型基金。基金存续期间为不定期。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本基金2025年11月3日至2025年11月10日进行发售，本基金设立募集期共募集2,367,379,004.97份基金份额，有效认购户数为9,440户。</w:t>
      </w:r>
    </w:p>
    <w:p>
      <w:pPr>
        <w:pStyle w:val="2"/>
        <w:snapToGrid w:val="0"/>
        <w:spacing w:before="240" w:beforeLines="0" w:after="0"/>
        <w:rPr>
          <w:rFonts w:ascii="宋体" w:hAnsi="宋体"/>
          <w:szCs w:val="30"/>
        </w:rPr>
      </w:pPr>
      <w:r>
        <w:br w:type="page"/>
      </w:r>
      <w:bookmarkStart w:id="16" w:name="_Toc256000033"/>
      <w:bookmarkStart w:id="17" w:name="_Toc256000007"/>
      <w:r>
        <w:rPr>
          <w:rFonts w:ascii="宋体" w:hAnsi="宋体"/>
          <w:sz w:val="30"/>
        </w:rPr>
        <w:t>七、基金合同的生效</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根据有关规定，本基金满足基金合同生效条件，基金合同已于2025年11月13日正式生效。自基金合同生效之日起，本基金管理人正式开始管理本基金。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法律法规或中国证监会另有规定时，从其规定。</w:t>
      </w:r>
    </w:p>
    <w:p>
      <w:pPr>
        <w:pStyle w:val="2"/>
        <w:snapToGrid w:val="0"/>
        <w:spacing w:before="240" w:beforeLines="0" w:after="0"/>
        <w:rPr>
          <w:rFonts w:ascii="宋体" w:hAnsi="宋体"/>
          <w:szCs w:val="30"/>
        </w:rPr>
      </w:pPr>
      <w:r>
        <w:br w:type="page"/>
      </w:r>
      <w:bookmarkStart w:id="18" w:name="_Toc256000034"/>
      <w:bookmarkStart w:id="19" w:name="_Toc256000008"/>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个人投资者可以通过基金管理人网上直销交易平台办理开户、本基金的申购、赎回、定期定额投资等业务，具体交易细则请参阅基金管理人网站。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2、除基金管理人之外的其他销售机构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本基金除基金管理人之外的其他销售机构参见本招募说明书“五、相关服务机构”章节或拨打基金管理人客户服务电话进行咨询。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及/或赎回，但对于每份基金份额，基金份额持有人仅可在该基金份额最短持有期限届满后申请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本基金已于2026年2月13日起开放申购、赎回业务。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投资人在最短持有期限内提出的赎回或转换申请，视为无效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1、“未知价”原则，即申购、赎回价格以申请日的基金份额净值（非申请日当天公布的基金份额净值）为基准进行计算；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3、最低基金份额余额的限制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本基金暂无最低保留余额限制。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4、基金管理人可以规定本基金的总规模上限、单个投资人累计持有的基金份额上限，具体规定请参见相关公告。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递交赎回申请，赎回成立；基金登记机构确认赎回时，赎回生效。投资者赎回申请生效后，基金管理人将在T+10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交易时间结束前受理有效申购和赎回申请的当天作为申购或赎回申请日（T日），在正常情况下，本基金登记机构在T+3日（包括该日）内对该交易的有效性进行确认。T日提交的有效申请，投资人应在T+4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（1）投资人T日申购基金成功后，正常情况下，登记机构在T＋3日为投资人增加权益并办理登记手续。投资人应及时查询有关申请的确认情况。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（2）投资人T日赎回基金成功后，正常情况下，登记机构在T＋3日为投资人扣除权益并办理相应的登记手续。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本基金基金份额分为A类基金份额和C类基金份额。投资人申购A类基金份额在申购时支付申购费用；申购C类基金份额不支付申购费用，但从该类别基金资产中计提销售服务费。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A类基金份额的申购费用由A类基金份额申购人承担，不列入基金财产，主要用于本基金的市场推广、销售、登记结算等各项费用。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投资人可以多次申购本基金，A类基金份额的申购费用按A类基金份额的每笔申购申请单独计算。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本基金A类基金份额（非养老金客户）的申购费率如下：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A类基金份额的申购费率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本基金对通过基金管理人直销柜台申购本基金A类基金份额的养老金客户实施特定申购费率。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1）全国社会保障基金；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2）可以投资基金的地方社会保障基金；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3）企业年金单一计划以及集合计划；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4）企业年金理事会委托的特定客户资产管理计划；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5）企业年金养老金产品。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通过基金管理人直销柜台申购本基金A类基金份额的养老金客户特定申购费率如下表：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b/>
                <w:color w:val="000000"/>
                <w:kern w:val="0"/>
                <w:sz w:val="24"/>
                <w:szCs w:val="24"/>
              </w:rPr>
              <w:t>A类基金份额的特定申购费率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用由赎回A类基金份额的基金份额持有人承担，在基金份额持有人赎回基金份额时收取。对于不受最短持有期限制的红利再投资所得基金份额，对持续持有期少于7日的投资者收取1.5%的赎回费，并全额计入基金财产。对持续持有期大于等于3个月但少于6个月的投资人所收取的赎回费，将赎回费总额的50%计入基金财产。其余用于支付登记费和其他必要的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本基金A类基金份额的赎回费率如下：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A类基金份额的赎回费率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3个月（含）—6个月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6个月以上（含）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上表中的“月”指的是30个自然日。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持有的每份基金份额最短持有期限为三个月，最短持有期限届满后，本基金C类基金份额不收取赎回费。其中，对于不受最短持有期限制的红利再投资所得基金份额，对持续持有期少于7日的投资者收取1.5%的赎回费，并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A类基金份额或C类基金份额的赎回金额为按实际确认的有效赎回份额乘以当日该类基金份额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例四：某投资者（非养老金客户）投资100,000.00元申购本基金的A类基金份额，假设申购当日A类基金份额净值为1.0400元，申购费率为0.8%，则其可得到的申购份额为：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净申购金额=100,000.00/（1+0.8%）=99,206.35元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申购费用=100,000.00-99,206.35=793.65元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申购份额=（100,000-793.65）/1.0400=95,390.72份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即：该投资者（非养老金客户）投资100,000.00元申购本基金的A类基金份额，假设申购当日A类基金份额净值为1.0400元，则其可得到95,390.72份A类基金份额。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例五：某养老金客户投资1,000,000.00元通过基金管理人的直销柜台申购本基金的A类基金份额，假设申购当日A类基金份额净值为1.0400元，申购费率为0.18%，则其可得到的申购份额为：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净申购金额=1,000,000.00/（1+0.18%）=998,203.23元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申购费用=1,000,000.00-998,203.23=1,796.77元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申购份额=（1,000,000-1,796.77）/1.0400=959,810.80份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即：该养老金客户投资1,000,000.00元通过基金管理人的直销柜台申购本基金的A类基金份额，假设申购当日A类基金份额净值为1.0400元，则其可得到959,810.80份A类基金份额。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例六：某投资者投资100,000.00元申购本基金的C类基金份额，假设申购当日C类基金份额净值为1.0400元，则其可得到的申购份额为：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赎回费用=赎回份额×T日该类基金份额净值×赎回费率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赎回金额=赎回份额×T日该类基金份额净值—赎回费用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例七：某投资者赎回持有的10,000.00份A类基金份额，持有期限为三个月，对应的赎回费率为0.5%，假设赎回当日A类基金份额净值是1.0160元，则其可得到的赎回金额为：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赎回费用=10,000.00×1.0160×0.5%=50.80元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赎回金额=10,000.00×1.0160-50.80＝10,109.20元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即：投资者赎回本基金10,000.00份A类基金份额，持有期限为三个月，对应的赎回费率为0.5%，假设赎回当日A类基金份额净值是1.0160元，则其可得到的赎回金额为10,109.20元。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例八：某投资者赎回持有的10,000.00份C类基金份额，持有期限为三个月，对应的赎回费率为0，假设赎回当日C类基金份额净值是1.0160元，则其可得到的赎回金额为：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赎回费用=10,000×1.0160×0=0.00元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赎回金额=10,000×1.0160-0.00＝10,160.00元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即：投资者赎回本基金10,000.00份C类基金份额，持有期限为三个月，对应的赎回费率为0，假设赎回当日C类基金份额净值是1.0160元，则其可得到的赎回金额为10,160.00元。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和C类基金份额的基金份额净值的计算，均保留到小数点后4位，小数点后第5位四舍五入，由此产生的收益或损失由基金财产承担。T日的基金份额净值在所投资基金披露净值或万份收益当日（法定节假日顺延至第一个交易日）计算，并在T+3日内披露本基金T日的各类基金份额的基金份额净值和基金份额累计净值。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3、证券交易所交易时间非正常停市或港股通临时停市，导致基金管理人无法计算当日基金资产净值。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4、由于本基金持有的相当比例的基金暂停估值，导致基金管理人无法计算当日本基金资产净值。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由于本基金持有的相当比例的基金份额，或者适合本基金投资的基金份额拒绝或暂停申购、暂停上市或二级市场交易停牌、基金管理人无法找到其他合适的可替代的基金品种，或其他可能对本基金业绩产生负面影响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7、港股通交易每日额度不足。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除第6、10项以外的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3、证券交易所交易时间非正常停市或港股通临时停市，导致基金管理人无法计算当日基金资产净值。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4、由于本基金持有的相当比例的基金暂停估值，导致基金管理人无法计算当日本基金资产净值。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5、由于本基金持有的相当比例的基金份额拒绝或暂停赎回、暂停上市或二级市场交易停牌、延期办理赎回、延期支付赎回款项，或其他可能对本基金业绩产生负面影响的情形。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6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当发生上述巨额赎回并延期办理时，基金管理人应当通过邮寄、传真、刊登公告或者通知销售机构代为告知等方式在3个交易日内通知基金份额持有人，说明有关处理方法，并在两日内在规定媒介上刊登公告。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2、如发生暂停的时间为1日，基金管理人应于重新开放日，在规定媒介上刊登基金重新开放申购或赎回公告，并公布最近1个开放日的各类基金份额的基金份额净值。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本基金2026年2月11日刊登公告自2026年2月13日起开通定期定额投资计划业务，具体开通销售机构名单和业务规则参见相关公告。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（十七）基金份额的转让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（十八）实施侧袋机制期间本基金的申购与赎回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（十九）其他业务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九、基金的投资</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本基金为基金中基金，在严格控制风险的前提下，充分发挥专业研究与管理能力，力争为投资者提供长期稳健的投资回报。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经中国证监会依法核准或注册的公开募集证券投资基金（含ETF和LOF、香港互认基金、QDII基金、商品基金（包括商品期货基金和黄金ETF）、公开募集基础设施证券投资基金（以下简称“公募REITs”））、国内依法发行上市的股票（含创业板、科创板及其他经中国证监会核准或注册上市的股票、存托凭证）、内地与香港股票市场交易互联互通机制允许买卖的香港证券市场股票和交易型开放式基金（以下分别简称“港股通股票”、“港股通ETF”）、债券（含国债、央行票据、金融债券、政府支持债券、政府支持机构债券、地方政府债券、企业债券、公司债券、可转换债券（含可分离交易可转换债券的纯债部分）、可交换债券、公开发行的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上述混合型基金需符合下列两个条件之一：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1、基金合同中约定股票投资占基金资产的比例不低于60%的混合型基金；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2、最近四个季度披露的股票投资占基金资产的比例均不低于60%的混合型基金。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1、大类资产配置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通过对宏观经济运行周期、货币与财政政策形势、资金面供求变化、证券市场走势与估值水平等综合分析，并融合量化投资方法，结合国内外先进资产配置理念，及时把握市场时机，调整资产配置比例，获取资产配置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本基金管理人绩效评估系统对备选基金的评估分析，在有效控制风险的前提下，通过定量和定性相结合的方法，精选具有不同风险收益特征及投资业绩比较优势的基金确定本基金配置组合。本基金的绩效评估系统分析主要包括业绩指标分析、业绩归因分析以及基金管理人综合评估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（1）运用量化方法分析所有适选基金在不同市场下的历史业绩表现，包括收益指标、风险指标和风险调整后收益指标等，具体如下：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收益指标：包括绝对收益、相对收益等指标；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风险指标：包括波动率、最大回撤等指标；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风险调整后收益指标：包括夏普比率、信息比率等指标。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深入分析基金的业绩表现，再次精选基金确定备选基金，包括对基金的择时能力、资产配置能力、个股选择能力等进行归因分析，解释基金收益来源，评估未来收益的持续性与稳定性。基于市场环境、政策变动、风险事件等多重因素对基金配置组合进行持续跟踪，动态调整基金投资组合及配置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（3）结合对基金管理人的定性评估，包括基金管理人基本情况、投研团队实力以及投研团队稳定性、基金经理投资优势及业绩稳定性等方面，最终确定本基金的投资组合及配置比例。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（4）公募REITs投资策略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公募REITs。本基金将综合考量宏观经济运行情况、基金资产配置策略、底层资产运营情况、流动性及估值水平等因素，对公募REITs的投资价值进行深入研究，精选出具有较高投资价值的公募REITs进行投资。本基金根据投资策略需要或市场环境变化，可选择将部分基金资产投资于公募REITs，但本基金并非必然投资公募REITs。</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综上，本基金通过定量和定性相结合的方法，长期持续跟踪本基金的组合业绩，并定期对基金组合进行维护，力争实现基金资产的长期稳健增值。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主要运用交银施罗德股票研究分析方法等投资分析工具，在把握宏观经济运行趋势和股票市场行业轮动的基础上，充分利用公司股票研究团队“自下而上”的主动选股能力，筛选出在公司治理、财务及管理品质上符合基本品质要求的上市公司；其次在公司备选股票池基础上，本基金将进一步通过对备选上市公司翔实的基本面分析和深入的实地调研，以定性与定量相结合的方法对公司价值进行综合评估。通过对重点上市公司进行内在价值的评估和成长性跟踪研究，在明确的价值评估基础上精选优秀质地的投资标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4、港股通股票及港股通ETF投资策略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本基金可通过内地与香港股票市场交易互联互通机制投资于香港股票市场。本基金优先将基本面健康、业绩向上弹性较大、具有估值优势的港股通股票及港股通ETF纳入本基金的投资组合。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本基金可根据投资策略需要或不同配置地市场环境的变化，选择将部分基金资产投资于港股通股票及港股通ETF或选择不将基金资产投资于港股通股票及港股通ETF，基金资产并非必然投资港股通股票及港股通ETF。</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本基金的债券投资采取主动的投资管理方式，获得与风险相匹配的投资收益，以实现在一定程度上规避股票市场的系统性风险和保证基金资产的流动性。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类属配置策略、期限结构配置策略、回购策略、信用债券投资策略、可转换债券投资策略等多种策略，以期获取债券市场的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6、资产支持证券投资策略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上述混合型基金需符合下列两个条件之一：1）基金合同中约定股票投资占基金资产的比例不低于60%的混合型基金；2）最近四个季度披露的股票投资占基金资产的比例均不低于60%的混合型基金；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（3）本基金持有单只基金的市值，不得高于本基金资产净值的20%，且不得持有其他基金中基金；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（4）本基金管理人管理的全部基金（除ETF联接基金外）持有单只基金不得超过被投资基金净资产的20%，被投资基金净资产规模以最近定期报告披露的规模为准；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（5）本基金不得持有具有复杂、衍生品性质的基金份额，包括分级基金和中国证监会认定的其他基金份额；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（6）本基金投资其他基金时，被投资基金的运作期限不少于1年、最近定期报告披露的基金净资产应当不低于1亿元；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（7）本基金投资于封闭运作基金、定期开放基金等流通受限基金的，其公允价值不得超过本基金资产净值的10%；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（8）本基金持有一家公司发行的证券（同一家公司在内地和香港同时上市的A+H股合并计算，不含本基金所投资的基金份额），其市值不超过基金资产净值的10%；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管理人管理的全部基金持有一家公司发行的证券（同一家公司在内地和香港同时上市的A+H股合并计算，不含本基金所投资的基金份额），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证券市场波动、证券发行人合并、本基金规模变动、本基金所投资的基金发生流动性限制、暂停申购、赎回或二级市场交易停牌等基金管理人之外的因素致使本基金投资比例不符合上述第（3）项、第（4）项规定投资比例的，基金管理人应当在20个交易日内进行调整；对于第（2）项、第（3）项、第（4）项、第（11）项、第（12）项及第（17）项以外的其他情形，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或变更上述限制，如适用于本基金，基金管理人在履行适当程序后，则本基金投资不再受相关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2、基金管理人运用本基金财产投资于股票、债券等金融工具的，投资品种和比例应当符合本基金的投资目标和投资策略。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中证800指数收益率×15%+中证港股通综合指数（人民币）收益率×2%+上海黄金交易所Au99.99现货实盘合约收益率×3%+中证纯债债券型基金指数收益率×75%+人民币银行活期存款利率（税后）×5%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800指数是由中证指数有限公司编制和维护，指数成份股覆盖中证500和沪深300的所有成份股，综合反映沪深证券市场内大中小市值公司的整体状况，具有良好的市场代表性。中证港股通综合指数（人民币）由中证指数有限公司编制和维护，选取符合港股通资格的普通股作为样本股，采用自由流通市值加权计算，是反映港股通范围内上市公司的整体状况和走势的一种股价指数。上海黄金交易所Au99.99现货实盘合约为在上海黄金交易所交易，代表黄金资产的现货合约，适合作为本基金商品类资产投资的业绩比较基准。中证纯债债券型基金指数由中证指数有限公司编制并发布，选取按基金合同规定只投资债券的基金作为样本，且排除分级基金、可转债基金、定期开放式基金、ETF，采用净值规模加权，适合作为本基金债券类资产投资的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根据本基金的投资范围和投资策略，选用上述业绩比较基准能够客观、合理地反映本基金的风险收益特征。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上述基准指数停止计算编制或更改名称，或者今后法律法规发生变化，又或者市场推出更具权威、且更能够表征本基金风险收益特征的指数，依据维护基金份额持有人合法权益的原则，本基金管理人可与本基金托管人协商一致并按照监管部门要求履行适当程序后，调整或变更本基金的业绩比较基准并及时公告，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本基金为混合型基金中基金，其预期风险与预期收益理论上高于债券型基金、债券型基金中基金、货币市场基金和货币型基金中基金，低于股票型基金和股票型基金中基金。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本基金可投资港股通股票及港股通ETF，会面临港股通机制下因投资环境、投资标的、市场制度以及交易规则等差异带来的特有风险。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基金托管人招商银行股份有限公司根据本基金合同约定，于2026年07月17日复核了本报告中的财务指标、净值表现和投资组合报告等内容，保证复核内容不存在虚假记载、误导性陈述或者重大遗漏。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1,646,119,421.47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92.44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101,076,339.35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5.68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101,076,339.35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5.68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8,669,221.83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24,859,768.15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1,780,724,750.80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101,076,339.35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101,076,339.35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5.86</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019785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25国债13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473,000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47,897,185.18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019792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25国债19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343,000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34,659,886.88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019827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26国债01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184,000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18,519,267.29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246,432.10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22,730,580.98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2,260.25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1,873,636.10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6,858.72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24,859,768.15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2" w:name="_Toc256000036"/>
      <w:bookmarkStart w:id="23" w:name="_Toc256000010"/>
      <w:r>
        <w:rPr>
          <w:rFonts w:ascii="宋体" w:hAnsi="宋体"/>
          <w:sz w:val="30"/>
        </w:rPr>
        <w:t>十、基金的业绩</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（1）交银臻享多资产三个月持有期混合（FOF）A</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2025年度（自基金合同生效起至2025年12月31日）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（2）交银臻享多资产三个月持有期混合（FOF）C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2025年度（自基金合同生效起至2025年12月31日）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中证800指数收益率×15%+中证港股通综合指数（人民币）收益率×2%+上海黄金交易所Au99.99现货实盘合约收益率×3%+中证纯债债券型基金指数收益率×75%+人民币银行活期存款利率（税后）×5%，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交银施罗德臻享多资产三个月持有期混合型基金中基金（FOF）</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(2025年11月13日至2026年06月30日)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（1）交银臻享多资产三个月持有期混合（FOF）A</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268.2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（2）交银臻享多资产三个月持有期混合（FOF）C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268.25pt;width:439.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基金合同生效日为2025年11月13日，基金合同生效日至报告期期末，本基金运作时间未满一年。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4" w:name="_Toc256000037"/>
      <w:bookmarkStart w:id="25" w:name="_Toc256000011"/>
      <w:r>
        <w:rPr>
          <w:rFonts w:ascii="宋体" w:hAnsi="宋体"/>
          <w:sz w:val="30"/>
        </w:rPr>
        <w:t>十一、基金的财产</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基金资产总值是指基金拥有的各类有价证券、证券投资基金份额、银行存款本息、基金应收款项及其他资产的价值总和。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6" w:name="_Toc256000038"/>
      <w:bookmarkStart w:id="27" w:name="_Toc256000012"/>
      <w:r>
        <w:rPr>
          <w:rFonts w:ascii="宋体" w:hAnsi="宋体"/>
          <w:sz w:val="30"/>
        </w:rPr>
        <w:t>十二、基金资产的估值</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本基金的估值日为本基金相关的证券交易场所的交易日以及国家法律法规规定需要对外披露基金净值的非交易日。所投资基金的估值日是指该基金基金份额净值和基金份额累计净值的归属日。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基金所拥有的证券投资基金份额、股票、债券、资产支持证券和其他投资等持续以公允价值计量的金融资产及负债。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1、证券投资基金的估值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（1）本基金投资于非上市的非货币市场基金，按所投资基金估值日的份额净值进行估值；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（2）本基金投资于非上市的货币市场基金，按所投资基金前一估值日后至估值日期间（含节假日）的万份收益计提估值日基金收益；如所投资基金披露份额净值，则按所投资基金估值日的份额净值估值；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（3）本基金投资的ETF基金，按所投资ETF基金估值日的收盘价进行估值；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（4）本基金投资的上市开放式基金（LOF），按所投资基金估值日的份额净值估值；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（5）本基金投资的上市定期开放式基金、封闭式基金，按所投资基金估值日的收盘价估值；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的上市交易型货币市场基金，如所投资基金披露份额净值，则按所投资基金估值日的份额净值估值；如所投资基金披露万份（百份）收益，则按所投资基金前一估值日后至估值日期间（含节假日）的万份（百份）收益计提估值日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（7）如遇所投资基金不公布基金份额净值、进行折算或拆分、估值日无交易等特殊情况，基金管理人根据以下原则进行估值：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以所投资基金的基金份额净值估值的，若所投资基金与本基金估值频率一致但未公布估值日基金份额净值，以其最近公布的基金份额净值估值；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所投资基金的收盘价估值的，若估值日无交易，且最近交易日后市场环境未发生重大变化，以最近交易日的收盘价估值；如最近交易日后市场环境发生了重大变化的，可使用最新的基金份额净值为基础或参考类似投资品种的现行市价及重大变化因素调整最近交易市价，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如果所投资基金前一估值日至估值日期间发生分红除权、折算或拆分，基金管理人应根据基金份额净值或收盘价、单位基金份额分红金额、折算拆分比例、持仓份额等因素合理确定公允价值；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（8）当基金管理人认为所投资基金按上述第（1）至第（7）条进行估值存在不公允时，应与基金托管人协商一致采用合理的估值技术或估值标准确定其公允价值。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（2）对于已上市或已挂牌转让的不含权固定收益品种，选取第三方估值基准服务机构提供的相应品种当日的估值全价进行估值。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（3）对于已上市或已挂牌转让的含权固定收益品种，选取第三方估值基准服务机构提供的相应品种当日的唯一估值全价或推荐估值全价进行估值。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建议按照长待偿期所对应的价格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对于未上市或未挂牌转让且不存在活跃市场的固定收益品种，采用在当前情况下适用并且有足够可利用数据和其他信息支持的估值技术确定其公允价值。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（2）首次公开发行未上市的股票和债券，采用估值技术确定公允价值；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4、同一证券同时在两个或两个以上市场交易的，按证券所处的市场分别估值。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5、估值计算中涉及港币对人民币汇率的，将依据下列信息提供机构所提供的汇率为基准：当日中国人民银行或其授权机构公布的人民币与港币的中间价。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各类基金份额的基金份额净值是按照每个估值日，该类基金份额的基金资产净值除以估值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基金管理人于每个估值日分别计算A类基金份额、C类基金份额的基金资产净值及基金份额净值，并按规定公告。如遇特殊情况，经履行适当程序，可以适当延迟计算或公告。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估值日对基金资产估值。但基金管理人根据法律法规或基金合同的规定暂停估值时除外。基金管理人每个工作日对基金资产估值后，将各类基金份额的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（2）错误偏差达到该类基金份额净值的0.25%时，基金管理人应当通报基金托管人并报中国证监会备案；错误偏差达到该类基金份额净值的0.5%时，基金管理人应当公告，并报中国证监会备案。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若基金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④由于基金管理人提供的信息错误（包括但不限于基金申购或赎回金额等），进而导致基金份额净值计算错误而引起的基金份额持有人和基金财产的损失，由基金管理人负责赔付。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（4）前述内容如法律法规或者监管部门另有规定的，从其规定。如果行业另有通行做法，双方当事人应本着平等和保护基金份额持有人利益的原则进行协商。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3、由于本基金持有的相当比例的基金暂停估值，导致基金管理人无法计算当日基金资产净值；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资产净值和基金份额净值由基金管理人负责计算，基金托管人负责进行复核。基金管理人应于每个工作日计算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1、基金管理人或基金托管人按估值方法的第7项进行估值时，所造成的误差不作为基金资产估值错误处理。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2、对于因税收规定调整或其他原因导致基金实际交纳税金与基金按照权责发生制进行估值的应交税金有差异的，相关估值调整不作为基金资产估值错误处理。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由于不可抗力原因，或由于证券交易所、证券经纪机构及登记结算公司发送的数据错误，或国家会计政策变更、市场规则变更等非基金管理人与基金托管人原因，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28" w:name="_Toc256000039"/>
      <w:bookmarkStart w:id="29" w:name="_Toc256000013"/>
      <w:r>
        <w:rPr>
          <w:rFonts w:ascii="宋体" w:hAnsi="宋体"/>
          <w:sz w:val="30"/>
        </w:rPr>
        <w:t>十三、基金收益与分配</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1、在符合有关基金分红条件的前提下，本基金管理人可以根据实际情况进行收益分配，具体分配方案以公告为准，若《基金合同》生效不满3个月可不进行收益分配；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收益分配方式分两种：现金分红与红利再投资，投资者可选择现金红利或将现金红利自动转为相应类别的基金份额进行再投资；投资者红利再投资所得基金份额不受最短持有期限制；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3、基金收益分配后任一类基金份额净值不能低于面值；即基金收益分配基准日的任一类基金份额净值减去每单位该类基金份额收益分配金额后不能低于面值；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4、由于本基金A类基金份额不收取销售服务费，C类基金份额收取销售服务费，各基金份额类别对应的可供分配利润将有所不同；本基金同一类别的每份基金份额享有同等分配权；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十四、基金的费用与税收</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6、基金的证券、基金交易费用；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10、本基金投资其他基金产生的其他基金的销售费用（如申购费、赎回费、销售服务费等），但法律法规禁止从基金财产中列支的除外；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11、因投资港股通股票及港股通ETF而产生的各项合理费用；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财产中持有的基金管理人自身管理的基金部分不收取管理费。本基金的管理费按前一日基金资产净值扣除基金财产中持有的基金管理人自身管理的基金部分所对应资产后剩余部分的0.6%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H＝E×0.6%÷当年天数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E为前一日的基金资产净值扣除基金财产中持有的基金管理人自身管理的基金部分所对应资产后剩余部分，若为负数，则E取0。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提，逐日累计至每月月末，按月支付。由基金管理人与基金托管人核对一致后，由基金托管人按照与基金管理人协商一致的方式自动于次月首日起5个工作日内从基金财产中一次性支付给基金管理人，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财产中持有的基金托管人自身托管的基金部分不收取托管费。本基金的托管费按前一日基金资产净值扣除基金财产中持有的基金托管人自身托管的基金部分所对应资产后剩余部分的0.17%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H＝E×0.17%÷当年天数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E为前一日的基金资产净值扣除基金财产中持有的基金托管人自身托管的基金部分所对应资产后剩余部分，若为负数，则E取0。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提，逐日累计至每月月末，按月支付。由基金管理人与基金托管人核对一致后，由基金托管人按照与基金管理人协商一致的方式自动于次月首日起5个工作日内从基金财产中一次性支付给基金托管人，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本基金A类基金份额不收取销售服务费，C类基金份额的销售服务费按前一日C类基金资产净值的0.4%年费率计提。计算方法如下：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H＝E×0.4%÷当年天数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提，逐日累计至每月月末，按月支付。由基金管理人与基金托管人核对一致后，由基金托管人按照与基金管理人协商一致的方式自动于次月首日起5个工作日内从基金财产中一次性支付给基金管理人，由基金管理人代付给销售机构，若遇法定节假日、休息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（4）上述“（一）基金费用的种类”中第3－8项，第10－12项费用，根据有关法规及相应协议规定，按费用实际支出金额列入当期费用，由基金托管人从基金财产中支付。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2"/>
        <w:snapToGrid w:val="0"/>
        <w:spacing w:before="240" w:beforeLines="0" w:after="0"/>
        <w:rPr>
          <w:rFonts w:ascii="宋体" w:hAnsi="宋体"/>
          <w:szCs w:val="30"/>
        </w:rPr>
      </w:pPr>
      <w:r>
        <w:br w:type="page"/>
      </w:r>
      <w:bookmarkStart w:id="32" w:name="_Toc256000041"/>
      <w:bookmarkStart w:id="33" w:name="_Toc256000015"/>
      <w:r>
        <w:rPr>
          <w:rFonts w:ascii="宋体" w:hAnsi="宋体"/>
          <w:sz w:val="30"/>
        </w:rPr>
        <w:t>十五、基金的会计与审计</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3、基金管理人认为有充足理由更换会计师事务所，须通报基金托管人。更换会计师事务所需依照《信息披露办法》的规定在规定媒介公告。</w:t>
      </w:r>
    </w:p>
    <w:p>
      <w:pPr>
        <w:pStyle w:val="2"/>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十六、基金的信息披露</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（一）本基金的信息披露应符合《基金法》、《运作办法》、《信息披露办法》、《流动性风险管理规定》、《基金合同》及其他有关规定。相关法律法规关于信息披露的规定发生变化时，本基金从其最新规定。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《基金合同》生效后，在开始办理基金份额申购或者赎回前，基金管理人应当至少每周在规定网站分别披露一次A类基金份额和C类基金份额所对应的基金份额净值和基金份额累计净值。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后的3个工作日内，通过规定网站、基金销售机构网站或者营业网点，分别披露开放日的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基金管理人应当在不晚于半年度和年度最后一日后的3个工作日内，在规定网站披露半年度和年度最后一日A类基金份额和C类基金份额所对应的基金份额净值和基金份额累计净值。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（22）基金管理人采用摆动定价机制进行估值；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（24）本基金推出新业务或服务；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（25）连续30、40、45个工作日出现基金份额持有人数量不满200人或者基金资产净值低于5000万元情形；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12、基金投资资产支持证券情况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13、基金投资证券投资基金情况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定期报告和招募说明书（更新）中应设立专门章节披露所持基金的相关情况并揭示相关风险：（1）投资策略、持仓情况、损益情况、净值披露时间等；（2）交易及持有基金产生的费用，包括申购费、赎回费、销售服务费、管理费、托管费等，在招募说明书（更新）中列明计算方法并举例说明；（3）持有的基金发生的重大影响事件，如转换运作方式、与其他基金合并、终止基金合同以及召开基金份额持有人大会等；（4）本基金投资于基金管理人以及基金管理人关联方所管理基金的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14、基金投资港股通股票情况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本基金可投资港股通股票，基金应当在季度报告、中期报告、年度报告等定期报告和招募说明书（更新）等文件中披露港股通股票的投资情况。法律法规或中国证监会另有规定的，从其规定。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15、本基金可投资港股通ETF，基金管理人将按相关法律法规要求进行披露。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基金信息披露义务人公开披露基金信息，应当符合中国证监会相关基金信息披露内容与格式准则等法律法规的规定。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基金管理人、基金托管人应当在规定报刊中选择披露信息的报刊。基金管理人、基金托管人应当向中国证监会基金电子披露网站报送拟披露的基金信息，并保证相关报送信息的真实、准确、完整、及时。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依法必须披露的信息发布后，基金管理人、基金托管人应当按照相关法律法规规定将信息置备于各自办公场所，供社会公众查阅、复制。</w:t>
      </w:r>
    </w:p>
    <w:p>
      <w:pPr>
        <w:pStyle w:val="2"/>
        <w:snapToGrid w:val="0"/>
        <w:spacing w:before="240" w:beforeLines="0" w:after="0"/>
        <w:rPr>
          <w:rFonts w:ascii="宋体" w:hAnsi="宋体"/>
          <w:szCs w:val="30"/>
        </w:rPr>
      </w:pPr>
      <w:r>
        <w:br w:type="page"/>
      </w:r>
      <w:bookmarkStart w:id="36" w:name="_Toc256000043"/>
      <w:bookmarkStart w:id="37" w:name="_Toc256000017"/>
      <w:r>
        <w:rPr>
          <w:rFonts w:ascii="宋体" w:hAnsi="宋体"/>
          <w:sz w:val="30"/>
        </w:rPr>
        <w:t>十七、侧袋机制</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1、本基金实施侧袋机制的，管理费和托管费等按主袋账户基金资产净值作为基数计提。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型基金、混合型基金、债券型基金、货币市场基金、基金中基金等不同类型，基金中基金进一步分为股票型基金中基金、混合型基金中基金、债券型基金中基金、货币型基金中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但设置最短持有期，基金份额持有人持有的每份基金份额最短持有期限为三个月，对于满足最短持有期限的投资人，基金管理人在每个开放日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但对于每份基金份额，基金份额持有人仅可在该基金份额最短持有期限届满后申请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可根据实际情况依法决定本基金开始办理申购的具体日期，具体业务办理时间在申购开始公告中规定。基金管理人自基金合同生效之日起三个月后月度对日（含该日）开始办理赎回，具体业务办理时间在赎回开始公告中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份额持有人多次认购或申购本基金导致持有多笔不同期限的本基金基金份额时，基金份额持有人在赎回时需特别关注申请赎回的基金份额数量，若申请赎回的基金份额超过了该基金份额持有人持续持有超过三个月的基金份额数量，则基金份额持有人的赎回申请将全部被予以拒绝。基金份额持有人需承担赎回申请失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基金中基金，投资于公开募集证券投资基金的基金份额的资产不低于基金资产的80%，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为混合型基金中基金，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因此本基金所持有的基金的业绩表现、持有基金的基金管理人水平等因素将影响到本基金的基金业绩表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为基金中基金，由于本基金所持有的相当比例的基金暂停估值，导致基金管理人无法计算当日本基金资产净值；或者由于本基金持有的相当比例的基金份额或适合本基金投资的基金份额拒绝或暂停申购、暂停上市或二级市场交易停牌、基金管理人无法找到其他合适的可替代的基金品种，或其他可能对本基金业绩产生负面影响的情形，本基金可能拒绝或暂停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为基金中基金，由于本基金所持有的相当比例的基金暂停估值，导致基金管理人无法计算当日本基金资产净值；或者由于本基金持有的相当比例的基金份额拒绝或暂停赎回、暂停上市或二级市场交易停牌、延期办理赎回、延期支付赎回款项，或其他可能对本基金业绩产生负面影响的情形，本基金可能暂停赎回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为基金中基金，本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但如果本基金管理人运用本基金的基金财产申购非自身管理的基金的，将会承担本基金以及本基金所投资或持有基金份额的相关费用，本基金对上述费用的支付将对收益水平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为基金中基金，本基金可能投资于封闭运作基金、定期开放基金等流通受限基金。本基金投资流动受限基金将面临所投资基金的流动性风险，因此可能在本基金需要变现资产时，受流动性所限，本基金无法卖出所持有的流通受限基金，由此可能给基金净值带来不利影响或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的投资范围包括QDII基金，因此本基金可能间接面临海外市场风险、汇率风险、法律和政治风险、会计制度风险、税务风险等风险。并且，由于本基金可以投资于QDII基金，本基金的申购/赎回确认日、支付赎回款项日以及份额净值公告日等可能晚于一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份额持有人持有的每份基金份额最短持有期限为三个月，在最短持有期限内该份基金份额不可赎回，自最短持有期限届满的下一工作日起（含该日）可赎回。对于每笔认购的基金份额而言，最短持有期限自基金合同生效之日起（含该日）至三个月后月度对日的前一日；对于每笔申购的基金份额而言，最短持有期限自该笔申购份额确认日（含该日）至三个月后月度对日的前一日。因此，对于基金份额持有人而言，存在投资本基金后三个月内无法赎回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9、投资资产支持证券的特定风险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10、投资流通受限证券的特定风险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11、通过内地与香港股票市场交易互联互通机制投资于香港证券市场股票和交易型开放式基金的风险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本基金的投资范围包括港股通股票、港股通ETF，会面临港股通机制下因投资环境、投资标的、市场制度以及交易规则等差异带来的特有风险，具体如下：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（1）投资于香港证券市场的特有风险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1）香港证券市场与内地证券市场规则差异的风险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香港证券市场与内地证券市场存在诸多差异，本基金参与港股通交易需遵守内地与香港相关法律、行政法规、部门规章、规范性文件和业务规则，对香港证券市场有所了解；通过港股通参与香港证券市场交易与通过其他方式参与香港证券市场交易，也存在一定的差异。以上情形可能增加本基金的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2）港股通标的证券价格较大波动的风险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港股通股票可能出现因公司基本面变化、第三方研究分析报告的观点、异常交易情形、做空机制等原因引起股价较大波动的情形；港股通股票在上市第一年里，除受市场、资金、企业盈利等方面影响，还可能因投资者对新股情绪变化、限售解禁等因素，出现股价较大波动的情形；港股通股票可能因为上市公司注册地或主营业务经营所在地的政策法律变化、境外市场联动以及其他原因而出现股价较大波动的情形；港股通ETF可能出现因跟踪标的指数成份证券大幅波动、流动性不佳、受有关场外结构化产品影响、交易异常情形等原因而引起价格较大波动、折溢价率和跟踪误差偏离合理区间等情形；此外，香港证券市场实行 T+0 回转交易机制，且股票及ETF交易不设涨跌幅限制，加之香港市场结构性产品和衍生品种类相对丰富以及做空机制的存在，港股通标的证券价格可能表现出更为剧烈的波动，由此增加本基金净值的波动风险。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3）中小市值公司投资风险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中小市值公司存在业绩不稳定、股价波动性较大、市场流动性较差等风险，若本基金投资中小市值股票，本基金的投资风险可能增加。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4）股份数量、股票面值大幅变化的风险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部分港股通上市公司基本面变化大，股票价格低可能存在大比例折价供股或配股、频繁分拆合并股份的行为，投资者持有的股份数量、股票面值可能发生大幅变化，由此可能增加本基金的投资风险。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5）停牌风险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与内地市场相比，香港市场证券停牌制度存在一定差异，港股通标的证券可能出现长时间停牌现象，由此可能增加本基金的投资风险。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6）直接退市风险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与内地市场相比，香港市场股票交易没有退市风险警示、退市整理等安排，相关股票存在直接退市的风险。港股股票一旦退市，本基金将面临无法继续通过港股通买卖相关股票的风险。此外，港股通股票退市后，因香港中央结算有限公司（以下简称香港结算）可能无法比照退市前标准提供名义持有人服务，中国证券登记结算有限责任公司（以下简称中国结算）通过香港结算继续为投资者提供的退市股票名义持有人服务可能会受限。以上情况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7）港股通ETF终止上市或更换管理人的风险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与内地证券市场相比，香港市场ETF终止上市或更换基金管理人等制度安排存在一定差异，港股通ETF可能因基金管理人主动退出香港市场导致终止上市或更换基金管理人，由此可能增加本基金的投资风险。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8）港股通ETF清盘的风险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内地证券市场相比，香港市场ETF发生清盘业务，将基金资产变现所得的资金派发给投资者后，投资者证券账户中相应基金份额的注销日与清盘资金发放日之间可能间隔较长时间，对清盘后尚未注销的基金份额，投资者需审慎评估其价值。以上情况可能增加本基金的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（2）通过内地与香港股票市场交易互联互通机制投资的特有风险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1）港股通机制及其规则变动带来的风险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可通过内地与香港股票市场交易互联互通机制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2）港股通标的证券范围受限及动态调整的风险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本基金可以通过港股通买卖的标的证券存在一定的范围限制，且港股通标的证券名单会动态调整。对于被调出的港股通标的证券，自调整之日起，本基金将不得再行买入。以上情形可能对本基金带来不利影响。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3）港股通交易日不连贯带来的基金净值波动风险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在内地与香港股票市场交易互联互通机制下，只有内地和香港两地均为交易日的日期才为港股通交易日，存在港股通交易日不连贯的情形，而导致基金所持的港股组合在后续港股通交易日开市交易中集中体现市场反应而造成其价格波动骤然增大，进而导致本基金所持港股组合在资产估值上出现波动增大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4）交收制度带来的基金流动性风险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香港证券市场与内地证券市场在证券资金的交收期安排上存在差异，香港证券市场实行T+2日（T日买卖股票，资金和股票在T+2日才进行交收）的交收安排，本基金在T日（港股通交易日）卖出股票，T+2日（港股通交易日，即为卖出当日之后第二个港股通交易日）在香港市场完成清算交收，卖出的资金在T+3日才能回到人民币资金账户，因此卖出资金回到本基金人民币账户的周期比内地证券市场要长；此外港股的交收可能因香港出现台风或黑色暴雨等发生延迟交易。因此交收制度的不同以及港股通交易日的设定原因，本基金可能面临卖出港股后资金不能及时到账，而造成支付赎回款日期比正常情况延后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5）交易额度限制的风险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在内地与香港股票市场交易互联互通机制下，港股通交易实施每日额度限制，如当日额度使用完毕，当日投资者可能无法通过港股通买入，本基金可能面临每日额度不足而交易失败的风险。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6）无法进行交易或交易中断的风险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香港出现联交所规定的其他情形时，香港证券市场将可能停市，投资者将面临在停市期间无法进行港股交易的风险；出现内地证券交易服务公司认定的交易异常情况时，将可能暂停提供部分或者全部港股通服务，本基金将面临在暂停服务期间无法进行港股通交易的风险。若香港联交所与内地交易所的证券交易服务公司之间的报盘系统或者通信链路出现故障，可能导致15 分钟以上不能申报和撤销申报的交易中断风险。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7）汇率风险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在内地与香港股票市场交易互联互通机制下，港股的买卖是以港币报价、人民币支付，本基金承担港币对人民币汇率波动的风险；同时，由于在交易时间内提交订单依据的港币买入参考汇率和卖出参考汇率，并不等于最终结算汇率，最终结算汇率为相关机构日终确定的数值。此外，若因汇率大幅波动等原因，可能会导致本基金的账户透支风险。因此，本基金面临汇率波动的不确定性风险，由此可能增加本基金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8）交易价格受限的风险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港股通标的证券不设置涨跌幅限制，但根据联交所业务规则，适用市场波动调节机制的港股通标的证券的买卖申报可能受到价格限制。此外，对于适用收市竞价交易的港股通标的证券，收市竞价交易时段的买卖申报也将受到价格限制。以上情形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9）港股通制度下对公司行为的处理规则带来的风险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因所持港股通标的证券权益分派、转换、收购等情形或者异常情况，所取得的港股通标的证券以外的香港联交所上市证券，只能通过港股通卖出，但不得买入，交易所另有规定的除外；因港股通股票权益分派或者转换等情形取得的香港联交所上市股票的认购权利在联交所上市的，可以通过港股通卖出，但不得行权；因港股通标的证券权益分派、转换或者收购等所取得的非联交所上市证券，可以享有相关权益，但不得通过港股通买入或卖出。上述规则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10）结算风险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香港结算机构可能因极端情况存在无法交付证券和资金的结算风险；另外港股通境内结算实施分级结算原则，本基金可能面临以下风险：因结算参与人未完成与中国结算的集中交收，导致本基金应收资金或证券被暂不交付或处置；结算参与人对本基金出现交收违约导致本基金未能取得应收证券或资金；结算参与人向中国结算发送的有关本基金的证券划付指令有误的导致本基金权益受损；其他因结算参与人未遵守相关业务规则导致本基金利益受到损害的情况。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11）现金红利获得时间有所延后的风险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对于在联交所上市公司派发的现金红利或联交所上市ETF进行的收益分配，由于中国结算需要在收到香港结算派发的外币红利资金后进行换汇、清算、发放等业务处理，投资者通过港股通业务获得的现金红利将会较香港市场有所延后。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12）投资方式受限的风险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本基金通过港股通业务暂不能参与新股发行认购、超额供股和超额公开配售，以及ETF发行认购和申购赎回。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可根据投资策略需要或不同配置地市场环境的变化，选择将部分基金资产投资于港股通股票及港股通ETF或选择不将基金资产投资于港股通股票及港股通ETF，基金资产并非必然投资港股通股票及港股通ETF。</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12、投资香港互认基金的特有风险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香港互认基金是指依照香港法律在香港设立、运作和公开销售，并经中国证监会批准在内地公开销售的单位信托、互惠基金或者其他形式的集体投资计划，香港互认基金管理人委托内地符合条件的机构作为代理人办理基金在境内的相关业务。本基金可投资于香港互认基金，主要存在如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（1）香港互认基金境外投资风险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香港互认基金投资标的主要包括内地以外的其他司法管辖区（简称为“境外”）的金融工具，投资香港互认基金面临不同于内地投资标的的投资风险，包括但不限于境外投资的市场风险、政府管制风险、政治风险、法律风险、汇率风险、基金的税务风险、境外特殊标的风险等，从而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1）境外投资市场风险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境外投资受到所投资市场宏观经济运行情况、货币政策、财政政策、产业政策、税法、汇率、交易规则、结算、托管以及其他运作风险等多种因素的影响，上述因素的波动和变化可能会使香港互认基金资产面临潜在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2）政府管制风险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境外市场与内地市场的管制程度和具体措施不同，当地政府可能通过对财政、货币、产业等方面的政策进行管制，由此导致市场波动而影响香港互认基金收益。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3）政治风险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因政治局势变化（如战争、罢工等）可能导致当地市场出现较大波动，从而给香港互认基金的投资收益造成直接或间接的影响。此外，香港互认基金所投资市场可能会不时采取某些管制措施，如资本或外汇管制、对公司或行业的国有化以及征收高额税收等，从而对香港互认基金收益带来不利影响。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4）法律风险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由于境外市场法律法规的颁布或变更，可能导致香港互认基金的某些投资行为受到限制，从而使得香港互认基金资产面临损失的可能。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5）汇率风险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香港互认基金的计价基础货币可能为美元、港币等外币, 因此, 本基金以人民币投资香港互认基金, 可能承受由于人民币兑外币的汇率波动而产生的外汇风险。外币之间的汇率变化以及换汇费用将会影响本基金的投资收益。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6）基金的税务风险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境外市场在税务方面的法律法规与内地存在一定差异，境外市场可能会要求香港互认基金就股息、利息、资本利得等收益向当地税务机构缴纳税金，该行为会使香港互认基金收益受到一定影响。此外，境外市场的税收规定可能发生变化，或者实施具有追溯力的修订，从而导致本基金在该市场缴纳额外税项，影响香港互认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7）境外特殊标的风险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不同于内地证券投资基金，香港互认基金的投资标的可能包括低于投资级别或未评级的债券、其他集合投资计划、房地产投资信托基金、商品、期权、股票挂钩票据等衍生工具等。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这些不同于内地的特殊投资标的存在特殊风险，可能使得香港互认基金资产面临损失。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（2）香港基金互认机制相关风险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香港互认基金在内地销售需持续满足相关法规及监管要求，如基金在运作过程中不符合互认基金的条件或香港基金互认机制终止，相关香港互认基金可能会暂停或终止在内地销售；此外，香港互认基金在内地销售还可能面临内地代理人、内地销售机构或内地登记结算机构的操作风险、技术风险，跨境数据传输和跨境资金结算的系统风险、税收风险等，从而可能增加本基金的投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1）香港互认基金暂停或终止内地销售的风险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互认基金不满足中国证监会规定的香港互认基金条件，或监管部门终止香港基金互认机制，相关的香港互认基金将可能无法继续在内地销售。此外，香港互认基金将受到全面的额度限制。若在内地销售的全部香港互认基金的销售额度达到中国证监会和/或香港证监会和/或国家外汇管理局和/或其他监管机构规定的额度或者不时调整的额度，香港互认基金将暂停接受内地投资者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2）内地代理人、内地销售机构或内地登记结算机构的操作风险、技术风险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内地投资者的申购、赎回由内地销售机构、内地代理人及/或内地登记结算机构与互认基金的基金管理人、行政管理人进行数据清算和资金交收，并由名义持有人代名持有内地投资者的基金份额。内地销售机构、内地代理人或内地登记结算机构在业务各环节操作过程中，因操作失误或违反操作规程等原因可能引致风险，可能因为技术系统的故障或者差错而影响清算交收的正常进行，或者导致投资者的利益受到影响。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3）跨境数据传输和跨境资金结算的系统风险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申购、赎回香港互认基金的数据清算和资金交收将通过内地登记结算机构的基金登记结算系统平台和基金管理人或行政管理人采用的登记结算系统平台进行传输和交换，可能会发生并非由相关参与主体的过错而导致的技术系统故障或者差错而影响清算交收的正常进行。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4）税收风险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由于中国内地与香港的税收政策存在差异，可能导致在内地销售的香港互认基金份额的资产回报有别于在香港销售的份额。同时，中国内地关于在内地销售的香港互认基金与内地普通证券投资基金之间在税收政策上也存在差异，例如香港互认基金份额转让需支付香港印花税以及份额转让定额税项，内地个人投资者从香港互认基金分配获得的收益需缴纳个人所得税等，以上税收差异可能使内地销售的互认基金份额的投资收益和回报受到影响。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5）名义持有人机制风险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内地基金的注册登记规则不同，内地投资者持有的互认基金份额将由名义持有人代名持有并以名义持有人的名义登记为份额持有人。内地投资者并不会被基金注册登记机构直接登记于份额持有人登记册上。虽然在此安排下内地投资者仍是互认基金份额的实益拥有人，但名义持有人是该等基金份额法律上的拥有人。在此情况下，内地投资者与互认基金管理人、受托人并无任何直接合约关系。内地投资者对互认基金管理人及／或受托人若有任何权利主张，可通过名义持有人向互认基金管理人及／或受托人提出，相应费用由内地投资者自行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6）强制赎回风险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对于内地销售的互认基金份额而言，若赎回部分基金份额将导致赎回后其持有的相应类别的基金份额的价值少于互认基金规定的最低持有额，互认基金管理人有权要求剩余的基金份额一并被全部赎回。除此之外，若互认基金管理人认为基金投资者继续持有互认基金份额存在违反任何法律法规、基金合同约定或其他互认基金要求（如可能对互认基金或其他基金份额持有人产生不利的监管、税务或财政后果）的情况下，互认基金管理人可以强制赎回基金投资者持有的互认基金份额。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7）基金份额净值计算和差错处理差异的风险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香港互认基金与内地公募基金根据适用的法规以及各自基金合同约定，其在基金份额净值计算、估值错误处理规则等方面存在差异，相应的过错责任方按基金合同约定承担赔偿责任的处理也会有所不同，由此可能增加本基金的相关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13、投资公募REITs可能面临的风险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公募 REITs 采用“公募基金+基础设施资产支持证券”的产品结构，主要特点如下：一是公募 REITs 与投资股票或债券的公募基金具有不同的风险收益特征，80%以上基金资产投资于基础设施资产支持证券，并持有其全部份额，基金通过基础设施资产支持证券持有基础设施项目公司全部股权，穿透取得基础设施项目完全所有权或经营权利；二是公募 REITs 以获取基础设施项目租金、收费等稳定现金流为主要目的，收益分配比例不低于合并后基金年度可供分配金额的 90%；三是公募 REITs 采取封闭式运作，不开放申购与赎回，在证券交易所上市，场外份额持有人需将基金份额转托管至场内才可卖出或申报预受要约。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投资公募REITs可能面临以下风险，包括但不限于：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价格波动风险。公募REITs大部分资产投资于基础设施项目，具有权益属性，受经济环境、运营管理等因素影响，基础设施项目市场价值及现金流情况可能发生变化，可能引起公募REITs价格波动，甚至存在基础设施项目遭遇极端事件（如地震、台风等）发生较大损失而影响基金价格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础设施项目运营风险。公募REITs投资集中度高，收益率很大程度依赖基础设施项目运营情况，基础设施项目可能因经济环境变化或运营不善等因素影响，导致实际现金流大幅低于测算现金流，存在基金收益率不佳的风险，基础设施项目运营过程中租金、收费等收入的波动也将影响基金收益分配水平的稳定。此外，公募REITs可直接或间接对外借款，存在基础设施项目经营不达预期，基金无法偿还借款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交易价格折溢价风险。公募REITs基金合同生效后，将根据相关法律法规申请在交易所上市，在每个交易日的交易时间将根据相关交易规则确定交易价格，该交易价格可能受诸多因素影响；此外，公募REITs还将按照相关业务规则、基金合同约定进行估值并披露基金份额净值等信息。由于基金份额交易价格与基金份额净值形成机制以及影响因素不同，存在基金份额交易价格相对于基金份额净值折溢价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流动性风险。公募REITs采取封闭式运作，不开放申购赎回，只能在二级市场交易，存在流动性不足的风险。此外，公募REITs持有基础设施资产支持证券全部份额，如发生特殊情况需要处置基础设施资产支持证券，可能会由于基础设施资产支持证券流动性较弱而带来损失（如证券不能卖出或贬值出售等）。基础设施资产支持证券通过项目公司持有的基础设施资产可能会存在无法处置及变现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（5）终止上市风险。公募REITs运作过程中可能因触发法律法规或交易所规定的终止上市情形而终止上市，导致投资者无法在二级市场交易。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政策调整风险。公募REITs存在因相关法律法规或监管机构政策修改等基金管理人无法控制的因素的变化，使基金或投资者利益受到影响的风险，例如：公募REITs运作过程中可能涉及基金份额持有人、公募基金、资产支持证券、项目公司等多层面税负，如果国家税收等政策发生调整，可能影响投资运作与基金收益；监管机构基金估值政策的修改导致基金估值方法的调整而引起基金净值波动；相关法规的修改导致基金投资范围变化，基金管理人为调整投资组合而引起基金净值波动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利益冲突风险。公募REITs基金管理人可能同时管理多只同类型的公募REITs；公募REITs基金管理人聘请的运营管理机构可能持有或为其他同类型的基础设施项目提供运营管理服务；公募REITs原始权益人也可能持有或管理其他同类型的基础设施项目等。由于上述情况，公募REITs的关联方可能与公募REITs存在一定的利益冲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估值风险。基础设施资产的评估以收益法为主，收益法进行估价时需要测算收益期、测算未来收益、确定报酬率或者资本化率，并将未来收益折现为现值。由于基础设施资产的评估值是基于相关假设条件测算得到的，估值技术和信息的局限性导致基础设施资产的评估值并不代表对基础设施资产真实的公允价值，也不构成未来可交易价格的保证。在基础设施项目出售的过程中，可能出现成交价格低于估值的情形，对基金财务状况造成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（9）市场风险。公募REITs除投资于基础设施资产支持证券外，也可以根据基金合同约定投资于其他资产，因此也面临证券市场价格波动风险。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（10）公募REITs相关法律法规和交易所业务规则，可能根据市场情况进行修改，或者制定新的法律法规和业务规则，投资者应当及时予以关注和了解。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14、本基金可投资于商品基金，因此将间接承担商品基金可能面临的商品价格波动风险、投资商品期货合约的风险、盯市风险等商品投资风险。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（六）基金合同提前终止风险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本基金连续50个工作日出现基金份额持有人数量不满200人或基金资产净值低于5000万元情形时，基金合同终止，不需召开基金份额持有人大会。投资者可能面临基金合同提前终止的风险。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十九、基金合同的变更、终止与基金财产的清算</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pStyle w:val="2"/>
        <w:snapToGrid w:val="0"/>
        <w:spacing w:before="240" w:beforeLines="0" w:after="0"/>
        <w:rPr>
          <w:rFonts w:ascii="宋体" w:hAnsi="宋体"/>
          <w:szCs w:val="30"/>
        </w:rPr>
      </w:pPr>
      <w:r>
        <w:br w:type="page"/>
      </w:r>
      <w:bookmarkStart w:id="42" w:name="_Toc256000046"/>
      <w:bookmarkStart w:id="43" w:name="_Toc256000020"/>
      <w:r>
        <w:rPr>
          <w:rFonts w:ascii="宋体" w:hAnsi="宋体"/>
          <w:sz w:val="30"/>
        </w:rPr>
        <w:t>二十、基金合同内容摘要</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17）以基金管理人的名义，参与本基金持有的基金所召开的基金份额持有人大会；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4）根据相关市场规则，为基金开设资金账户、证券账户等投资所需账户、为基金办理证券交易资金清算；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6）按规定开设基金财产的资金账户、证券账户等投资所需账户，按照《基金合同》的约定，根据基金管理人的投资指令，及时办理清算、交割事宜；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12）从基金管理人或其委托的登记机构处接收并保存基金份额持有人名册；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基金份额，即成为本基金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4）交纳基金认购、申购款项及法律法规和《基金合同》所规定的费用；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5）调整基金管理人、基金托管人的报酬标准和提高销售服务费率；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2）在法律法规和《基金合同》规定的范围内调整本基金的申购费率、调低基金销售服务费、在对现有基金份额持有人利益无实质性不利影响的前提下变更收费方式；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3）因相应的法律法规、登记机构的相关业务规则发生变动而应当对《基金合同》进行修改；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6）在符合法律法规及本基金合同规定、并且对基金份额持有人利益无实质性不利影响的前提下，调整本基金份额类别的设置、对基金份额分类办法及规则进行调整；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（3）基金合同生效后，若连续50个工作日出现基金份额持有人数量不满200人或者基金资产净值低于5000万元情形，基金合同终止，不需召开基金份额持有人大会。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持有的基金召开基金份额持有人大会时，本基金的基金管理人应当代表其份额持有人的利益，根据本基金合同的约定参与所持有基金的份额持有人大会，并在遵循本基金基金份额持有人利益优先原则的前提下行使相关投票权利。基金管理人需将表决意见事先征求基金托管人的意见，并将表决意见在定期报告中予以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法律法规对于本基金参与本基金持有的基金召开基金份额持有人大会的程序或要求另有规定的，从其规定。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各方当事人同意，因《基金合同》而产生的或与《基金合同》有关的一切争议，如经友好协商未能解决的，任何一方均有权将争议提交深圳国际仲裁院，按照深圳国际仲裁院届时有效的仲裁规则进行仲裁。仲裁地点为深圳市。仲裁裁决是终局的，对各方当事人均有约束力，除非仲裁裁决另有规定，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《基金合同》受中国法律（为本基金合同之目的，不含港澳台地区法律）管辖并从其解释。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（五）基金合同存放地和投资者取得基金合同的方式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《基金合同》正本一式三份，除上报有关监管机构一式一份外，基金管理人、基金托管人各持有一份，每份具有同等的法律效力。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4" w:name="_Toc256000047"/>
      <w:bookmarkStart w:id="45" w:name="_Toc256000021"/>
      <w:r>
        <w:rPr>
          <w:rFonts w:ascii="宋体" w:hAnsi="宋体"/>
          <w:sz w:val="30"/>
        </w:rPr>
        <w:t>二十一、托管协议的内容摘要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办公地址：深圳市深南大道7088号招商银行大厦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邮政编码：518040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成立时间：1987年4月8日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批准设立机关和批准设立文号：中国人民银行银复字（1986）175号文、银复（1987）86号文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基金托管业务批准文号：证监基金字[2002]83号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注册资本：人民币252.20亿元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1、基金托管人根据有关法律法规的规定以及《基金合同》的约定，对基金投资范围、投资比例、投资限制、关联方交易等进行监督。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（1）本基金的投资范围为：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经中国证监会依法核准或注册的公开募集证券投资基金（含ETF和LOF、香港互认基金、QDII基金、商品基金（包括商品期货基金和黄金ETF）、公开募集基础设施证券投资基金（以下简称“公募REITs”））、国内依法发行上市的股票（含创业板、科创板及其他经中国证监会核准或注册上市的股票、存托凭证）、内地与香港股票市场交易互联互通机制允许买卖的香港证券市场股票和交易型开放式基金（以下分别简称“港股通股票”、“港股通ETF”）、债券（含国债、央行票据、金融债券、政府支持债券、政府支持机构债券、地方政府债券、企业债券、公司债券、可转换债券（含可分离交易可转换债券的纯债部分）、可交换债券、公开发行的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（2）本基金各类品种的投资比例、投资限制为：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上述混合型基金需符合下列两个条件之一：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基金合同中约定股票投资占基金资产的比例不低于60%的混合型基金；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最近四个季度披露的股票投资占基金资产的比例均不低于60%的混合型基金。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经中国证监会依法核准或注册的公开募集证券投资基金的基金份额的资产不低于本基金资产的80%；投资于股票（含存托凭证）、股票型基金（包括股票指数基金）、混合型基金等权益类资产占基金资产的比例为5%-40%（其中，投资于境内股票、股票型基金、计入权益类资产的混合型基金占基金资产的比例不低于5%，投资于港股通股票的比例占股票资产的0%-50%）；投资于QDII基金和香港互认基金的比例合计不超过基金资产的20%；投资于货币市场基金的比例不超过基金资产的15%；投资于商品基金（含商品期货基金和黄金ETF）的比例不超过基金资产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上述混合型基金需符合下列两个条件之一：基金合同中约定股票投资占基金资产的比例不低于60%的混合型基金；最近四个季度披露的股票投资占基金资产的比例均不低于60%的混合型基金；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3）本基金持有单只基金的市值，不得高于本基金资产净值的20%，且不得持有其他基金中基金；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4）本基金管理人管理的全部基金（除ETF联接基金外）持有单只基金不得超过被投资基金净资产的20%，被投资基金净资产规模以最近定期报告披露的规模为准；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5）本基金不得持有具有复杂、衍生品性质的基金份额，包括分级基金和中国证监会认定的其他基金份额；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6）本基金投资其他基金时，被投资基金的运作期限不少于1年、最近定期报告披露的基金净资产应当不低于1亿元；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7）本基金投资于封闭运作基金、定期开放基金等流通受限基金的，其公允价值不得超过本基金资产净值的10%；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8）本基金持有一家公司发行的证券（同一家公司在内地和香港同时上市的A+H股合并计算，不含本基金所投资的基金份额），其市值不超过基金资产净值的10%；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管理人管理的全部基金持有一家公司发行的证券（同一家公司在内地和香港同时上市的A+H股合并计算，不含本基金所投资的基金份额），不超过该证券的10%，完全按照有关指数的构成比例进行证券投资的基金品种可以不受此条款规定的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主动投资于流动性受限资产的市值合计不得超过本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19）本基金资产总值不超过基金资产净值的140%；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证券市场波动、证券发行人合并、本基金规模变动、本基金所投资的基金发生流动性限制、暂停申购、赎回或二级市场交易停牌等基金管理人之外的因素致使本基金投资比例不符合上述第3）项、第4）项规定投资比例的，基金管理人应当在20个交易日内进行调整；对于第2）项、第3）项、第4）项、第11）项、第12）项及第17）项以外的其他情形，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（3）本基金财产不得用于以下投资或者活动：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应当自基金合同生效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对上述投资组合比例限制进行变更的，以变更后的规定为准。法律法规或监管部门取消或变更上述限制，如适用于本基金，基金管理人在履行适当程序后，则本基金投资不再受相关限制或以变更后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本基金投资银行存款应符合如下规定：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于有固定期限银行存款的比例，不得超过基金资产净值的30%，但投资于有存款期限，根据协议可提前支取的银行存款不受上述比例限制;本基金投资于具有基金托管人资格的同一商业银行的银行存款、同业存单占基金资产净值的比例合计不得超过20%，投资于不具有基金托管人资格的同一商业银行的银行存款、同业存单占基金资产净值的比例合计不得超过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有关法律法规或监管部门制定或修改新的定期存款投资政策，基金管理人履行适当程序后，可相应调整投资组合限制的规定。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1）基金管理人负责控制信用风险。信用风险主要包括存款银行的信用等级、存款银行的支付能力等涉及到存款银行选择方面的风险。因选择存款银行不当造成基金财产损失的，由基金管理人承担责任。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3）基金管理人须加强内部风险控制制度的建设。如因基金管理人员工职务行为导致基金财产受到损失的，需由基金管理人承担由此造成的损失。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3、基金投资银行存款协议的签订、账户开设与管理、投资指令与资金划付、账目核对、到期兑付、提前支取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（1）基金投资银行存款协议的签订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应与符合资格的存款银行总行或其授权分行签订《基金存款业务总体合作协议》（以下简称“《总体合作协议》”），确定《存款协议书》的格式范本。《总体合作协议》和《存款协议书》的格式范本由基金托管人与基金管理人共同商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2）基金托管人依据相关法规对《总体合作协议》和《存款协议书》的内容进行复核，审查存款银行资格等。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3）基金管理人应在《存款协议书》中明确存款证实书或其他有效存款凭证的办理方式、邮寄地址、联系人和联系电话，以及存款证实书或其他有效凭证在邮寄过程中遗失后，存款余额的确认及兑付办法等。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存款银行指定的存放存款的分支机构（以下简称“存款分支机构”）寄送或上门交付存款证实书或其他有效存款凭证的，基金托管人可向存款分支机构的上级行发出存款余额询证函，存款分支机构及其上级行应予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5）基金管理人应在《存款协议书》中规定，基金存放到期或提前兑付的资金应全部划转到指定的基金托管账户，并在《存款协议书》写明账户名称和账号，未划入指定账户的，由存款银行承担一切责任。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应在《存款协议书》中规定，在存期内，如本基金银行账户、预留印鉴发生变更，基金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及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7）基金管理人应在《存款协议书》中规定，因定期存款产生的存单不得被质押或以任何方式被抵押，不得用于转让和背书。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（2）基金投资银行存款时的账户开设与管理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1）基金投资于银行存款时，基金管理人应当依据基金管理人与存款银行签订的《总体合作协议》、《存款协议书》等，以基金的名义在存款银行总行或授权分行指定的分支机构开立银行账户。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2）基金投资于银行存款时的预留印鉴由基金托管人保管和使用。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（3）存款凭证传递、账目核对及到期兑付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1）存款证实书等存款凭证传递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资金只能存放于存款银行总行或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2）存款凭证的遗失补办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存款凭证在邮寄过程中遗失的，由基金管理人向存款银行提出补办申请，基金管理人应督促存款银行尽快补办存款凭证，并按以上1）的方式快递或上门交付至基金托管人，原存款凭证自动作废。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3）账目核对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每个工作日，基金管理人应与基金托管人核对各项银行存款投资余额及应计利息。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存款协议书》中规定，对于存期超过3个月的定期存款，基金托管人于每季度向存款银行发起查询查复，存款银行应按照人行查询查复的有关时限要求及时回复。基金管理人及基金托管人有责任督促存款银行及时回复查询查复。因存款银行未及时回复造成的资金被挪用、盗取的责任由存款银行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存款银行应配合基金托管人对存款凭证的询证，并在询证函上加盖存款银行公章寄送至基金托管人指定联系人。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4）到期兑付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提前通知基金托管人通过快递将存款凭证原件寄给存款银行分支机构指定的会计主管。存款银行未收到存款凭证原件的，应向基金托管人电话询问。存款到期前基金管理人与存款银行确认存款凭证收到并于到期日兑付存款本息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存款协议书》中规定，存款凭证在邮寄过程中遗失的，存款银行应立即通知基金托管人及基金管理人，基金托管人在原存款凭证复印件上加盖公章并出具相关证明文件后，与存款银行指定会计主管电话确认后，存款银行应在到期日将存款本息划至指定的基金资金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如果存款到期日为法定节假日，存款银行顺延至到期后第一个工作日支付，存款银行需按原协议约定利率和实际延期天数支付延期利息。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（4）提前支取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如果在存款期限内，由于基金规模发生缩减的原因或者出于流动性管理的需要等原因，基金管理人可以提前支取全部或部分资金。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提前支取的具体事项按照基金管理人与存款银行签订的《存款协议书》执行。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（5）基金投资银行存款的监督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在进行存款投资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若因基金管理人拒不执行造成基金财产损失的，相关损失由基金管理人承担，基金托管人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如基金管理人在基金投资运作之前未向基金托管人提供银行间债券市场交易对手名单的，视为基金管理人认可全市场交易对手。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3个交易日内与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负责对交易对手的资信控制，按银行间债券市场的交易规则进行交易，并负责解决因交易对手不履行合同而造成的纠纷及损失。若未履约的交易对手在基金管理人确定的时间内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5、本基金投资流通受限证券，应遵守《关于基金投资非公开发行股票等流通受限证券有关问题的通知》等有关监管规定。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流通受限证券包括由相关法律法规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以投资经中国证监会批准的非公开发行证券，且限于由中国证券登记结算有限责任公司、中央国债登记结算有限责任公司或银行间市场清算所股份有限公司负责登记和存管的，并可在证券交易所或全国银行间债券市场交易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本基金不得投资未经中国证监会批准的非公开发行证券。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本基金不得投资有锁定期但锁定期不明确的证券。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投资流通受限证券前，基金管理人应向基金托管人提供符合法律法规要求的有关书面信息，包括但不限于拟发行证券主体的中国证监会批准文件、发行证券数量、发行价格、锁定期，基金拟认购的数量、价格、总成本、应划付的认购款、资金划付时间等。基金管理人应保证上述信息的真实、完整，并应至少于拟执行投资指令前两个工作日将上述信息书面发至基金托管人，保证基金托管人有足够的时间进行审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由于基金管理人未及时提供有关证券的具体的必要的信息，致使基金托管人无法审核认购指令而影响认购款项划拨的，基金托管人免于承担责任。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依照法律法规、《基金合同》、《托管协议》审核基金管理人投资流通受限证券的行为。如发现基金管理人违反了《基金合同》、《托管协议》以及其他相关法律法规的有关规定，应及时通知基金管理人，并呈报中国证监会，同时采取合理措施保护基金投资人的利益。基金托管人有权对基金管理人的违法、违规以及违反《基金合同》、《托管协议》的投资指令不予执行，并立即通知基金管理人纠正，基金管理人不予纠正或已代表基金签署合同不得不执行时，基金托管人应向中国证监会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应在基金投资非公开发行股票后按照法律法规规定的期限，在中国证监会规定媒介披露所投资非公开发行股票的名称、数量、总成本、账面价值，以及总成本和账面价值占基金资产净值的比例、锁定期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6、基金管理人应当对投资中期票据业务进行研究，认真评估中期票据投资业务的风险，本着审慎、勤勉尽责的原则进行中期票据的投资业务，并应符合法律法规及监管机构的相关规定。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7、本基金如通过第三方基金销售机构投资开放式基金，基金管理人负责选择销售机构，并确保在销售机构预留的备案回款账户为本基金托管账户。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根据有关法律法规的规定及《基金合同》的约定，对各类基金份额的基金资产净值计算及基金份额净值计算、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有义务配合和协助基金托管人依照法律法规、《基金合同》和本托管协议对基金业务执行核查。包括但不限于：对基金托管人发出的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若基金托管人发现基金管理人依据交易程序已经生效的指令违反法律、行政法规和其他有关规定，或者违反基金合同约定的，应当立即通知基金管理人及时纠正，由此造成的损失由基金管理人承担，基金托管人在履行其通知义务后，予以免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12、基金托管人发现基金管理人有重大违规行为，应及时报告中国证监会，同时通知基金管理人限期纠正。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侧袋机制实施期间，基金合同约定的投资组合比例、投资策略、组合限制、业绩比较基准、风险收益特征等约定仅适用于主袋账户。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侧袋账户的实施条件、实施程序、运作安排、投资安排、特定资产的处置变现和支付等对投资者权益有重大影响的事项详见招募说明书的规定。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基金托管人安全保管基金财产、开设基金财产的资金账户、证券账户等投资所需账户、复核基金管理人计算的各类基金份额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托管协议及其他有关规定时，应及时以书面形式通知基金托管人限期纠正。基金托管人收到书面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4、基金管理人发现基金托管人有重大违规行为，应及时报告中国证监会，同时通知基金托管人限期纠正，并将纠正结果报告中国证监会。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（3）基金托管人按照规定开设基金财产的资金账户、证券账户等投资所需的相关账户。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未经基金管理人的正当指令，不得自行运用、处分、分配基金的任何资产。不属于基金托管人实际有效控制下的资产及实物证券等在基金托管人保管期间的损坏、灭失，基金托管人不承担由此产生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投资产生的应收资产，应由基金管理人负责与有关当事人确定到账日期并通知基金托管人，到账日基金财产没有到达基金资金账户的，基金托管人应及时通知基金管理人采取措施进行催收，基金管理人应负责向有关当事人追偿基金财产的损失，基金托管人应给予必要的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对因为基金管理人投资产生的存放或存管在基金托管人以外机构的基金资产，或交由证券公司负责清算交收的基金资产及其收益（包括但不限于证券类基金资产等），由于该等机构或该机构会员单位等本协议当事人外第三方的欺诈、疏忽、过失或破产等原因给基金资产造成的损失等不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2、基金募集期间及募集资金的验资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（1）基金募集期间募集认购款项应开立“基金募集专户”。该账户由基金管理人或基金管理人委托的登记机构开立并管理。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满或基金停止募集时，募集的基金份额总额、基金募集金额、基金份额持有人人数符合《基金法》、《运作办法》等有关规定后，基金管理人应将属于基金财产的全部资金划入基金托管人为基金开立的基金资金账户，同时在规定时间内，基金管理人应聘请符合《中华人民共和国证券法》规定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（3）若基金募集期限届满，未能达到基金合同生效的条件，由基金管理人按规定办理退款等事宜，基金托管人应予以必要的协助和配合。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以本基金的名义在其营业机构开立基金的资金账户（也可称为“托管账户”），保管基金的银行存款，并根据基金管理人的指令办理资金收付。托管账户名称应为“交银施罗德臻享多资产三个月持有期混合型基金中基金（FOF）”，预留印鉴为基金托管人印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（3）基金资金账户的开立和管理应符合法律法规及银行业监督管理机构的有关规定。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4、基金证券账户和结算备付金账户的开立和管理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等的收取按照中国证券登记结算有限责任公司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若中国证监会或其他监管机构在本托管协议订立日之后允许基金从事其他投资品种的投资业务，涉及相关账户的开立、使用的，按有关规定开立、使用并管理；若无相关规定，则基金托管人比照上述关于账户开立、使用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（1）基金托管人和基金管理人应当在开户过程中相互配合，并提供所需资料。基金管理人保证所提供的账户开户材料的真实性和有效性，且在相关资料变更后及时将变更的资料提供给基金托管人。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（2）因业务发展需要而开立的其他账户，可以根据法律法规和基金合同的规定，由基金管理人协助基金托管人按照有关法律法规和本协议的约定协商后开立。新账户按有关规定使用并管理。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的有价凭证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财产有关的重大合同的原件分别由基金管理人、基金托管人保管。除本协议另有规定外，基金管理人代表基金签署的与基金财产有关的重大合同应保证基金管理人和基金托管人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不低于法律法规规定的最低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（五）基金资产净值计算、估值和会计核算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1、基金资产净值的计算、复核与完成的时间及程序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份额净值是按照每个估值日，该类基金份额的基金资产净值除以估值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基金管理人于每个估值日分别计算A类基金份额、C类基金份额的基金资产净值及基金份额净值，并按规定公告。如遇特殊情况，经履行适当程序，可以适当延迟计算或公告。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基金管理人每个估值日对基金资产进行估值后，将各类基金份额的基金资产净值、基金份额净值发送基金托管人，经基金托管人复核无误后，由基金管理人依据基金合同和相关法律法规的规定对外公布。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基金管理人及基金托管人应当按照《基金合同》的约定进行估值。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3、基金份额净值错误的处理方式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基金管理人及基金托管人应当按照《基金合同》的约定处理份额净值错误。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按国家有关部门规定的会计制度执行。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6、基金财务报表与报告的编制和复核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（1）财务报表的编制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基金财务报表由基金管理人编制，基金托管人复核。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（2）报表复核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基金托管人在收到基金管理人编制的基金财务报表后，进行独立的复核。核对不符时，应及时通知基金管理人共同查出原因，进行调整，直至双方数据完全一致。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（3）财务报表的编制与复核时间安排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每月结束后5个工作日内完成月度报表的编制及复核；在季度结束之日起15个工作日内完成基金季度报告的编制及复核；在上半年结束之日起两个月内完成基金中期报告的编制及复核；在每年结束之日起三个月内完成基金年度报告的编制及复核。基金托管人在复核过程中，发现双方的报表存在不符时，基金管理人和基金托管人应共同查明原因，进行调整，调整以国家有关规定为准。基金年度报告中的财务会计报告应当经过符合《中华人民共和国证券法》规定的会计师事务所审计。基金合同生效不足两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7、在有需要时，基金管理人应每季度向基金托管人提供基金业绩比较基准的基础数据和编制结果。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本基金实施侧袋机制的，应根据基金合同的约定对主袋账户资产进行估值并披露主袋账户的基金净值信息，暂停披露侧袋账户份额净值。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（六）基金份额持有人名册的保管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低于法律法规规定的最低年限。如不能妥善保管，则按相关法律法规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托管人要求或编制中期报告及年度报告前，基金管理人应将有关资料送交基金托管人，不得无故拒绝或延误提供，并保证其真实性、准确性和完整性。基金管理人和基金托管人不得将所保管的基金份额持有人名册用于基金托管业务以外的其他用途，并应遵守保密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双方当事人同意，因本协议而产生的或与本协议有关的一切争议，如经友好协商未能解决的，任何一方均有权将争议提交深圳国际仲裁院，按照深圳国际仲裁院届时有效的仲裁规则进行仲裁。仲裁地点为深圳市。仲裁裁决是终局的，对双方当事人均有约束力，除非仲裁裁决另有规定，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本协议受中华人民共和国法律（为本托管协议之目的，不含港澳台地区法律）管辖并从其解释。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（八）托管协议的变更、终止与基金财产的清算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本协议双方当事人经协商一致，可以对协议进行修改。修改后的新协议，其内容不得与基金合同的规定有任何冲突。基金托管协议的变更应按规定报中国证监会备案。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（2）基金托管人因解散、破产、撤销等事由，不能继续担任基金托管人的职务，而在6个月内无其他适当的托管机构承接其原有权利义务；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（3）基金管理人因解散、破产、撤销等事由，不能继续担任基金管理人的职务，而在6个月内无其他适当的基金管理机构承接其原有权利义务；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（4）发生法律法规或《基金合同》规定的其他终止事项。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基金管理人与基金托管人按照《基金合同》的约定处理基金财产的清算。</w:t>
      </w:r>
    </w:p>
    <w:p>
      <w:pPr>
        <w:pStyle w:val="2"/>
        <w:snapToGrid w:val="0"/>
        <w:spacing w:before="240" w:beforeLines="0" w:after="0"/>
        <w:rPr>
          <w:rFonts w:ascii="宋体" w:hAnsi="宋体"/>
          <w:szCs w:val="30"/>
        </w:rPr>
      </w:pPr>
      <w:r>
        <w:br w:type="page"/>
      </w:r>
      <w:bookmarkStart w:id="46" w:name="_Toc256000048"/>
      <w:bookmarkStart w:id="47" w:name="_Toc256000022"/>
      <w:r>
        <w:rPr>
          <w:rFonts w:ascii="宋体" w:hAnsi="宋体"/>
          <w:sz w:val="30"/>
        </w:rPr>
        <w:t>二十二、对基金份额持有人的服务</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1、基金合同生效后的每次交易结束后，投资人可在T+2个工作日后通过销售机构的网点查询和打印确认单；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rPr>
        <w:t>本基金管理人已开通基金网上直销服务，个人投资者可以直接通过本基金管理人的网上直销交易平台办理开户和本基金的申购、赎回、定期定额投资等业务。通过网上直销交易平台办理本基金申购和定期定额投资业务的个人投资者将享受申购费率的优惠，其他费率标准不变。具体优惠费率请参见公司网站列示的网上直销交易平台申购、定期定额投资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基金网上直销交易平台已开通的银行卡及各银行卡交易金额限额请参阅本基金管理人网站。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本基金未开通转换业务，具体实施方法请参见相关公告。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bookmarkStart w:id="54" w:name="_GoBack"/>
      <w:bookmarkEnd w:id="54"/>
    </w:p>
    <w:p>
      <w:pPr>
        <w:pStyle w:val="2"/>
        <w:snapToGrid w:val="0"/>
        <w:spacing w:before="240" w:beforeLines="0" w:after="0"/>
        <w:rPr>
          <w:rFonts w:ascii="宋体" w:hAnsi="宋体"/>
          <w:szCs w:val="30"/>
        </w:rPr>
      </w:pPr>
      <w:r>
        <w:br w:type="page"/>
      </w:r>
      <w:bookmarkStart w:id="48" w:name="_Toc256000049"/>
      <w:bookmarkStart w:id="49" w:name="_Toc256000023"/>
      <w:r>
        <w:rPr>
          <w:rFonts w:ascii="宋体" w:hAnsi="宋体"/>
          <w:sz w:val="30"/>
        </w:rPr>
        <w:t>二十三、其他应披露事项</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交银施罗德臻享多资产三个月持有期混合型基金中基金（FOF）基金份额发售公告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交银施罗德臻享多资产三个月持有期混合型基金中基金（FOF）基金合同及招募说明书提示性公告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交银施罗德臻享多资产三个月持有期混合型基金中基金（FOF）基金合同摘要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交银施罗德臻享多资产三个月持有期混合型基金中基金（FOF）托管协议</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交银施罗德臻享多资产三个月持有期混合型基金中基金（FOF）基金合同</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交银施罗德臻享多资产三个月持有期混合型基金中基金（FOF）（C类份额）基金产品资料概要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交银施罗德臻享多资产三个月持有期混合型基金中基金（FOF）（A类份额）基金产品资料概要</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交银施罗德臻享多资产三个月持有期混合型基金中基金（FOF）招募说明书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交银施罗德基金管理有限公司关于交银施罗德臻享多资产三个月持有期混合型基金中基金（FOF）提前结束募集的公告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2025-11-10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交银施罗德基金管理有限公司关于交银施罗德臻享多资产三个月持有期混合型基金中基金（FOF）基金合同生效公告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2025-11-14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交银施罗德基金管理有限公司关于交银施罗德臻享多资产三个月持有期混合型基金中基金（FOF）开放日常申购、赎回、定期定额投资业务的公告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2026-02-11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交银施罗德臻享多资产三个月持有期混合型基金中基金（FOF）2026年第1季度报告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交银施罗德臻享多资产三个月持有期混合型基金中基金（FOF）2026年中期报告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2" w:name="_Toc256000051"/>
      <w:bookmarkStart w:id="53" w:name="_Toc256000025"/>
      <w:r>
        <w:rPr>
          <w:rFonts w:ascii="宋体" w:hAnsi="宋体"/>
          <w:sz w:val="30"/>
        </w:rPr>
        <w:t>二十五、备查文件</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（一）中国证监会准予交银施罗德臻享多资产三个月持有期混合型基金中基金（FOF）募集注册的文件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（二）《交银施罗德臻享多资产三个月持有期混合型基金中基金（FOF）基金合同》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（三）《交银施罗德臻享多资产三个月持有期混合型基金中基金（FOF）托管协议》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（六）关于申请募集注册交银施罗德臻享多资产三个月持有期混合型基金中基金（FOF）的法律意见书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4097" o:spid="_x0000_s4097"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4098" o:spid="_x0000_s4098"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4099" o:spid="_x0000_s4099"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144</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交银施罗德臻享多资产三个月持有期混合型基金中基金（FOF）招募说明书（更新）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交银施罗德臻享多资产三个月持有期混合型基金中基金（FOF）招募说明书（更新）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3,4"/>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E04081"/>
    <w:rsid w:val="175A31B5"/>
    <w:rsid w:val="2D900ECB"/>
    <w:rsid w:val="40C91F6C"/>
    <w:rsid w:val="47DA7AEB"/>
    <w:rsid w:val="4BEE7A33"/>
    <w:rsid w:val="5AC15D14"/>
    <w:rsid w:val="69DF6739"/>
    <w:rsid w:val="6AB628CB"/>
    <w:rsid w:val="71AA57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qFormat/>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qFormat/>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uiPriority w:val="0"/>
    <w:rPr>
      <w:rFonts w:ascii="Cambria" w:hAnsi="Cambria"/>
      <w:b/>
      <w:kern w:val="28"/>
      <w:sz w:val="24"/>
      <w:szCs w:val="32"/>
    </w:rPr>
  </w:style>
  <w:style w:type="character" w:customStyle="1" w:styleId="31">
    <w:name w:val="txtcontent11"/>
    <w:qFormat/>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qFormat/>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145</Pages>
  <Words>13948</Words>
  <Characters>79510</Characters>
  <Lines>662</Lines>
  <Paragraphs>186</Paragraphs>
  <TotalTime>0</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2026-09-30T05:49:53Z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B397B93B3B164B29B1E4C89F4DD74596</vt:lpwstr>
  </property>
</Properties>
</file>