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交银施罗德中证A500指数型证券投资基金（A类份额）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交银中证A500指数A</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023022</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招商银行股份有限公司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2025-01-22</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股票型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邵文婷</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2025-01-22</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2016-01-25</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本基金采用指数化投资策略，紧密跟踪中证A500指数，追求跟踪偏离度与跟踪误差最小化。</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中证A500指数的成份股（含存托凭证）及备选成份股（含存托凭证）、其他股票（含创业板、科创板及其他经中国证监会核准或注册上市的股票、存托凭证）、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本基金可根据法律法规的规定参与融资及转融通证券出借业务。未来在法律法规允许的前提下，本基金可根据相关法律法规规定参与融券业务。</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本基金投资于中证A500指数成份股（含存托凭证）及备选成份股（含存托凭证）的比例不低于基金资产净值的90%且不低于非现金基金资产的80%；每个交易日日终在扣除股指期货合约需缴纳的交易保证金后，本基金持有的现金或者到期日在一年以内的政府债券的比例合计不低于基金资产净值的5%，其中现金不包括结算备付金、存出保证金、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本基金标的指数为中证A500指数。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主要采用组合复制策略及适当的替代性策略以更好的跟踪标的指数，实现基金投资目标。在正常市场情况下，力争控制本基金日均跟踪偏离度的绝对值不超过0.35%，年跟踪误差不超过4%。如因指数编制规则调整或其他因素导致跟踪偏离度和跟踪误差超过上述范围，基金管理人应采取合理措施避免跟踪偏离度、跟踪误差进一步扩大。</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当指数编制方法变更、成份股发生变更、成份股权重由于自由流通量调整而发生变化、成份股派发现金股息、配股及增发、股票长期停牌、市场流动性不足等情况发生时，基金管理人将对投资组合进行优化，尽量降低跟踪误差。</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1、股票投资策略；2、债券投资策略；3、股指期货投资策略；4、资产支持证券投资策略；5、存托凭证投资策略；6、融资、转融通证券出借业务投资策略。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中证A500指数收益率×95%＋人民币银行活期存款利率（税后）×5%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本基金是一只股票型基金，其预期风险和预期收益理论上高于混合型基金、债券型基金和货币市场基金。</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本基金为指数型基金，主要采用完全复制法跟踪中证A500指数，具有与标的指数相似的风险收益特征。</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详见《交银施罗德中证A500指数型证券投资基金招募说明书》“基金的投资”。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2、本基金合同于2025年1月22日生效，合同生效当年净值增长率按实际存续期计算；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0.6%</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0.15%</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0.05%</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0.28%</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为股票型基金，投资于中证A500指数成份股（含存托凭证）及备选成份股（含存托凭证）的比例不低于基金资产净值的90%且不低于非现金基金资产的80%，因投资权益类资产而面临权益类资产市场的系统性风险和个股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标的指数回报与股票市场平均回报偏离的风险、（3）标的指数波动的风险、（4）基金投资组合回报与标的指数回报偏离及跟踪误差控制未达约定目标的风险、（5）指数编制机构停止服务的风险、（6）成份股停牌或退市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（7）基金合同提前终止风险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《基金合同》生效后，连续50个工作日出现基金份额持有人数量不满200人或者基金资产净值低于5000万元情形的，基金合同终止，不需召开基金份额持有人大会。因此，投资者可能面临基金合同提前终止的风险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8、投资流通受限证券的特定风险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11、本基金参与融资业务的特定风险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本基金可参与融资业务，面临的风险包括但不限于市场风险、流动性风险、信用风险等。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12、本基金参与转融通证券出借业务的特定风险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本基金可参与转融通证券出借业务，面临的风险包括但不限于流动性风险、信用风险、市场风险、其他风险等。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13、本基金法律文件风险收益特征表述与销售机构基金风险评价可能不一致的风险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14、其他风险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因基金合同而产生的或与基金合同有关的一切争议，如经友好协商未能解决的，任何一方均有权将争议提交深圳国际仲裁院，按其届时有效的仲裁规则进行仲裁。仲裁地点为深圳市。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●《交银施罗德中证A500指数型证券投资基金基金合同》、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《交银施罗德中证A500指数型证券投资基金托管协议》、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《交银施罗德中证A500指数型证券投资基金招募说明书》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