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交银施罗德裕隆纯债债券型证券投资基金（A类份额）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2026-09-30</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2026-10-09</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交银裕隆纯债债券A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519782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中国邮政储蓄银行股份有限公司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2016-11-28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侯嘉仪</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2026-09-30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2011-08-01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黄莹洁</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2016-11-28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2008-02-15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本基金在严格控制风险和保持资产流动性的基础上，通过积极主动的投资管理，力争持续稳定地实现超越业绩比较基准的投资回报。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国债、金融债、央行票据、地方政府债、企业债、公司债、中小企业私募债、中期票据、短期融资券、超级短期融资券、资产支持证券、次级债、可分离交易可转债的纯债部分、债券回购、银行存款、货币市场工具以及法律法规或中国证监会允许基金投资的其他金融工具(但须符合中国证监会相关规定)。本基金不投资于股票、权证等权益类资产，也不投资于可转换债券(可分离交易可转债的纯债部分除外)、可交换债券。</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资产的比例不低于基金资产的80%，现金或到期日在一年以内的政府债券的投资比例合计不低于基金资产净值的5%，其中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对宏观经济运行趋势、财政以及货币政策变化趋势作出分析和判断，对未来市场利率趋势及市场信用环境变化作出预测，动态调整大类金融资产比例，自上而下决定债券组合久期、期限结构、债券类别配置策略，在严谨深入的分析和严格的风险控制基础上，综合考虑经济变量的变动对不同券种收益率、信用趋势和风险的潜在影响，深入挖掘价值被低估的标的券种。</w:t>
            </w:r>
          </w:p>
          <w:p>
            <w:pPr>
              <w:ind w:firstLine="420"/>
              <w:jc w:val="left"/>
              <w:rPr>
                <w:rFonts w:ascii="仿宋_GB2312" w:eastAsia="仿宋_GB2312"/>
                <w:szCs w:val="21"/>
              </w:rPr>
            </w:pPr>
            <w:r>
              <w:rPr>
                <w:rFonts w:hint="eastAsia" w:ascii="仿宋_GB2312" w:eastAsia="仿宋_GB2312"/>
                <w:szCs w:val="21"/>
              </w:rPr>
              <w:t>1、大类资产配置；2、债券投资策略；3、资产支持证券投资策略。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详见《交银施罗德裕隆纯债债券型证券投资基金招募说明书》第十部分“基金的投资”。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5.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2、本基金合同于2016年11月28日生效，合同生效当年净值增长率按实际存续期计算。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ind w:left="420" w:firstLine="420" w:firstLineChars="200"/>
        <w:jc w:val="left"/>
        <w:rPr>
          <w:rFonts w:ascii="仿宋_GB2312" w:eastAsia="仿宋_GB2312"/>
          <w:szCs w:val="21"/>
        </w:rPr>
      </w:pP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500元每笔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80000.00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0.40%</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ind w:firstLine="420"/>
        <w:jc w:val="left"/>
        <w:rPr>
          <w:rFonts w:ascii="仿宋_GB2312" w:eastAsia="仿宋_GB2312"/>
          <w:szCs w:val="21"/>
        </w:rPr>
      </w:pPr>
      <w:r>
        <w:rPr>
          <w:rFonts w:hint="eastAsia" w:ascii="仿宋_GB2312" w:eastAsia="仿宋_GB2312"/>
          <w:szCs w:val="21"/>
        </w:rPr>
        <w:t>（4）本基金投资资产支持证券，资产支持证券具有一定的价格波动风险、流动性风险、信用风险、提前偿付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●《交银施罗德裕隆纯债债券型证券投资基金基金合同》、</w:t>
      </w:r>
    </w:p>
    <w:p>
      <w:pPr>
        <w:ind w:firstLine="420"/>
        <w:jc w:val="left"/>
        <w:rPr>
          <w:rFonts w:ascii="仿宋_GB2312" w:eastAsia="仿宋_GB2312"/>
          <w:szCs w:val="21"/>
        </w:rPr>
      </w:pPr>
      <w:r>
        <w:rPr>
          <w:rFonts w:hint="eastAsia" w:ascii="仿宋_GB2312" w:eastAsia="仿宋_GB2312"/>
          <w:szCs w:val="21"/>
        </w:rPr>
        <w:t>《交银施罗德裕隆纯债债券型证券投资基金托管协议》、</w:t>
      </w:r>
    </w:p>
    <w:p>
      <w:pPr>
        <w:ind w:firstLine="420"/>
        <w:jc w:val="left"/>
        <w:rPr>
          <w:rFonts w:ascii="仿宋_GB2312" w:eastAsia="仿宋_GB2312"/>
          <w:szCs w:val="21"/>
        </w:rPr>
      </w:pPr>
      <w:r>
        <w:rPr>
          <w:rFonts w:hint="eastAsia" w:ascii="仿宋_GB2312" w:eastAsia="仿宋_GB2312"/>
          <w:szCs w:val="21"/>
        </w:rPr>
        <w:t>《交银施罗德裕隆纯债债券型证券投资基金招募说明书》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6F40"/>
    <w:rsid w:val="00AF7A1E"/>
    <w:rsid w:val="00C0525C"/>
    <w:rsid w:val="00CD7637"/>
    <w:rsid w:val="00D04A15"/>
    <w:rsid w:val="00D373CC"/>
    <w:rsid w:val="00DB319C"/>
    <w:rsid w:val="00E51B6D"/>
    <w:rsid w:val="00F75715"/>
    <w:rsid w:val="00F811C4"/>
    <w:rsid w:val="00FC2918"/>
    <w:rsid w:val="438353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642</Words>
  <Characters>3666</Characters>
  <Lines>30</Lines>
  <Paragraphs>8</Paragraphs>
  <TotalTime>3</TotalTime>
  <ScaleCrop>false</ScaleCrop>
  <LinksUpToDate>false</LinksUpToDate>
  <CharactersWithSpaces>4300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2026-09-30T06:48:00Z</dcterms:created>
  <dc:creator>Cc</dc:creator>
  <cp:lastModifiedBy>haotingting</cp:lastModifiedBy>
  <dcterms:modified xsi:type="dcterms:W3CDTF">2026-09-30T06:57:18Z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0099000C9BBB461C9E27F0077081E906</vt:lpwstr>
  </property>
</Properties>
</file>